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A55C7" w14:textId="77777777" w:rsidR="00526FCE" w:rsidRPr="00FE31CA" w:rsidRDefault="00526FCE" w:rsidP="00526FCE">
      <w:pPr>
        <w:suppressLineNumbers/>
        <w:jc w:val="center"/>
        <w:rPr>
          <w:rFonts w:ascii="Book Antiqua" w:hAnsi="Book Antiqua"/>
          <w:b/>
          <w:bCs/>
          <w:szCs w:val="24"/>
          <w:lang w:val="es-PR"/>
        </w:rPr>
      </w:pPr>
      <w:bookmarkStart w:id="0" w:name="_Hlk138253982"/>
      <w:r w:rsidRPr="00FE31CA">
        <w:rPr>
          <w:rFonts w:ascii="Book Antiqua" w:hAnsi="Book Antiqua"/>
          <w:b/>
          <w:bCs/>
          <w:szCs w:val="24"/>
          <w:lang w:val="es-PR"/>
        </w:rPr>
        <w:t>(TEXTO DE APROBACIÓN FINAL POR LA CÁMARA)</w:t>
      </w:r>
      <w:r w:rsidRPr="00FE31CA">
        <w:rPr>
          <w:rFonts w:ascii="Book Antiqua" w:hAnsi="Book Antiqua"/>
          <w:szCs w:val="24"/>
          <w:lang w:val="es-ES"/>
        </w:rPr>
        <w:fldChar w:fldCharType="begin"/>
      </w:r>
      <w:r w:rsidRPr="00FE31CA">
        <w:rPr>
          <w:rFonts w:ascii="Book Antiqua" w:hAnsi="Book Antiqua"/>
          <w:b/>
          <w:bCs/>
          <w:szCs w:val="24"/>
          <w:lang w:val="es-PR"/>
        </w:rPr>
        <w:instrText xml:space="preserve">PRIVATE </w:instrText>
      </w:r>
      <w:r w:rsidRPr="00FE31CA">
        <w:rPr>
          <w:rFonts w:ascii="Book Antiqua" w:hAnsi="Book Antiqua"/>
          <w:szCs w:val="24"/>
          <w:lang w:val="es-ES"/>
        </w:rPr>
        <w:fldChar w:fldCharType="end"/>
      </w:r>
    </w:p>
    <w:p w14:paraId="2BB9A3B0" w14:textId="77777777" w:rsidR="00526FCE" w:rsidRPr="00FE31CA" w:rsidRDefault="00526FCE" w:rsidP="00526FCE">
      <w:pPr>
        <w:suppressLineNumbers/>
        <w:jc w:val="center"/>
        <w:rPr>
          <w:rFonts w:ascii="Book Antiqua" w:hAnsi="Book Antiqua"/>
          <w:b/>
          <w:bCs/>
          <w:szCs w:val="24"/>
          <w:lang w:val="es-PR"/>
        </w:rPr>
      </w:pPr>
      <w:r w:rsidRPr="00FE31CA">
        <w:rPr>
          <w:rFonts w:ascii="Book Antiqua" w:hAnsi="Book Antiqua"/>
          <w:b/>
          <w:bCs/>
          <w:szCs w:val="24"/>
          <w:lang w:val="es-PR"/>
        </w:rPr>
        <w:t>(</w:t>
      </w:r>
      <w:r>
        <w:rPr>
          <w:rFonts w:ascii="Book Antiqua" w:hAnsi="Book Antiqua"/>
          <w:b/>
          <w:bCs/>
          <w:szCs w:val="24"/>
          <w:lang w:val="es-PR"/>
        </w:rPr>
        <w:t>27</w:t>
      </w:r>
      <w:r w:rsidRPr="00FE31CA">
        <w:rPr>
          <w:rFonts w:ascii="Book Antiqua" w:hAnsi="Book Antiqua"/>
          <w:b/>
          <w:bCs/>
          <w:szCs w:val="24"/>
          <w:lang w:val="es-PR"/>
        </w:rPr>
        <w:t xml:space="preserve"> DE </w:t>
      </w:r>
      <w:r>
        <w:rPr>
          <w:rFonts w:ascii="Book Antiqua" w:hAnsi="Book Antiqua"/>
          <w:b/>
          <w:bCs/>
          <w:szCs w:val="24"/>
          <w:lang w:val="es-PR"/>
        </w:rPr>
        <w:t>FEBRERO</w:t>
      </w:r>
      <w:r w:rsidRPr="00FE31CA">
        <w:rPr>
          <w:rFonts w:ascii="Book Antiqua" w:hAnsi="Book Antiqua"/>
          <w:b/>
          <w:bCs/>
          <w:szCs w:val="24"/>
          <w:lang w:val="es-PR"/>
        </w:rPr>
        <w:t xml:space="preserve"> DE 2025)</w:t>
      </w:r>
    </w:p>
    <w:p w14:paraId="0BC95C1A" w14:textId="77777777" w:rsidR="00526FCE" w:rsidRPr="00FE31CA" w:rsidRDefault="00526FCE" w:rsidP="00526FCE">
      <w:pPr>
        <w:suppressLineNumbers/>
        <w:rPr>
          <w:rFonts w:ascii="Book Antiqua" w:hAnsi="Book Antiqua"/>
          <w:b/>
          <w:bCs/>
          <w:sz w:val="28"/>
          <w:szCs w:val="28"/>
          <w:lang w:val="es-ES_tradnl"/>
        </w:rPr>
      </w:pPr>
      <w:r w:rsidRPr="00FE31CA">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46DEF7A9" wp14:editId="72CFDA4B">
                <wp:simplePos x="0" y="0"/>
                <wp:positionH relativeFrom="margin">
                  <wp:posOffset>0</wp:posOffset>
                </wp:positionH>
                <wp:positionV relativeFrom="paragraph">
                  <wp:posOffset>0</wp:posOffset>
                </wp:positionV>
                <wp:extent cx="5943600" cy="22860"/>
                <wp:effectExtent l="0" t="0" r="0" b="0"/>
                <wp:wrapNone/>
                <wp:docPr id="1520824939"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4717A"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D78087A" w14:textId="4D031AAC" w:rsidR="00304ACE" w:rsidRPr="00BC63DB" w:rsidRDefault="003E0277" w:rsidP="00BC63DB">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10EA09CA" w14:textId="77777777" w:rsidR="00304ACE" w:rsidRDefault="00304ACE" w:rsidP="00BC63DB">
      <w:pPr>
        <w:jc w:val="center"/>
        <w:rPr>
          <w:rFonts w:ascii="Book Antiqua" w:hAnsi="Book Antiqua"/>
          <w:lang w:val="es-PR"/>
        </w:rPr>
      </w:pPr>
    </w:p>
    <w:p w14:paraId="7D863936" w14:textId="77777777" w:rsidR="00304ACE" w:rsidRPr="00D83C4E" w:rsidRDefault="003E0277" w:rsidP="00BC63DB">
      <w:pPr>
        <w:pStyle w:val="Title2"/>
        <w:rPr>
          <w:rFonts w:ascii="Book Antiqua" w:hAnsi="Book Antiqua"/>
          <w:lang w:val="it-IT"/>
        </w:rPr>
      </w:pPr>
      <w:r w:rsidRPr="00D83C4E">
        <w:rPr>
          <w:rFonts w:ascii="Book Antiqua" w:hAnsi="Book Antiqua"/>
          <w:lang w:val="it-IT"/>
        </w:rPr>
        <w:t xml:space="preserve">20 </w:t>
      </w:r>
      <w:r w:rsidRPr="00D83C4E">
        <w:rPr>
          <w:rFonts w:ascii="Book Antiqua" w:hAnsi="Book Antiqua"/>
          <w:vertAlign w:val="superscript"/>
          <w:lang w:val="it-IT"/>
        </w:rPr>
        <w:t>ma.</w:t>
      </w:r>
      <w:r w:rsidRPr="00D83C4E">
        <w:rPr>
          <w:rFonts w:ascii="Book Antiqua" w:hAnsi="Book Antiqua"/>
          <w:lang w:val="it-IT"/>
        </w:rPr>
        <w:tab/>
        <w:t>Asamblea</w:t>
      </w:r>
      <w:r w:rsidRPr="00D83C4E">
        <w:rPr>
          <w:rFonts w:ascii="Book Antiqua" w:hAnsi="Book Antiqua"/>
          <w:lang w:val="it-IT"/>
        </w:rPr>
        <w:tab/>
        <w:t>1</w:t>
      </w:r>
      <w:r w:rsidRPr="00D83C4E">
        <w:rPr>
          <w:rFonts w:ascii="Book Antiqua" w:hAnsi="Book Antiqua"/>
          <w:vertAlign w:val="superscript"/>
          <w:lang w:val="it-IT"/>
        </w:rPr>
        <w:t>ra.</w:t>
      </w:r>
      <w:r w:rsidRPr="00D83C4E">
        <w:rPr>
          <w:rFonts w:ascii="Book Antiqua" w:hAnsi="Book Antiqua"/>
          <w:vertAlign w:val="superscript"/>
          <w:lang w:val="it-IT"/>
        </w:rPr>
        <w:tab/>
      </w:r>
      <w:r w:rsidRPr="00D83C4E">
        <w:rPr>
          <w:rFonts w:ascii="Book Antiqua" w:hAnsi="Book Antiqua"/>
          <w:lang w:val="it-IT"/>
        </w:rPr>
        <w:t>Sesión</w:t>
      </w:r>
    </w:p>
    <w:p w14:paraId="214DBA9D" w14:textId="77777777" w:rsidR="00304ACE" w:rsidRPr="00D83C4E" w:rsidRDefault="003E0277" w:rsidP="00BC63DB">
      <w:pPr>
        <w:pStyle w:val="Title2"/>
        <w:rPr>
          <w:rFonts w:ascii="Book Antiqua" w:hAnsi="Book Antiqua"/>
          <w:lang w:val="it-IT"/>
        </w:rPr>
      </w:pPr>
      <w:r w:rsidRPr="00D83C4E">
        <w:rPr>
          <w:rFonts w:ascii="Book Antiqua" w:hAnsi="Book Antiqua"/>
          <w:lang w:val="it-IT"/>
        </w:rPr>
        <w:tab/>
        <w:t>Legislativa</w:t>
      </w:r>
      <w:r w:rsidRPr="00D83C4E">
        <w:rPr>
          <w:rFonts w:ascii="Book Antiqua" w:hAnsi="Book Antiqua"/>
          <w:lang w:val="it-IT"/>
        </w:rPr>
        <w:tab/>
      </w:r>
      <w:r w:rsidRPr="00D83C4E">
        <w:rPr>
          <w:rFonts w:ascii="Book Antiqua" w:hAnsi="Book Antiqua"/>
          <w:lang w:val="it-IT"/>
        </w:rPr>
        <w:tab/>
        <w:t>Ordinaria</w:t>
      </w:r>
    </w:p>
    <w:p w14:paraId="3DFCE563" w14:textId="77777777" w:rsidR="00304ACE" w:rsidRPr="00D83C4E" w:rsidRDefault="00304ACE" w:rsidP="00BC63DB">
      <w:pPr>
        <w:rPr>
          <w:rFonts w:ascii="Book Antiqua" w:hAnsi="Book Antiqua"/>
          <w:lang w:val="it-IT"/>
        </w:rPr>
      </w:pPr>
    </w:p>
    <w:p w14:paraId="29F8E454" w14:textId="77777777" w:rsidR="00304ACE" w:rsidRDefault="003E0277" w:rsidP="00BC63DB">
      <w:pPr>
        <w:jc w:val="center"/>
        <w:rPr>
          <w:rFonts w:ascii="Book Antiqua" w:hAnsi="Book Antiqua"/>
          <w:b/>
          <w:sz w:val="36"/>
          <w:lang w:val="es-ES"/>
        </w:rPr>
      </w:pPr>
      <w:r w:rsidRPr="00DF4C50">
        <w:rPr>
          <w:rFonts w:ascii="Book Antiqua" w:hAnsi="Book Antiqua"/>
          <w:b/>
          <w:sz w:val="36"/>
          <w:lang w:val="es-ES"/>
        </w:rPr>
        <w:t>CÁMARA DE REPRESENTANTES</w:t>
      </w:r>
    </w:p>
    <w:p w14:paraId="53F635CE" w14:textId="77777777" w:rsidR="00BC63DB" w:rsidRPr="00BC63DB" w:rsidRDefault="00BC63DB" w:rsidP="00BC63DB">
      <w:pPr>
        <w:jc w:val="center"/>
        <w:rPr>
          <w:rFonts w:ascii="Book Antiqua" w:hAnsi="Book Antiqua"/>
          <w:b/>
          <w:szCs w:val="24"/>
          <w:lang w:val="es-ES"/>
        </w:rPr>
      </w:pPr>
    </w:p>
    <w:p w14:paraId="4C5C2A6E" w14:textId="4DE9F164" w:rsidR="00304ACE" w:rsidRDefault="003E0277" w:rsidP="00BC63DB">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Pr="00DF4C50">
        <w:rPr>
          <w:rFonts w:ascii="Book Antiqua" w:hAnsi="Book Antiqua"/>
          <w:b/>
          <w:sz w:val="52"/>
          <w:lang w:val="es-ES"/>
        </w:rPr>
        <w:t xml:space="preserve"> </w:t>
      </w:r>
      <w:r>
        <w:rPr>
          <w:rFonts w:ascii="Book Antiqua" w:hAnsi="Book Antiqua"/>
          <w:b/>
          <w:sz w:val="52"/>
          <w:lang w:val="es-PR"/>
        </w:rPr>
        <w:t>l</w:t>
      </w:r>
      <w:r w:rsidRPr="00DF4C50">
        <w:rPr>
          <w:rFonts w:ascii="Book Antiqua" w:hAnsi="Book Antiqua"/>
          <w:b/>
          <w:sz w:val="52"/>
          <w:lang w:val="es-ES"/>
        </w:rPr>
        <w:t>a</w:t>
      </w:r>
      <w:r>
        <w:rPr>
          <w:rFonts w:ascii="Book Antiqua" w:hAnsi="Book Antiqua"/>
          <w:b/>
          <w:sz w:val="52"/>
          <w:lang w:val="es-PR"/>
        </w:rPr>
        <w:t xml:space="preserve"> </w:t>
      </w:r>
      <w:r w:rsidRPr="00DF4C50">
        <w:rPr>
          <w:rFonts w:ascii="Book Antiqua" w:hAnsi="Book Antiqua"/>
          <w:b/>
          <w:sz w:val="52"/>
          <w:lang w:val="es-ES"/>
        </w:rPr>
        <w:t>C</w:t>
      </w:r>
      <w:r>
        <w:rPr>
          <w:rFonts w:ascii="Book Antiqua" w:hAnsi="Book Antiqua"/>
          <w:b/>
          <w:sz w:val="52"/>
          <w:lang w:val="es-PR"/>
        </w:rPr>
        <w:t xml:space="preserve">. </w:t>
      </w:r>
      <w:r w:rsidR="00DF4C50">
        <w:rPr>
          <w:rFonts w:ascii="Book Antiqua" w:hAnsi="Book Antiqua"/>
          <w:b/>
          <w:sz w:val="52"/>
          <w:lang w:val="es-PR"/>
        </w:rPr>
        <w:t>267</w:t>
      </w:r>
    </w:p>
    <w:p w14:paraId="6FC9B738" w14:textId="77777777" w:rsidR="00BC63DB" w:rsidRPr="00BC63DB" w:rsidRDefault="00BC63DB" w:rsidP="00BC63DB">
      <w:pPr>
        <w:jc w:val="center"/>
        <w:rPr>
          <w:rFonts w:ascii="Book Antiqua" w:hAnsi="Book Antiqua"/>
          <w:b/>
          <w:szCs w:val="24"/>
          <w:lang w:val="es-PR"/>
        </w:rPr>
      </w:pPr>
    </w:p>
    <w:p w14:paraId="06D4957B" w14:textId="7792B76B" w:rsidR="00304ACE" w:rsidRDefault="00BC63DB" w:rsidP="00BC63DB">
      <w:pPr>
        <w:jc w:val="center"/>
        <w:rPr>
          <w:rFonts w:ascii="Book Antiqua" w:hAnsi="Book Antiqua"/>
          <w:lang w:val="es-PR"/>
        </w:rPr>
      </w:pPr>
      <w:r>
        <w:rPr>
          <w:rFonts w:ascii="Book Antiqua" w:hAnsi="Book Antiqua"/>
          <w:lang w:val="es-PR"/>
        </w:rPr>
        <w:t>2</w:t>
      </w:r>
      <w:r w:rsidR="00540F1F">
        <w:rPr>
          <w:rFonts w:ascii="Book Antiqua" w:hAnsi="Book Antiqua"/>
          <w:lang w:val="es-PR"/>
        </w:rPr>
        <w:t>3</w:t>
      </w:r>
      <w:r>
        <w:rPr>
          <w:rFonts w:ascii="Book Antiqua" w:hAnsi="Book Antiqua"/>
          <w:lang w:val="es-PR"/>
        </w:rPr>
        <w:t xml:space="preserve"> DE ENERO DE 2025</w:t>
      </w:r>
    </w:p>
    <w:p w14:paraId="2B24A417" w14:textId="77777777" w:rsidR="00BC63DB" w:rsidRDefault="00BC63DB" w:rsidP="00BC63DB">
      <w:pPr>
        <w:jc w:val="center"/>
        <w:rPr>
          <w:rFonts w:ascii="Book Antiqua" w:hAnsi="Book Antiqua"/>
          <w:lang w:val="es-PR"/>
        </w:rPr>
      </w:pPr>
    </w:p>
    <w:p w14:paraId="33369623" w14:textId="6FF2B8ED" w:rsidR="00BC63DB" w:rsidRPr="00BC63DB" w:rsidRDefault="00BC63DB" w:rsidP="00BC63DB">
      <w:pPr>
        <w:ind w:left="810" w:hanging="810"/>
        <w:jc w:val="both"/>
        <w:rPr>
          <w:rFonts w:ascii="Book Antiqua" w:eastAsia="Aptos" w:hAnsi="Book Antiqua"/>
          <w:i/>
          <w:iCs/>
          <w:kern w:val="2"/>
          <w:szCs w:val="24"/>
          <w:lang w:val="es-ES"/>
          <w14:ligatures w14:val="standardContextual"/>
        </w:rPr>
      </w:pPr>
      <w:r>
        <w:rPr>
          <w:rFonts w:ascii="Book Antiqua" w:hAnsi="Book Antiqua"/>
          <w:szCs w:val="24"/>
          <w:lang w:val="es-ES"/>
        </w:rPr>
        <w:t>Presentado p</w:t>
      </w:r>
      <w:r w:rsidRPr="00BC63DB">
        <w:rPr>
          <w:rFonts w:ascii="Book Antiqua" w:hAnsi="Book Antiqua"/>
          <w:szCs w:val="24"/>
          <w:lang w:val="es-ES"/>
        </w:rPr>
        <w:t xml:space="preserve">or el representante </w:t>
      </w:r>
      <w:r w:rsidRPr="00BC63DB">
        <w:rPr>
          <w:rFonts w:ascii="Book Antiqua" w:hAnsi="Book Antiqua"/>
          <w:i/>
          <w:iCs/>
          <w:szCs w:val="24"/>
          <w:lang w:val="es-PR"/>
        </w:rPr>
        <w:t>Méndez Núñez</w:t>
      </w:r>
      <w:r>
        <w:rPr>
          <w:rFonts w:ascii="Book Antiqua" w:hAnsi="Book Antiqua"/>
          <w:i/>
          <w:iCs/>
          <w:szCs w:val="24"/>
          <w:lang w:val="es-PR"/>
        </w:rPr>
        <w:t>;</w:t>
      </w:r>
      <w:r w:rsidRPr="00BC63DB">
        <w:rPr>
          <w:rFonts w:ascii="Book Antiqua" w:hAnsi="Book Antiqua"/>
          <w:i/>
          <w:iCs/>
          <w:szCs w:val="24"/>
          <w:lang w:val="es-PR"/>
        </w:rPr>
        <w:t xml:space="preserve">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Lebrón Rodríguez;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del Valle Correa;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Estévez Vélez, </w:t>
      </w:r>
      <w:proofErr w:type="spellStart"/>
      <w:r w:rsidRPr="00BC63DB">
        <w:rPr>
          <w:rFonts w:ascii="Book Antiqua" w:eastAsia="Aptos" w:hAnsi="Book Antiqua"/>
          <w:i/>
          <w:iCs/>
          <w:kern w:val="2"/>
          <w:szCs w:val="24"/>
          <w:lang w:val="es-ES"/>
          <w14:ligatures w14:val="standardContextual"/>
        </w:rPr>
        <w:t>Franqui</w:t>
      </w:r>
      <w:proofErr w:type="spellEnd"/>
      <w:r w:rsidRPr="00BC63DB">
        <w:rPr>
          <w:rFonts w:ascii="Book Antiqua" w:eastAsia="Aptos" w:hAnsi="Book Antiqua"/>
          <w:i/>
          <w:iCs/>
          <w:kern w:val="2"/>
          <w:szCs w:val="24"/>
          <w:lang w:val="es-ES"/>
          <w14:ligatures w14:val="standardContextual"/>
        </w:rPr>
        <w:t xml:space="preserve"> </w:t>
      </w:r>
      <w:proofErr w:type="spellStart"/>
      <w:r w:rsidRPr="00BC63DB">
        <w:rPr>
          <w:rFonts w:ascii="Book Antiqua" w:eastAsia="Aptos" w:hAnsi="Book Antiqua"/>
          <w:i/>
          <w:iCs/>
          <w:kern w:val="2"/>
          <w:szCs w:val="24"/>
          <w:lang w:val="es-ES"/>
          <w14:ligatures w14:val="standardContextual"/>
        </w:rPr>
        <w:t>Atiles</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González Aguayo, González </w:t>
      </w:r>
      <w:proofErr w:type="spellStart"/>
      <w:r w:rsidRPr="00BC63DB">
        <w:rPr>
          <w:rFonts w:ascii="Book Antiqua" w:eastAsia="Aptos" w:hAnsi="Book Antiqua"/>
          <w:i/>
          <w:iCs/>
          <w:kern w:val="2"/>
          <w:szCs w:val="24"/>
          <w:lang w:val="es-ES"/>
          <w14:ligatures w14:val="standardContextual"/>
        </w:rPr>
        <w:t>González</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Hernández Concepción, Jiménez Torres;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Martínez Vázquez, Medina Calderón;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w:t>
      </w:r>
      <w:proofErr w:type="spellStart"/>
      <w:r w:rsidRPr="00BC63DB">
        <w:rPr>
          <w:rFonts w:ascii="Book Antiqua" w:eastAsia="Aptos" w:hAnsi="Book Antiqua"/>
          <w:i/>
          <w:iCs/>
          <w:kern w:val="2"/>
          <w:szCs w:val="24"/>
          <w:lang w:val="es-ES"/>
          <w14:ligatures w14:val="standardContextual"/>
        </w:rPr>
        <w:t>Morey</w:t>
      </w:r>
      <w:proofErr w:type="spellEnd"/>
      <w:r w:rsidRPr="00BC63DB">
        <w:rPr>
          <w:rFonts w:ascii="Book Antiqua" w:eastAsia="Aptos" w:hAnsi="Book Antiqua"/>
          <w:i/>
          <w:iCs/>
          <w:kern w:val="2"/>
          <w:szCs w:val="24"/>
          <w:lang w:val="es-ES"/>
          <w14:ligatures w14:val="standardContextual"/>
        </w:rPr>
        <w:t xml:space="preserve"> Noble, Muriel Sánchez, Navarro Suárez, Nieves, Rosario, Ocasio Ramos, Pacheco Burgos, Parés Otero;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Peña Dávila;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Pérez Cordero, Pérez Ortiz;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Pérez Ramírez, Ramos Rivera;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528A0F51" w14:textId="77777777" w:rsidR="00BC63DB" w:rsidRPr="00BC63DB" w:rsidRDefault="00BC63DB" w:rsidP="00BC63DB">
      <w:pPr>
        <w:ind w:left="720" w:hanging="630"/>
        <w:jc w:val="both"/>
        <w:rPr>
          <w:rFonts w:ascii="Book Antiqua" w:hAnsi="Book Antiqua"/>
          <w:i/>
          <w:iCs/>
          <w:lang w:val="es-ES"/>
        </w:rPr>
      </w:pPr>
    </w:p>
    <w:p w14:paraId="62A5A451" w14:textId="2FB7AC54" w:rsidR="00304ACE" w:rsidRPr="00BC63DB" w:rsidRDefault="003E0277" w:rsidP="00BC63DB">
      <w:pPr>
        <w:jc w:val="center"/>
        <w:rPr>
          <w:rFonts w:ascii="Book Antiqua" w:hAnsi="Book Antiqua"/>
          <w:iCs/>
          <w:szCs w:val="24"/>
          <w:lang w:val="es-PR"/>
        </w:rPr>
      </w:pPr>
      <w:r w:rsidRPr="00BC63DB">
        <w:rPr>
          <w:rFonts w:ascii="Book Antiqua" w:hAnsi="Book Antiqua"/>
          <w:iCs/>
          <w:lang w:val="es-PR"/>
        </w:rPr>
        <w:t xml:space="preserve">Referido a </w:t>
      </w:r>
      <w:r w:rsidR="00D2761C">
        <w:rPr>
          <w:rFonts w:ascii="Book Antiqua" w:hAnsi="Book Antiqua"/>
          <w:iCs/>
          <w:lang w:val="es-PR"/>
        </w:rPr>
        <w:t>la Comisión de Gobierno</w:t>
      </w:r>
    </w:p>
    <w:p w14:paraId="079DA3A0" w14:textId="77777777" w:rsidR="00304ACE" w:rsidRDefault="00304ACE" w:rsidP="00BC63DB">
      <w:pPr>
        <w:jc w:val="both"/>
        <w:rPr>
          <w:rFonts w:ascii="Book Antiqua" w:hAnsi="Book Antiqua"/>
          <w:lang w:val="es-PR"/>
        </w:rPr>
      </w:pPr>
    </w:p>
    <w:p w14:paraId="459AEFB1" w14:textId="77777777" w:rsidR="00304ACE" w:rsidRDefault="003E0277" w:rsidP="00BC63DB">
      <w:pPr>
        <w:jc w:val="center"/>
        <w:rPr>
          <w:rFonts w:ascii="Book Antiqua" w:hAnsi="Book Antiqua"/>
          <w:b/>
          <w:sz w:val="28"/>
          <w:szCs w:val="28"/>
          <w:lang w:val="es-PR"/>
        </w:rPr>
      </w:pPr>
      <w:r>
        <w:rPr>
          <w:rFonts w:ascii="Book Antiqua" w:hAnsi="Book Antiqua"/>
          <w:b/>
          <w:sz w:val="28"/>
          <w:szCs w:val="28"/>
          <w:lang w:val="es-PR"/>
        </w:rPr>
        <w:t>LEY</w:t>
      </w:r>
    </w:p>
    <w:p w14:paraId="63EA267A" w14:textId="77777777" w:rsidR="00304ACE" w:rsidRDefault="00304ACE" w:rsidP="00BC63DB">
      <w:pPr>
        <w:jc w:val="both"/>
        <w:rPr>
          <w:rFonts w:ascii="Book Antiqua" w:hAnsi="Book Antiqua"/>
          <w:lang w:val="es-PR"/>
        </w:rPr>
      </w:pPr>
    </w:p>
    <w:p w14:paraId="483FB863" w14:textId="0CB964FF" w:rsidR="00304ACE" w:rsidRDefault="003E0277" w:rsidP="00C80053">
      <w:pPr>
        <w:ind w:left="540" w:hanging="540"/>
        <w:jc w:val="both"/>
        <w:rPr>
          <w:rFonts w:ascii="Book Antiqua" w:eastAsia="Book Antiqua" w:hAnsi="Book Antiqua" w:cs="Book Antiqua"/>
          <w:color w:val="000000"/>
          <w:szCs w:val="24"/>
          <w:lang w:val="es-PR"/>
        </w:rPr>
      </w:pPr>
      <w:r>
        <w:rPr>
          <w:rFonts w:ascii="Book Antiqua" w:eastAsia="Book Antiqua" w:hAnsi="Book Antiqua" w:cs="Book Antiqua"/>
          <w:color w:val="000000"/>
          <w:szCs w:val="24"/>
          <w:lang w:val="es-PR"/>
        </w:rPr>
        <w:t xml:space="preserve">Para </w:t>
      </w:r>
      <w:r w:rsidRPr="00526FCE">
        <w:rPr>
          <w:rFonts w:ascii="Book Antiqua" w:eastAsia="Book Antiqua" w:hAnsi="Book Antiqua" w:cs="Book Antiqua"/>
          <w:color w:val="000000"/>
          <w:szCs w:val="24"/>
          <w:lang w:val="es-PR"/>
        </w:rPr>
        <w:t xml:space="preserve">enmendar el Artículo 1.6 de la Ley 17-2019, conocida como “Ley de Política Pública Energética de Puerto Rico”, y los Artículos 2.3 y 2.13 de la Ley Núm. 82-2010, según enmendada, conocida como “Ley de Política Pública de Diversificación Energética por Medio de Energía Renovable Sostenible y Alterna en Puerto Rico” para atemperar los objetivos de política pública energética a la </w:t>
      </w:r>
      <w:r w:rsidR="00C80053" w:rsidRPr="00526FCE">
        <w:rPr>
          <w:rFonts w:ascii="Book Antiqua" w:eastAsia="Book Antiqua" w:hAnsi="Book Antiqua" w:cs="Book Antiqua"/>
          <w:color w:val="000000"/>
          <w:szCs w:val="24"/>
          <w:lang w:val="es-PR"/>
        </w:rPr>
        <w:t xml:space="preserve"> urgente y precaria </w:t>
      </w:r>
      <w:r w:rsidRPr="00526FCE">
        <w:rPr>
          <w:rFonts w:ascii="Book Antiqua" w:eastAsia="Book Antiqua" w:hAnsi="Book Antiqua" w:cs="Book Antiqua"/>
          <w:color w:val="000000"/>
          <w:szCs w:val="24"/>
          <w:lang w:val="es-PR"/>
        </w:rPr>
        <w:t>realidad</w:t>
      </w:r>
      <w:r w:rsidR="00C80053" w:rsidRPr="00526FCE">
        <w:rPr>
          <w:rFonts w:ascii="Book Antiqua" w:eastAsia="Book Antiqua" w:hAnsi="Book Antiqua" w:cs="Book Antiqua"/>
          <w:color w:val="000000"/>
          <w:szCs w:val="24"/>
          <w:lang w:val="es-PR"/>
        </w:rPr>
        <w:t xml:space="preserve"> de la emergencia energética de Puerto Rico</w:t>
      </w:r>
      <w:r w:rsidRPr="00526FCE">
        <w:rPr>
          <w:rFonts w:ascii="Book Antiqua" w:eastAsia="Book Antiqua" w:hAnsi="Book Antiqua" w:cs="Book Antiqua"/>
          <w:color w:val="000000"/>
          <w:szCs w:val="24"/>
          <w:lang w:val="es-PR"/>
        </w:rPr>
        <w:t>; garantizar el cumplimiento con las metas establecidas para el 2050</w:t>
      </w:r>
      <w:r w:rsidR="00C80053" w:rsidRPr="00526FCE">
        <w:rPr>
          <w:rFonts w:ascii="Book Antiqua" w:eastAsia="Book Antiqua" w:hAnsi="Book Antiqua" w:cs="Book Antiqua"/>
          <w:color w:val="000000"/>
          <w:szCs w:val="24"/>
          <w:lang w:val="es-PR"/>
        </w:rPr>
        <w:t xml:space="preserve"> en particular la urgente necesidad de atender la confiabilidad y resiliencia del servicio eléctrico</w:t>
      </w:r>
      <w:r w:rsidRPr="00526FCE">
        <w:rPr>
          <w:rFonts w:ascii="Book Antiqua" w:eastAsia="Book Antiqua" w:hAnsi="Book Antiqua" w:cs="Book Antiqua"/>
          <w:color w:val="000000"/>
          <w:szCs w:val="24"/>
          <w:lang w:val="es-PR"/>
        </w:rPr>
        <w:t>; disponer sobre el cumplimiento con la presente Ley; y para otros fines relacionados.</w:t>
      </w:r>
    </w:p>
    <w:p w14:paraId="78DE4E9B" w14:textId="77777777" w:rsidR="00526FCE" w:rsidRDefault="00526FCE" w:rsidP="00C80053">
      <w:pPr>
        <w:ind w:left="540" w:hanging="540"/>
        <w:jc w:val="both"/>
        <w:rPr>
          <w:rFonts w:ascii="Book Antiqua" w:eastAsia="Book Antiqua" w:hAnsi="Book Antiqua" w:cs="Book Antiqua"/>
          <w:color w:val="000000"/>
          <w:szCs w:val="24"/>
          <w:lang w:val="es-PR"/>
        </w:rPr>
      </w:pPr>
    </w:p>
    <w:p w14:paraId="0F82894A" w14:textId="77777777" w:rsidR="00526FCE" w:rsidRDefault="00526FCE" w:rsidP="00C80053">
      <w:pPr>
        <w:ind w:left="540" w:hanging="540"/>
        <w:jc w:val="both"/>
        <w:rPr>
          <w:rFonts w:ascii="Book Antiqua" w:eastAsia="Book Antiqua" w:hAnsi="Book Antiqua" w:cs="Book Antiqua"/>
          <w:color w:val="000000"/>
          <w:szCs w:val="24"/>
          <w:lang w:val="es-PR"/>
        </w:rPr>
      </w:pPr>
    </w:p>
    <w:p w14:paraId="3FD8609E" w14:textId="77777777" w:rsidR="00304ACE" w:rsidRDefault="00304ACE" w:rsidP="00BC63DB">
      <w:pPr>
        <w:ind w:left="360" w:hanging="360"/>
        <w:jc w:val="both"/>
        <w:rPr>
          <w:rFonts w:ascii="Book Antiqua" w:hAnsi="Book Antiqua"/>
          <w:lang w:val="es-PR"/>
        </w:rPr>
      </w:pPr>
    </w:p>
    <w:p w14:paraId="6AFF6909" w14:textId="77777777" w:rsidR="00304ACE" w:rsidRPr="00BC63DB" w:rsidRDefault="003E0277" w:rsidP="00BC63DB">
      <w:pPr>
        <w:jc w:val="center"/>
        <w:rPr>
          <w:rFonts w:ascii="Book Antiqua" w:hAnsi="Book Antiqua"/>
          <w:bCs/>
          <w:szCs w:val="24"/>
          <w:lang w:val="es-PR"/>
        </w:rPr>
      </w:pPr>
      <w:r w:rsidRPr="00BC63DB">
        <w:rPr>
          <w:rFonts w:ascii="Book Antiqua" w:hAnsi="Book Antiqua"/>
          <w:bCs/>
          <w:szCs w:val="24"/>
          <w:lang w:val="es-PR"/>
        </w:rPr>
        <w:lastRenderedPageBreak/>
        <w:t>EXPOSICIÓN DE MOTIVOS</w:t>
      </w:r>
    </w:p>
    <w:p w14:paraId="3A2C95B8" w14:textId="77777777" w:rsidR="00BC63DB" w:rsidRPr="00BC63DB" w:rsidRDefault="00BC63DB" w:rsidP="00BC63DB">
      <w:pPr>
        <w:jc w:val="center"/>
        <w:rPr>
          <w:rFonts w:ascii="Book Antiqua" w:hAnsi="Book Antiqua"/>
          <w:b/>
          <w:szCs w:val="24"/>
          <w:lang w:val="es-ES"/>
        </w:rPr>
      </w:pPr>
    </w:p>
    <w:p w14:paraId="2ACFBD21" w14:textId="2402B8EC" w:rsidR="00C80053" w:rsidRDefault="00C80053" w:rsidP="00C80053">
      <w:pPr>
        <w:ind w:firstLine="720"/>
        <w:jc w:val="both"/>
        <w:rPr>
          <w:rFonts w:ascii="Book Antiqua" w:eastAsia="Book Antiqua" w:hAnsi="Book Antiqua" w:cs="Book Antiqua"/>
          <w:color w:val="000000" w:themeColor="text1"/>
          <w:szCs w:val="24"/>
          <w:lang w:val="es-PR"/>
        </w:rPr>
      </w:pPr>
      <w:r w:rsidRPr="00526FCE">
        <w:rPr>
          <w:rFonts w:ascii="Book Antiqua" w:eastAsia="Book Antiqua" w:hAnsi="Book Antiqua" w:cs="Book Antiqua"/>
          <w:color w:val="000000" w:themeColor="text1"/>
          <w:szCs w:val="24"/>
          <w:lang w:val="es-PR"/>
        </w:rPr>
        <w:t>No existe prioridad mayor para un gobierno que asegurar para su ciudadanía la seguridad y estabilidad energética -por medio de una infraestructura y sistema eléctrico que sea moderno,</w:t>
      </w:r>
      <w:r w:rsidRPr="00526FCE">
        <w:rPr>
          <w:lang w:val="es-PR"/>
        </w:rPr>
        <w:t xml:space="preserve"> </w:t>
      </w:r>
      <w:r w:rsidRPr="00526FCE">
        <w:rPr>
          <w:rFonts w:ascii="Book Antiqua" w:eastAsia="Book Antiqua" w:hAnsi="Book Antiqua" w:cs="Book Antiqua"/>
          <w:color w:val="000000" w:themeColor="text1"/>
          <w:szCs w:val="24"/>
          <w:lang w:val="es-PR"/>
        </w:rPr>
        <w:t>confiable, resiliente y costo-efectivo. Sólo teniendo seguridad energética se puede proveer y asegurar efectivamente otros servicios esenciales para el Pueblo incluyendo seguridad pública, servicios de salud, telecomunicaciones, transportación, y el desarrollo y crecimiento económico -y de empleos- en tan esenciales para Puerto Rico. Sobre esta clara prioridad es que debemos fundamentar la política pública energética de Puerto Rico hasta lograr las metas trazadas.</w:t>
      </w:r>
    </w:p>
    <w:p w14:paraId="24B97289" w14:textId="77777777" w:rsidR="00526FCE" w:rsidRPr="00526FCE" w:rsidRDefault="00526FCE" w:rsidP="00C80053">
      <w:pPr>
        <w:ind w:firstLine="720"/>
        <w:jc w:val="both"/>
        <w:rPr>
          <w:rFonts w:ascii="Book Antiqua" w:eastAsia="Book Antiqua" w:hAnsi="Book Antiqua" w:cs="Book Antiqua"/>
          <w:color w:val="000000" w:themeColor="text1"/>
          <w:szCs w:val="24"/>
          <w:lang w:val="es-PR"/>
        </w:rPr>
      </w:pPr>
    </w:p>
    <w:p w14:paraId="27583F5C" w14:textId="3C01C42D" w:rsidR="00304ACE" w:rsidRDefault="003E0277" w:rsidP="00BC63DB">
      <w:pPr>
        <w:ind w:firstLine="720"/>
        <w:jc w:val="both"/>
        <w:rPr>
          <w:rFonts w:ascii="Book Antiqua" w:eastAsia="Book Antiqua" w:hAnsi="Book Antiqua" w:cs="Book Antiqua"/>
          <w:szCs w:val="24"/>
          <w:lang w:val="es-PR"/>
        </w:rPr>
      </w:pPr>
      <w:r w:rsidRPr="00526FCE">
        <w:rPr>
          <w:rFonts w:ascii="Book Antiqua" w:eastAsia="Book Antiqua" w:hAnsi="Book Antiqua" w:cs="Book Antiqua"/>
          <w:color w:val="000000" w:themeColor="text1"/>
          <w:szCs w:val="24"/>
          <w:lang w:val="es-PR"/>
        </w:rPr>
        <w:t xml:space="preserve">Por la pasada década, ha sido la política pública del Gobierno de Puerto Rico diversificar la cartera de fuentes de generación de nuestro sistema de energía eléctrico para disminuir nuestra dependencia de combustibles fósiles que son </w:t>
      </w:r>
      <w:r w:rsidRPr="00526FCE">
        <w:rPr>
          <w:rFonts w:ascii="Book Antiqua" w:eastAsia="Book Antiqua" w:hAnsi="Book Antiqua" w:cs="Book Antiqua"/>
          <w:szCs w:val="24"/>
          <w:lang w:val="es-PR"/>
        </w:rPr>
        <w:t>dañinos a nuestra salud y nuestro medioambiente.</w:t>
      </w:r>
    </w:p>
    <w:p w14:paraId="355B2945" w14:textId="77777777" w:rsidR="00526FCE" w:rsidRPr="00526FCE" w:rsidRDefault="00526FCE" w:rsidP="00BC63DB">
      <w:pPr>
        <w:ind w:firstLine="720"/>
        <w:jc w:val="both"/>
        <w:rPr>
          <w:rFonts w:ascii="Book Antiqua" w:eastAsia="Book Antiqua" w:hAnsi="Book Antiqua" w:cs="Book Antiqua"/>
          <w:color w:val="000000" w:themeColor="text1"/>
          <w:szCs w:val="24"/>
          <w:lang w:val="es-PR"/>
        </w:rPr>
      </w:pPr>
    </w:p>
    <w:p w14:paraId="175A087C" w14:textId="3DCC8A3A" w:rsidR="00304ACE" w:rsidRPr="00526FCE" w:rsidRDefault="003E0277" w:rsidP="00BC63DB">
      <w:pPr>
        <w:ind w:firstLine="720"/>
        <w:jc w:val="both"/>
        <w:rPr>
          <w:rFonts w:ascii="Book Antiqua" w:eastAsia="Book Antiqua" w:hAnsi="Book Antiqua" w:cs="Book Antiqua"/>
          <w:color w:val="000000" w:themeColor="text1"/>
          <w:szCs w:val="24"/>
          <w:lang w:val="es-PR"/>
        </w:rPr>
      </w:pPr>
      <w:r w:rsidRPr="00526FCE">
        <w:rPr>
          <w:rFonts w:ascii="Book Antiqua" w:eastAsia="Book Antiqua" w:hAnsi="Book Antiqua" w:cs="Book Antiqua"/>
          <w:color w:val="000000" w:themeColor="text1"/>
          <w:szCs w:val="24"/>
          <w:lang w:val="es-PR"/>
        </w:rPr>
        <w:t xml:space="preserve">Aun cuando ha habido grandes avances en las fuentes de energía renovable y que Puerto Rico ha intentado acelerar la integración de estas a su cartera de generación, lo cierto es que </w:t>
      </w:r>
      <w:r w:rsidR="00C2584C" w:rsidRPr="00526FCE">
        <w:rPr>
          <w:rFonts w:ascii="Book Antiqua" w:eastAsia="Book Antiqua" w:hAnsi="Book Antiqua" w:cs="Book Antiqua"/>
          <w:color w:val="000000" w:themeColor="text1"/>
          <w:szCs w:val="24"/>
          <w:lang w:val="es-PR"/>
        </w:rPr>
        <w:t xml:space="preserve">persiste la inseguridad energética aun con operadores privados y la disponibilidad de fondos federales. Los retos además son exacerbados por el problema fiscal que enfrenta Puerto Rico, la imposibilidad de entrar en el mercado financiero y los atrasos en reconstrucción del sistema eléctrico, por lo que </w:t>
      </w:r>
      <w:r w:rsidRPr="00526FCE">
        <w:rPr>
          <w:rFonts w:ascii="Book Antiqua" w:eastAsia="Book Antiqua" w:hAnsi="Book Antiqua" w:cs="Book Antiqua"/>
          <w:color w:val="000000" w:themeColor="text1"/>
          <w:szCs w:val="24"/>
          <w:lang w:val="es-PR"/>
        </w:rPr>
        <w:t xml:space="preserve">no se van a poder cumplir las metas intermedias establecidas en la </w:t>
      </w:r>
      <w:r w:rsidRPr="00526FCE">
        <w:rPr>
          <w:rFonts w:ascii="Book Antiqua" w:eastAsia="Book Antiqua" w:hAnsi="Book Antiqua" w:cs="Book Antiqua"/>
          <w:smallCaps/>
          <w:color w:val="000000"/>
          <w:szCs w:val="24"/>
          <w:lang w:val="es-PR"/>
        </w:rPr>
        <w:t>Ley de Política Pública Energética de Puerto Rico</w:t>
      </w:r>
      <w:r w:rsidRPr="00526FCE">
        <w:rPr>
          <w:rFonts w:ascii="Book Antiqua" w:eastAsia="Book Antiqua" w:hAnsi="Book Antiqua" w:cs="Book Antiqua"/>
          <w:color w:val="000000" w:themeColor="text1"/>
          <w:szCs w:val="24"/>
          <w:lang w:val="es-PR"/>
        </w:rPr>
        <w:t xml:space="preserve">, Ley Núm. 17-2019, ni en la </w:t>
      </w:r>
      <w:r w:rsidRPr="00526FCE">
        <w:rPr>
          <w:rFonts w:ascii="Book Antiqua" w:eastAsia="Book Antiqua" w:hAnsi="Book Antiqua" w:cs="Book Antiqua"/>
          <w:smallCaps/>
          <w:color w:val="000000"/>
          <w:szCs w:val="24"/>
          <w:lang w:val="es-PR"/>
        </w:rPr>
        <w:t>Ley de Política Pública de Diversificación Energética por Medio de Energía Renovable Sostenible y Alterna en Puerto Rico</w:t>
      </w:r>
      <w:r w:rsidRPr="00526FCE">
        <w:rPr>
          <w:rFonts w:ascii="Book Antiqua" w:eastAsia="Book Antiqua" w:hAnsi="Book Antiqua" w:cs="Book Antiqua"/>
          <w:color w:val="000000"/>
          <w:szCs w:val="24"/>
          <w:lang w:val="es-PR"/>
        </w:rPr>
        <w:t>, Ley Núm. 82-2010, según enmendada</w:t>
      </w:r>
      <w:r w:rsidR="00035D41" w:rsidRPr="00526FCE">
        <w:rPr>
          <w:rFonts w:ascii="Book Antiqua" w:eastAsia="Book Antiqua" w:hAnsi="Book Antiqua" w:cs="Book Antiqua"/>
          <w:color w:val="000000" w:themeColor="text1"/>
          <w:szCs w:val="24"/>
          <w:lang w:val="es-PR"/>
        </w:rPr>
        <w:t xml:space="preserve">. A estas razones se </w:t>
      </w:r>
      <w:r w:rsidR="00076DE8" w:rsidRPr="00526FCE">
        <w:rPr>
          <w:rFonts w:ascii="Book Antiqua" w:eastAsia="Book Antiqua" w:hAnsi="Book Antiqua" w:cs="Book Antiqua"/>
          <w:color w:val="000000" w:themeColor="text1"/>
          <w:szCs w:val="24"/>
          <w:lang w:val="es-PR"/>
        </w:rPr>
        <w:t>une,</w:t>
      </w:r>
      <w:r w:rsidR="00035D41" w:rsidRPr="00526FCE">
        <w:rPr>
          <w:rFonts w:ascii="Book Antiqua" w:eastAsia="Book Antiqua" w:hAnsi="Book Antiqua" w:cs="Book Antiqua"/>
          <w:color w:val="000000" w:themeColor="text1"/>
          <w:szCs w:val="24"/>
          <w:lang w:val="es-PR"/>
        </w:rPr>
        <w:t xml:space="preserve"> además, </w:t>
      </w:r>
      <w:r w:rsidRPr="00526FCE">
        <w:rPr>
          <w:rFonts w:ascii="Book Antiqua" w:eastAsia="Book Antiqua" w:hAnsi="Book Antiqua" w:cs="Book Antiqua"/>
          <w:color w:val="000000" w:themeColor="text1"/>
          <w:szCs w:val="24"/>
          <w:lang w:val="es-PR"/>
        </w:rPr>
        <w:t xml:space="preserve">el alza </w:t>
      </w:r>
      <w:r w:rsidR="00E22588" w:rsidRPr="00526FCE">
        <w:rPr>
          <w:rFonts w:ascii="Book Antiqua" w:eastAsia="Book Antiqua" w:hAnsi="Book Antiqua" w:cs="Book Antiqua"/>
          <w:color w:val="000000" w:themeColor="text1"/>
          <w:szCs w:val="24"/>
          <w:lang w:val="es-PR"/>
        </w:rPr>
        <w:t xml:space="preserve">desmedida </w:t>
      </w:r>
      <w:r w:rsidRPr="00526FCE">
        <w:rPr>
          <w:rFonts w:ascii="Book Antiqua" w:eastAsia="Book Antiqua" w:hAnsi="Book Antiqua" w:cs="Book Antiqua"/>
          <w:color w:val="000000" w:themeColor="text1"/>
          <w:szCs w:val="24"/>
          <w:lang w:val="es-PR"/>
        </w:rPr>
        <w:t>en el costo</w:t>
      </w:r>
      <w:r w:rsidR="00035D41" w:rsidRPr="00526FCE">
        <w:rPr>
          <w:rFonts w:ascii="Book Antiqua" w:eastAsia="Book Antiqua" w:hAnsi="Book Antiqua" w:cs="Book Antiqua"/>
          <w:color w:val="000000" w:themeColor="text1"/>
          <w:szCs w:val="24"/>
          <w:lang w:val="es-PR"/>
        </w:rPr>
        <w:t xml:space="preserve"> de </w:t>
      </w:r>
      <w:r w:rsidR="00E22588" w:rsidRPr="00526FCE">
        <w:rPr>
          <w:rFonts w:ascii="Book Antiqua" w:eastAsia="Book Antiqua" w:hAnsi="Book Antiqua" w:cs="Book Antiqua"/>
          <w:color w:val="000000" w:themeColor="text1"/>
          <w:szCs w:val="24"/>
          <w:lang w:val="es-PR"/>
        </w:rPr>
        <w:t>energía</w:t>
      </w:r>
      <w:r w:rsidRPr="00526FCE">
        <w:rPr>
          <w:rFonts w:ascii="Book Antiqua" w:eastAsia="Book Antiqua" w:hAnsi="Book Antiqua" w:cs="Book Antiqua"/>
          <w:color w:val="000000" w:themeColor="text1"/>
          <w:szCs w:val="24"/>
          <w:lang w:val="es-PR"/>
        </w:rPr>
        <w:t xml:space="preserve"> al consumidor que resultaría de la integración de estas fuentes </w:t>
      </w:r>
      <w:r w:rsidR="00035D41" w:rsidRPr="00526FCE">
        <w:rPr>
          <w:rFonts w:ascii="Book Antiqua" w:eastAsia="Book Antiqua" w:hAnsi="Book Antiqua" w:cs="Book Antiqua"/>
          <w:color w:val="000000" w:themeColor="text1"/>
          <w:szCs w:val="24"/>
          <w:lang w:val="es-PR"/>
        </w:rPr>
        <w:t xml:space="preserve">renovables </w:t>
      </w:r>
      <w:r w:rsidRPr="00526FCE">
        <w:rPr>
          <w:rFonts w:ascii="Book Antiqua" w:eastAsia="Book Antiqua" w:hAnsi="Book Antiqua" w:cs="Book Antiqua"/>
          <w:color w:val="000000" w:themeColor="text1"/>
          <w:szCs w:val="24"/>
          <w:lang w:val="es-PR"/>
        </w:rPr>
        <w:t>en estos momentos</w:t>
      </w:r>
      <w:r w:rsidR="00035D41" w:rsidRPr="00526FCE">
        <w:rPr>
          <w:rFonts w:ascii="Book Antiqua" w:eastAsia="Book Antiqua" w:hAnsi="Book Antiqua" w:cs="Book Antiqua"/>
          <w:color w:val="000000" w:themeColor="text1"/>
          <w:szCs w:val="24"/>
          <w:lang w:val="es-PR"/>
        </w:rPr>
        <w:t xml:space="preserve"> por su naturaleza intermitente y variable. </w:t>
      </w:r>
      <w:r w:rsidRPr="00526FCE">
        <w:rPr>
          <w:rFonts w:ascii="Book Antiqua" w:eastAsia="Book Antiqua" w:hAnsi="Book Antiqua" w:cs="Book Antiqua"/>
          <w:color w:val="000000" w:themeColor="text1"/>
          <w:szCs w:val="24"/>
          <w:lang w:val="es-PR"/>
        </w:rPr>
        <w:t xml:space="preserve">La gran demanda mundial de fuentes renovables, junto con las limitaciones impuestas por las </w:t>
      </w:r>
      <w:r w:rsidR="00755AF3" w:rsidRPr="00526FCE">
        <w:rPr>
          <w:rFonts w:ascii="Book Antiqua" w:eastAsia="Book Antiqua" w:hAnsi="Book Antiqua" w:cs="Book Antiqua"/>
          <w:color w:val="000000" w:themeColor="text1"/>
          <w:szCs w:val="24"/>
          <w:lang w:val="es-PR"/>
        </w:rPr>
        <w:t xml:space="preserve">actuales </w:t>
      </w:r>
      <w:r w:rsidRPr="00526FCE">
        <w:rPr>
          <w:rFonts w:ascii="Book Antiqua" w:eastAsia="Book Antiqua" w:hAnsi="Book Antiqua" w:cs="Book Antiqua"/>
          <w:color w:val="000000" w:themeColor="text1"/>
          <w:szCs w:val="24"/>
          <w:lang w:val="es-PR"/>
        </w:rPr>
        <w:t xml:space="preserve">metas intermedias incluidas en la mencionada ley, han mantenido los precios de fuentes de generación renovables demasiado altos. Necesitamos energía limpia pero también necesitamos energía que nuestra gente pueda pagar. </w:t>
      </w:r>
    </w:p>
    <w:p w14:paraId="7C1B7961" w14:textId="77777777" w:rsidR="00BC63DB" w:rsidRPr="00526FCE" w:rsidRDefault="00BC63DB" w:rsidP="00BC63DB">
      <w:pPr>
        <w:ind w:firstLine="720"/>
        <w:jc w:val="both"/>
        <w:rPr>
          <w:rFonts w:ascii="Book Antiqua" w:eastAsia="Book Antiqua" w:hAnsi="Book Antiqua" w:cs="Book Antiqua"/>
          <w:color w:val="000000" w:themeColor="text1"/>
          <w:szCs w:val="24"/>
          <w:lang w:val="es-PR"/>
        </w:rPr>
      </w:pPr>
    </w:p>
    <w:p w14:paraId="43506FCD" w14:textId="142E76BF" w:rsidR="00304ACE" w:rsidRDefault="003E0277" w:rsidP="00BC63DB">
      <w:pPr>
        <w:ind w:firstLine="720"/>
        <w:jc w:val="both"/>
        <w:rPr>
          <w:rFonts w:ascii="Book Antiqua" w:eastAsia="Book Antiqua" w:hAnsi="Book Antiqua" w:cs="Book Antiqua"/>
          <w:color w:val="000000" w:themeColor="text1"/>
          <w:szCs w:val="24"/>
          <w:lang w:val="es-PR"/>
        </w:rPr>
      </w:pPr>
      <w:r w:rsidRPr="00526FCE">
        <w:rPr>
          <w:rFonts w:ascii="Book Antiqua" w:eastAsia="Book Antiqua" w:hAnsi="Book Antiqua" w:cs="Book Antiqua"/>
          <w:szCs w:val="24"/>
          <w:lang w:val="es-PR"/>
        </w:rPr>
        <w:t xml:space="preserve">Para atender esta situación de emergencia, necesitamos revisar las medidas impuestas en la ley </w:t>
      </w:r>
      <w:r w:rsidR="00410EB3" w:rsidRPr="00526FCE">
        <w:rPr>
          <w:rFonts w:ascii="Book Antiqua" w:eastAsia="Book Antiqua" w:hAnsi="Book Antiqua" w:cs="Book Antiqua"/>
          <w:szCs w:val="24"/>
          <w:lang w:val="es-PR"/>
        </w:rPr>
        <w:t xml:space="preserve">que, aunque </w:t>
      </w:r>
      <w:r w:rsidR="00076DE8" w:rsidRPr="00526FCE">
        <w:rPr>
          <w:rFonts w:ascii="Book Antiqua" w:eastAsia="Book Antiqua" w:hAnsi="Book Antiqua" w:cs="Book Antiqua"/>
          <w:szCs w:val="24"/>
          <w:lang w:val="es-PR"/>
        </w:rPr>
        <w:t>meritorias</w:t>
      </w:r>
      <w:r w:rsidR="00410EB3" w:rsidRPr="00526FCE">
        <w:rPr>
          <w:rFonts w:ascii="Book Antiqua" w:eastAsia="Book Antiqua" w:hAnsi="Book Antiqua" w:cs="Book Antiqua"/>
          <w:szCs w:val="24"/>
          <w:lang w:val="es-PR"/>
        </w:rPr>
        <w:t xml:space="preserve">, </w:t>
      </w:r>
      <w:r w:rsidR="00076DE8" w:rsidRPr="00526FCE">
        <w:rPr>
          <w:rFonts w:ascii="Book Antiqua" w:eastAsia="Book Antiqua" w:hAnsi="Book Antiqua" w:cs="Book Antiqua"/>
          <w:szCs w:val="24"/>
          <w:lang w:val="es-PR"/>
        </w:rPr>
        <w:t>requieren a</w:t>
      </w:r>
      <w:r w:rsidR="00755AF3" w:rsidRPr="00526FCE">
        <w:rPr>
          <w:rFonts w:ascii="Book Antiqua" w:eastAsia="Book Antiqua" w:hAnsi="Book Antiqua" w:cs="Book Antiqua"/>
          <w:szCs w:val="24"/>
          <w:lang w:val="es-PR"/>
        </w:rPr>
        <w:t>ctualizarse</w:t>
      </w:r>
      <w:r w:rsidR="00076DE8" w:rsidRPr="00526FCE">
        <w:rPr>
          <w:rFonts w:ascii="Book Antiqua" w:eastAsia="Book Antiqua" w:hAnsi="Book Antiqua" w:cs="Book Antiqua"/>
          <w:szCs w:val="24"/>
          <w:lang w:val="es-PR"/>
        </w:rPr>
        <w:t xml:space="preserve"> </w:t>
      </w:r>
      <w:r w:rsidRPr="00526FCE">
        <w:rPr>
          <w:rFonts w:ascii="Book Antiqua" w:eastAsia="Book Antiqua" w:hAnsi="Book Antiqua" w:cs="Book Antiqua"/>
          <w:szCs w:val="24"/>
          <w:lang w:val="es-PR"/>
        </w:rPr>
        <w:t>a la realidad de los tiempos y a la que vive nuestra gente. Siempre manteniendo la meta impuesta de que, en 2050, contemos con un sistema eléctrico en Puerto Rico cuya generación provenga en el 100% de fuentes renovables</w:t>
      </w:r>
      <w:r w:rsidRPr="00526FCE">
        <w:rPr>
          <w:rFonts w:ascii="Book Antiqua" w:eastAsia="Book Antiqua" w:hAnsi="Book Antiqua" w:cs="Book Antiqua"/>
          <w:color w:val="000000" w:themeColor="text1"/>
          <w:szCs w:val="24"/>
          <w:lang w:val="es-PR"/>
        </w:rPr>
        <w:t>.</w:t>
      </w:r>
    </w:p>
    <w:p w14:paraId="7529038C" w14:textId="77777777" w:rsidR="00526FCE" w:rsidRDefault="00526FCE" w:rsidP="00BC63DB">
      <w:pPr>
        <w:ind w:firstLine="720"/>
        <w:jc w:val="both"/>
        <w:rPr>
          <w:rFonts w:ascii="Book Antiqua" w:eastAsia="Book Antiqua" w:hAnsi="Book Antiqua" w:cs="Book Antiqua"/>
          <w:color w:val="000000" w:themeColor="text1"/>
          <w:szCs w:val="24"/>
          <w:lang w:val="es-PR"/>
        </w:rPr>
      </w:pPr>
    </w:p>
    <w:p w14:paraId="00BDDC77" w14:textId="77777777" w:rsidR="00526FCE" w:rsidRDefault="00526FCE" w:rsidP="00BC63DB">
      <w:pPr>
        <w:ind w:firstLine="720"/>
        <w:jc w:val="both"/>
        <w:rPr>
          <w:rFonts w:ascii="Book Antiqua" w:eastAsia="Book Antiqua" w:hAnsi="Book Antiqua" w:cs="Book Antiqua"/>
          <w:color w:val="000000" w:themeColor="text1"/>
          <w:szCs w:val="24"/>
          <w:lang w:val="es-PR"/>
        </w:rPr>
      </w:pPr>
    </w:p>
    <w:p w14:paraId="5F2155A1" w14:textId="77777777" w:rsidR="00526FCE" w:rsidRDefault="00526FCE" w:rsidP="00BC63DB">
      <w:pPr>
        <w:ind w:firstLine="720"/>
        <w:jc w:val="both"/>
        <w:rPr>
          <w:rFonts w:ascii="Book Antiqua" w:eastAsia="Book Antiqua" w:hAnsi="Book Antiqua" w:cs="Book Antiqua"/>
          <w:color w:val="000000" w:themeColor="text1"/>
          <w:szCs w:val="24"/>
          <w:lang w:val="es-PR"/>
        </w:rPr>
      </w:pPr>
    </w:p>
    <w:p w14:paraId="2CC624C2" w14:textId="77777777" w:rsidR="00526FCE" w:rsidRPr="00526FCE" w:rsidRDefault="00526FCE" w:rsidP="00BC63DB">
      <w:pPr>
        <w:ind w:firstLine="720"/>
        <w:jc w:val="both"/>
        <w:rPr>
          <w:rFonts w:ascii="Book Antiqua" w:eastAsia="Book Antiqua" w:hAnsi="Book Antiqua" w:cs="Book Antiqua"/>
          <w:szCs w:val="24"/>
          <w:lang w:val="es-PR"/>
        </w:rPr>
      </w:pPr>
    </w:p>
    <w:p w14:paraId="7FDDED2D" w14:textId="77777777" w:rsidR="00304ACE" w:rsidRDefault="00304ACE" w:rsidP="00BC63DB">
      <w:pPr>
        <w:rPr>
          <w:rFonts w:ascii="Book Antiqua" w:eastAsia="Book Antiqua" w:hAnsi="Book Antiqua" w:cs="Book Antiqua"/>
          <w:szCs w:val="24"/>
          <w:lang w:val="es-PR"/>
        </w:rPr>
      </w:pPr>
    </w:p>
    <w:p w14:paraId="38462C66" w14:textId="77777777" w:rsidR="00304ACE" w:rsidRDefault="003E0277" w:rsidP="00BC63DB">
      <w:pPr>
        <w:spacing w:line="480" w:lineRule="auto"/>
        <w:jc w:val="both"/>
        <w:rPr>
          <w:rFonts w:ascii="Book Antiqua" w:hAnsi="Book Antiqua"/>
          <w:bCs/>
          <w:i/>
          <w:iCs/>
          <w:szCs w:val="24"/>
          <w:lang w:val="es-PR"/>
        </w:rPr>
      </w:pPr>
      <w:r>
        <w:rPr>
          <w:rFonts w:ascii="Book Antiqua" w:hAnsi="Book Antiqua"/>
          <w:bCs/>
          <w:i/>
          <w:iCs/>
          <w:szCs w:val="24"/>
          <w:lang w:val="es-PR"/>
        </w:rPr>
        <w:lastRenderedPageBreak/>
        <w:t>DECRÉTASE POR LA ASAMBLEA LEGISLATIVA DE PUERTO RICO:</w:t>
      </w:r>
    </w:p>
    <w:p w14:paraId="75C2E103" w14:textId="77777777" w:rsidR="00304ACE" w:rsidRDefault="00304ACE">
      <w:pPr>
        <w:spacing w:line="480" w:lineRule="auto"/>
        <w:jc w:val="both"/>
        <w:rPr>
          <w:rFonts w:ascii="Book Antiqua" w:hAnsi="Book Antiqua"/>
          <w:szCs w:val="24"/>
          <w:lang w:val="es-PR"/>
        </w:rPr>
        <w:sectPr w:rsidR="00304ACE" w:rsidSect="00057D20">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011857AB" w14:textId="77777777" w:rsidR="00304ACE" w:rsidRPr="00526FCE" w:rsidRDefault="003E0277">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 xml:space="preserve">Sección 1.-Se enmienda el Artículo 1.6 de la Ley 17-2019, para que se lea como sigue: </w:t>
      </w:r>
    </w:p>
    <w:p w14:paraId="1DE7F4E5" w14:textId="77777777" w:rsidR="00304ACE" w:rsidRPr="00526FCE" w:rsidRDefault="003E0277">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 xml:space="preserve">“Artículo 1.6-Objetivos iniciales </w:t>
      </w:r>
    </w:p>
    <w:p w14:paraId="4746B547" w14:textId="77777777" w:rsidR="00304ACE" w:rsidRPr="00526FCE" w:rsidRDefault="003E0277">
      <w:pPr>
        <w:spacing w:line="480" w:lineRule="auto"/>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La política pública energética tiene como misión alcanzar, entre otros, los siguientes objetivos iniciales:</w:t>
      </w:r>
    </w:p>
    <w:p w14:paraId="60BD4A91" w14:textId="77777777" w:rsidR="00304ACE" w:rsidRPr="00526FCE" w:rsidRDefault="003E0277">
      <w:pPr>
        <w:pStyle w:val="ListParagraph"/>
        <w:numPr>
          <w:ilvl w:val="0"/>
          <w:numId w:val="1"/>
        </w:numPr>
        <w:spacing w:line="480" w:lineRule="auto"/>
        <w:jc w:val="both"/>
        <w:rPr>
          <w:rFonts w:ascii="Book Antiqua" w:hAnsi="Book Antiqua"/>
          <w:b/>
          <w:lang w:val="es-PR"/>
        </w:rPr>
      </w:pPr>
      <w:r w:rsidRPr="00526FCE">
        <w:rPr>
          <w:rFonts w:ascii="Book Antiqua" w:eastAsia="Book Antiqua" w:hAnsi="Book Antiqua" w:cs="Book Antiqua"/>
          <w:szCs w:val="24"/>
          <w:lang w:val="es-PR"/>
        </w:rPr>
        <w:t>…</w:t>
      </w:r>
    </w:p>
    <w:p w14:paraId="2E02475F" w14:textId="77777777" w:rsidR="00304ACE" w:rsidRPr="00526FCE" w:rsidRDefault="003E0277">
      <w:pPr>
        <w:pStyle w:val="ListParagraph"/>
        <w:numPr>
          <w:ilvl w:val="0"/>
          <w:numId w:val="1"/>
        </w:numPr>
        <w:spacing w:line="480" w:lineRule="auto"/>
        <w:jc w:val="both"/>
        <w:rPr>
          <w:rFonts w:ascii="Book Antiqua" w:hAnsi="Book Antiqua"/>
          <w:bCs/>
          <w:lang w:val="es-PR"/>
        </w:rPr>
      </w:pPr>
      <w:r w:rsidRPr="00526FCE">
        <w:rPr>
          <w:rFonts w:ascii="Book Antiqua" w:eastAsia="Book Antiqua" w:hAnsi="Book Antiqua" w:cs="Book Antiqua"/>
          <w:szCs w:val="24"/>
          <w:lang w:val="es-PR"/>
        </w:rPr>
        <w:t>…</w:t>
      </w:r>
    </w:p>
    <w:p w14:paraId="35ABE250" w14:textId="59F18A97" w:rsidR="00304ACE" w:rsidRPr="00526FCE" w:rsidRDefault="003E0277" w:rsidP="1C54EBEC">
      <w:pPr>
        <w:pStyle w:val="ListParagraph"/>
        <w:numPr>
          <w:ilvl w:val="0"/>
          <w:numId w:val="1"/>
        </w:numPr>
        <w:spacing w:line="480" w:lineRule="auto"/>
        <w:jc w:val="both"/>
        <w:rPr>
          <w:rFonts w:ascii="Book Antiqua" w:hAnsi="Book Antiqua"/>
          <w:lang w:val="es-PR"/>
        </w:rPr>
      </w:pPr>
      <w:r w:rsidRPr="00526FCE">
        <w:rPr>
          <w:rFonts w:ascii="Book Antiqua" w:hAnsi="Book Antiqua"/>
          <w:lang w:val="es-PR"/>
        </w:rPr>
        <w:t>Eliminar el uso de carbón como fuente de generación de energía</w:t>
      </w:r>
      <w:r w:rsidR="00D83C4E" w:rsidRPr="00526FCE">
        <w:rPr>
          <w:rFonts w:ascii="Book Antiqua" w:hAnsi="Book Antiqua"/>
          <w:lang w:val="es-PR"/>
        </w:rPr>
        <w:t xml:space="preserve"> en o antes del 31 de diciembre de 203</w:t>
      </w:r>
      <w:r w:rsidR="7C3CDC4B" w:rsidRPr="00526FCE">
        <w:rPr>
          <w:rFonts w:ascii="Book Antiqua" w:hAnsi="Book Antiqua"/>
          <w:lang w:val="es-PR"/>
        </w:rPr>
        <w:t>2</w:t>
      </w:r>
      <w:r w:rsidR="00D83C4E" w:rsidRPr="00526FCE">
        <w:rPr>
          <w:rFonts w:ascii="Book Antiqua" w:hAnsi="Book Antiqua"/>
          <w:lang w:val="es-PR"/>
        </w:rPr>
        <w:t xml:space="preserve">.  </w:t>
      </w:r>
      <w:r w:rsidRPr="00526FCE">
        <w:rPr>
          <w:rFonts w:ascii="Book Antiqua" w:hAnsi="Book Antiqua"/>
          <w:lang w:val="es-PR"/>
        </w:rPr>
        <w:t xml:space="preserve"> </w:t>
      </w:r>
    </w:p>
    <w:p w14:paraId="322BC3F3" w14:textId="77777777" w:rsidR="00304ACE" w:rsidRPr="00526FCE" w:rsidRDefault="003E0277">
      <w:pPr>
        <w:pStyle w:val="ListParagraph"/>
        <w:numPr>
          <w:ilvl w:val="0"/>
          <w:numId w:val="1"/>
        </w:numPr>
        <w:spacing w:line="480" w:lineRule="auto"/>
        <w:jc w:val="both"/>
        <w:rPr>
          <w:rFonts w:ascii="Book Antiqua" w:hAnsi="Book Antiqua"/>
          <w:lang w:val="es-PR"/>
        </w:rPr>
      </w:pPr>
      <w:r w:rsidRPr="00526FCE">
        <w:rPr>
          <w:rFonts w:ascii="Book Antiqua" w:hAnsi="Book Antiqua"/>
          <w:lang w:val="es-PR"/>
        </w:rPr>
        <w:t>…</w:t>
      </w:r>
    </w:p>
    <w:p w14:paraId="002CBCD5" w14:textId="77777777" w:rsidR="00304ACE" w:rsidRPr="00526FCE" w:rsidRDefault="003E0277">
      <w:pPr>
        <w:pStyle w:val="ListParagraph"/>
        <w:numPr>
          <w:ilvl w:val="0"/>
          <w:numId w:val="1"/>
        </w:numPr>
        <w:spacing w:line="480" w:lineRule="auto"/>
        <w:jc w:val="both"/>
        <w:rPr>
          <w:rFonts w:ascii="Book Antiqua" w:hAnsi="Book Antiqua"/>
          <w:lang w:val="es-PR"/>
        </w:rPr>
      </w:pPr>
      <w:r w:rsidRPr="00526FCE">
        <w:rPr>
          <w:rFonts w:ascii="Book Antiqua" w:hAnsi="Book Antiqua"/>
          <w:lang w:val="es-PR"/>
        </w:rPr>
        <w:t>…</w:t>
      </w:r>
    </w:p>
    <w:p w14:paraId="1CB6883F" w14:textId="77777777" w:rsidR="00304ACE" w:rsidRPr="00526FCE" w:rsidRDefault="003E0277">
      <w:pPr>
        <w:pStyle w:val="ListParagraph"/>
        <w:numPr>
          <w:ilvl w:val="0"/>
          <w:numId w:val="1"/>
        </w:numPr>
        <w:spacing w:line="480" w:lineRule="auto"/>
        <w:jc w:val="both"/>
        <w:rPr>
          <w:rFonts w:ascii="Book Antiqua" w:hAnsi="Book Antiqua"/>
          <w:lang w:val="es-PR"/>
        </w:rPr>
      </w:pPr>
      <w:r w:rsidRPr="00526FCE">
        <w:rPr>
          <w:rFonts w:ascii="Book Antiqua" w:hAnsi="Book Antiqua"/>
          <w:lang w:val="es-PR"/>
        </w:rPr>
        <w:t>…</w:t>
      </w:r>
    </w:p>
    <w:p w14:paraId="15F9A95E" w14:textId="3B582CED" w:rsidR="00304ACE" w:rsidRPr="00526FCE" w:rsidRDefault="00C16A8E" w:rsidP="00C16A8E">
      <w:pPr>
        <w:pStyle w:val="ListParagraph"/>
        <w:numPr>
          <w:ilvl w:val="0"/>
          <w:numId w:val="1"/>
        </w:numPr>
        <w:spacing w:line="480" w:lineRule="auto"/>
        <w:jc w:val="both"/>
        <w:rPr>
          <w:rFonts w:ascii="Book Antiqua" w:hAnsi="Book Antiqua"/>
          <w:lang w:val="es-PR"/>
        </w:rPr>
      </w:pPr>
      <w:r w:rsidRPr="00526FCE">
        <w:rPr>
          <w:rFonts w:ascii="Book Antiqua" w:hAnsi="Book Antiqua"/>
          <w:lang w:val="es-PR"/>
        </w:rPr>
        <w:t xml:space="preserve">Mientras la tecnología permita sin comprometer la confiabilidad, estabilidad, continuidad del sistema eléctrico, reducir </w:t>
      </w:r>
      <w:r w:rsidR="003E0277" w:rsidRPr="00526FCE">
        <w:rPr>
          <w:rFonts w:ascii="Book Antiqua" w:hAnsi="Book Antiqua"/>
          <w:lang w:val="es-PR"/>
        </w:rPr>
        <w:t xml:space="preserve">el uso de combustibles fósiles para la generación de energía, mediante la integración de energía renovable de forma ordenada y progresiva, garantizando la estabilidad del Sistema Eléctrico a un costo razonable mientras se maximizan los recursos de energía renovable a corto, mediano y largo plazo. Para ello, se establece una Cartera de Energía Renovable con el fin de alcanzar un cien por ciento (100%) </w:t>
      </w:r>
      <w:r w:rsidR="00B63EE6" w:rsidRPr="00526FCE">
        <w:rPr>
          <w:rFonts w:ascii="Book Antiqua" w:hAnsi="Book Antiqua"/>
          <w:lang w:val="es-PR"/>
        </w:rPr>
        <w:t xml:space="preserve">de la producción para suplir la demanda </w:t>
      </w:r>
      <w:r w:rsidR="003E0277" w:rsidRPr="00526FCE">
        <w:rPr>
          <w:rFonts w:ascii="Book Antiqua" w:hAnsi="Book Antiqua"/>
          <w:lang w:val="es-PR"/>
        </w:rPr>
        <w:t xml:space="preserve">en o antes del 2050. </w:t>
      </w:r>
    </w:p>
    <w:p w14:paraId="5AAC08A4" w14:textId="77777777" w:rsidR="00304ACE" w:rsidRPr="00526FCE" w:rsidRDefault="003E0277">
      <w:pPr>
        <w:pStyle w:val="ListParagraph"/>
        <w:numPr>
          <w:ilvl w:val="0"/>
          <w:numId w:val="1"/>
        </w:numPr>
        <w:spacing w:line="480" w:lineRule="auto"/>
        <w:jc w:val="both"/>
        <w:rPr>
          <w:rFonts w:ascii="Book Antiqua" w:hAnsi="Book Antiqua"/>
          <w:b/>
          <w:bCs/>
          <w:szCs w:val="24"/>
          <w:lang w:val="es-PR"/>
        </w:rPr>
      </w:pPr>
      <w:r w:rsidRPr="00526FCE">
        <w:rPr>
          <w:rFonts w:ascii="Book Antiqua" w:hAnsi="Book Antiqua"/>
          <w:szCs w:val="24"/>
          <w:lang w:val="es-PR"/>
        </w:rPr>
        <w:t>…</w:t>
      </w:r>
    </w:p>
    <w:p w14:paraId="244280C5" w14:textId="77777777" w:rsidR="00304ACE" w:rsidRPr="00526FCE" w:rsidRDefault="003E0277">
      <w:pPr>
        <w:pStyle w:val="ListParagraph"/>
        <w:numPr>
          <w:ilvl w:val="0"/>
          <w:numId w:val="1"/>
        </w:numPr>
        <w:spacing w:line="480" w:lineRule="auto"/>
        <w:jc w:val="both"/>
        <w:rPr>
          <w:rFonts w:ascii="Book Antiqua" w:hAnsi="Book Antiqua"/>
          <w:b/>
          <w:bCs/>
          <w:szCs w:val="24"/>
          <w:lang w:val="es-PR"/>
        </w:rPr>
      </w:pPr>
      <w:r w:rsidRPr="00526FCE">
        <w:rPr>
          <w:rFonts w:ascii="Book Antiqua" w:hAnsi="Book Antiqua"/>
          <w:b/>
          <w:bCs/>
          <w:szCs w:val="24"/>
          <w:lang w:val="es-PR"/>
        </w:rPr>
        <w:lastRenderedPageBreak/>
        <w:t>…</w:t>
      </w:r>
    </w:p>
    <w:p w14:paraId="514011E8" w14:textId="77777777" w:rsidR="00304ACE" w:rsidRPr="00526FCE" w:rsidRDefault="003E0277">
      <w:pPr>
        <w:pStyle w:val="ListParagraph"/>
        <w:numPr>
          <w:ilvl w:val="0"/>
          <w:numId w:val="1"/>
        </w:numPr>
        <w:spacing w:line="480" w:lineRule="auto"/>
        <w:jc w:val="both"/>
        <w:rPr>
          <w:rFonts w:ascii="Book Antiqua" w:hAnsi="Book Antiqua"/>
          <w:szCs w:val="24"/>
          <w:lang w:val="es-PR"/>
        </w:rPr>
      </w:pPr>
      <w:r w:rsidRPr="00526FCE">
        <w:rPr>
          <w:rFonts w:ascii="Book Antiqua" w:hAnsi="Book Antiqua"/>
          <w:b/>
          <w:bCs/>
          <w:szCs w:val="24"/>
          <w:lang w:val="es-PR"/>
        </w:rPr>
        <w:t xml:space="preserve"> </w:t>
      </w:r>
      <w:r w:rsidRPr="00526FCE">
        <w:rPr>
          <w:rFonts w:ascii="Book Antiqua" w:hAnsi="Book Antiqua"/>
          <w:szCs w:val="24"/>
          <w:lang w:val="es-PR"/>
        </w:rPr>
        <w:t>…</w:t>
      </w:r>
    </w:p>
    <w:p w14:paraId="7753EE78" w14:textId="31756CB6" w:rsidR="00304ACE" w:rsidRPr="00526FCE" w:rsidRDefault="003E0277">
      <w:pPr>
        <w:spacing w:line="480" w:lineRule="auto"/>
        <w:ind w:firstLine="36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11) Uniformar…</w:t>
      </w:r>
    </w:p>
    <w:p w14:paraId="042DD392" w14:textId="0F216A98" w:rsidR="00304ACE" w:rsidRPr="00526FCE" w:rsidRDefault="003E0277">
      <w:pPr>
        <w:spacing w:line="480" w:lineRule="auto"/>
        <w:ind w:firstLine="36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12) Robustecer…</w:t>
      </w:r>
    </w:p>
    <w:p w14:paraId="16367559" w14:textId="7E064251" w:rsidR="00304ACE" w:rsidRPr="00526FCE" w:rsidRDefault="003E0277">
      <w:pPr>
        <w:spacing w:line="480" w:lineRule="auto"/>
        <w:ind w:firstLine="36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13) Requerir…</w:t>
      </w:r>
    </w:p>
    <w:p w14:paraId="1381E08A" w14:textId="7A504758" w:rsidR="00304ACE" w:rsidRPr="00526FCE" w:rsidRDefault="003E0277">
      <w:pPr>
        <w:spacing w:line="480" w:lineRule="auto"/>
        <w:ind w:firstLine="36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 xml:space="preserve">14) </w:t>
      </w:r>
      <w:r w:rsidRPr="00526FCE">
        <w:rPr>
          <w:rFonts w:ascii="Book Antiqua" w:hAnsi="Book Antiqua" w:cs="Arial"/>
          <w:shd w:val="clear" w:color="auto" w:fill="FFFFFF"/>
          <w:lang w:val="es-PR"/>
        </w:rPr>
        <w:t xml:space="preserve">Establecer los elementos necesarios para alcanzar la aspiración de nuestro Pueblo para contar con un Sistema Eléctrico </w:t>
      </w:r>
      <w:r w:rsidR="00B63EE6" w:rsidRPr="00526FCE">
        <w:rPr>
          <w:rFonts w:ascii="Book Antiqua" w:hAnsi="Book Antiqua" w:cs="Arial"/>
          <w:shd w:val="clear" w:color="auto" w:fill="FFFFFF"/>
          <w:lang w:val="es-PR"/>
        </w:rPr>
        <w:t xml:space="preserve">moderno, confiable, resiliente y estable, </w:t>
      </w:r>
      <w:r w:rsidRPr="00526FCE">
        <w:rPr>
          <w:rFonts w:ascii="Book Antiqua" w:hAnsi="Book Antiqua" w:cs="Arial"/>
          <w:shd w:val="clear" w:color="auto" w:fill="FFFFFF"/>
          <w:lang w:val="es-PR"/>
        </w:rPr>
        <w:t>con tarifas menores a los veinte centavos por kilovatio/hora (20¢/kWh), y energía limpia, moderna y confiable que sea la base del desarrollo económico sostenible de Puerto Rico.”</w:t>
      </w:r>
    </w:p>
    <w:p w14:paraId="6BED251B" w14:textId="77777777" w:rsidR="00304ACE" w:rsidRPr="00526FCE" w:rsidRDefault="003E0277">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Sección 2.-</w:t>
      </w:r>
      <w:r w:rsidRPr="00526FCE">
        <w:rPr>
          <w:lang w:val="es-PR"/>
        </w:rPr>
        <w:t xml:space="preserve"> </w:t>
      </w:r>
      <w:r w:rsidRPr="00526FCE">
        <w:rPr>
          <w:rFonts w:ascii="Book Antiqua" w:eastAsia="Book Antiqua" w:hAnsi="Book Antiqua" w:cs="Book Antiqua"/>
          <w:szCs w:val="24"/>
          <w:lang w:val="es-PR"/>
        </w:rPr>
        <w:t>Se enmienda el Artículo 2.3 de la Ley Núm. 82-2010, según enmendada, para que se lea como sigue:</w:t>
      </w:r>
    </w:p>
    <w:p w14:paraId="7B8A7CA5" w14:textId="77777777" w:rsidR="00304ACE" w:rsidRPr="00526FCE" w:rsidRDefault="003E0277">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 xml:space="preserve">“Artículo 2.3. — Cartera de Energía Renovable. </w:t>
      </w:r>
    </w:p>
    <w:p w14:paraId="036A89E2" w14:textId="68DD9DB1" w:rsidR="00304ACE" w:rsidRPr="00526FCE" w:rsidRDefault="7ACD122F" w:rsidP="7ACD122F">
      <w:pPr>
        <w:spacing w:line="480" w:lineRule="auto"/>
        <w:ind w:left="720"/>
        <w:jc w:val="both"/>
        <w:rPr>
          <w:rFonts w:ascii="Book Antiqua" w:eastAsia="Book Antiqua" w:hAnsi="Book Antiqua" w:cs="Book Antiqua"/>
          <w:b/>
          <w:bCs/>
          <w:lang w:val="es-PR"/>
        </w:rPr>
      </w:pPr>
      <w:r w:rsidRPr="00526FCE">
        <w:rPr>
          <w:rFonts w:ascii="Book Antiqua" w:eastAsia="Book Antiqua" w:hAnsi="Book Antiqua" w:cs="Book Antiqua"/>
          <w:lang w:val="es-PR"/>
        </w:rPr>
        <w:t>(a) ...</w:t>
      </w:r>
    </w:p>
    <w:p w14:paraId="156940C2" w14:textId="059DF16F" w:rsidR="00304ACE" w:rsidRPr="00EC22F1" w:rsidRDefault="7ACD122F" w:rsidP="00EC22F1">
      <w:pPr>
        <w:spacing w:line="480" w:lineRule="auto"/>
        <w:ind w:left="720"/>
        <w:jc w:val="both"/>
        <w:rPr>
          <w:rFonts w:ascii="Book Antiqua" w:eastAsia="Book Antiqua" w:hAnsi="Book Antiqua" w:cs="Book Antiqua"/>
          <w:b/>
          <w:bCs/>
          <w:szCs w:val="24"/>
          <w:lang w:val="es-PR"/>
        </w:rPr>
      </w:pPr>
      <w:r w:rsidRPr="00526FCE">
        <w:rPr>
          <w:rFonts w:ascii="Book Antiqua" w:eastAsia="Book Antiqua" w:hAnsi="Book Antiqua" w:cs="Book Antiqua"/>
          <w:lang w:val="es-PR"/>
        </w:rPr>
        <w:t>(b) Para el</w:t>
      </w:r>
      <w:r w:rsidR="00B63EE6" w:rsidRPr="00526FCE">
        <w:rPr>
          <w:rFonts w:ascii="Book Antiqua" w:eastAsia="Book Antiqua" w:hAnsi="Book Antiqua" w:cs="Book Antiqua"/>
          <w:lang w:val="es-PR"/>
        </w:rPr>
        <w:t xml:space="preserve"> </w:t>
      </w:r>
      <w:r w:rsidRPr="00526FCE">
        <w:rPr>
          <w:rFonts w:ascii="Book Antiqua" w:eastAsia="Book Antiqua" w:hAnsi="Book Antiqua" w:cs="Book Antiqua"/>
          <w:lang w:val="es-PR"/>
        </w:rPr>
        <w:t>2050, la Cartera de Energía Renovable aplicable a cada proveedor de energía al detal será</w:t>
      </w:r>
      <w:r w:rsidR="00EC22F1">
        <w:rPr>
          <w:rFonts w:ascii="Book Antiqua" w:eastAsia="Book Antiqua" w:hAnsi="Book Antiqua" w:cs="Book Antiqua"/>
          <w:b/>
          <w:bCs/>
          <w:szCs w:val="24"/>
          <w:lang w:val="es-PR"/>
        </w:rPr>
        <w:t xml:space="preserve"> </w:t>
      </w:r>
      <w:r w:rsidRPr="00526FCE">
        <w:rPr>
          <w:rFonts w:ascii="Book Antiqua" w:eastAsia="Book Antiqua" w:hAnsi="Book Antiqua" w:cs="Book Antiqua"/>
          <w:lang w:val="es-PR"/>
        </w:rPr>
        <w:t xml:space="preserve">el cien por ciento (100%). </w:t>
      </w:r>
    </w:p>
    <w:p w14:paraId="66B38E4D" w14:textId="5807725A" w:rsidR="00304ACE" w:rsidRPr="00526FCE" w:rsidRDefault="7ACD122F" w:rsidP="7ACD122F">
      <w:pPr>
        <w:spacing w:line="480" w:lineRule="auto"/>
        <w:ind w:firstLine="720"/>
        <w:jc w:val="both"/>
        <w:rPr>
          <w:rFonts w:ascii="Book Antiqua" w:eastAsia="Book Antiqua" w:hAnsi="Book Antiqua" w:cs="Book Antiqua"/>
          <w:lang w:val="es-PR"/>
        </w:rPr>
      </w:pPr>
      <w:r w:rsidRPr="00526FCE">
        <w:rPr>
          <w:rFonts w:ascii="Book Antiqua" w:eastAsia="Book Antiqua" w:hAnsi="Book Antiqua" w:cs="Book Antiqua"/>
          <w:lang w:val="es-PR"/>
        </w:rPr>
        <w:t>(c)</w:t>
      </w:r>
      <w:r w:rsidR="003E0277" w:rsidRPr="00526FCE">
        <w:rPr>
          <w:lang w:val="es-PR"/>
        </w:rPr>
        <w:tab/>
      </w:r>
      <w:r w:rsidRPr="00526FCE">
        <w:rPr>
          <w:rFonts w:ascii="Book Antiqua" w:eastAsia="Book Antiqua" w:hAnsi="Book Antiqua" w:cs="Book Antiqua"/>
          <w:lang w:val="es-PR"/>
        </w:rPr>
        <w:t>Para cada año natural…</w:t>
      </w:r>
    </w:p>
    <w:p w14:paraId="206AE49D" w14:textId="395215A0" w:rsidR="7ACD122F" w:rsidRPr="00526FCE" w:rsidRDefault="7ACD122F" w:rsidP="7ACD122F">
      <w:pPr>
        <w:spacing w:line="480" w:lineRule="auto"/>
        <w:ind w:firstLine="720"/>
        <w:jc w:val="both"/>
        <w:rPr>
          <w:rFonts w:ascii="Book Antiqua" w:eastAsia="Book Antiqua" w:hAnsi="Book Antiqua" w:cs="Book Antiqua"/>
          <w:lang w:val="es-PR"/>
        </w:rPr>
      </w:pPr>
      <w:r w:rsidRPr="00526FCE">
        <w:rPr>
          <w:rFonts w:ascii="Book Antiqua" w:eastAsia="Book Antiqua" w:hAnsi="Book Antiqua" w:cs="Book Antiqua"/>
          <w:lang w:val="es-PR"/>
        </w:rPr>
        <w:t>(d)</w:t>
      </w:r>
    </w:p>
    <w:p w14:paraId="715575EA" w14:textId="6F9131A4" w:rsidR="7ACD122F" w:rsidRPr="00526FCE" w:rsidRDefault="7ACD122F" w:rsidP="7ACD122F">
      <w:pPr>
        <w:spacing w:line="480" w:lineRule="auto"/>
        <w:ind w:firstLine="720"/>
        <w:jc w:val="both"/>
        <w:rPr>
          <w:rFonts w:ascii="Book Antiqua" w:eastAsia="Book Antiqua" w:hAnsi="Book Antiqua" w:cs="Book Antiqua"/>
          <w:lang w:val="es-PR"/>
        </w:rPr>
      </w:pPr>
      <w:r w:rsidRPr="00526FCE">
        <w:rPr>
          <w:rFonts w:ascii="Book Antiqua" w:eastAsia="Book Antiqua" w:hAnsi="Book Antiqua" w:cs="Book Antiqua"/>
          <w:lang w:val="es-PR"/>
        </w:rPr>
        <w:t>(e)</w:t>
      </w:r>
    </w:p>
    <w:p w14:paraId="5514513F" w14:textId="13709BAB" w:rsidR="00304ACE" w:rsidRPr="00526FCE" w:rsidRDefault="00EB24D6" w:rsidP="7ACD122F">
      <w:pPr>
        <w:spacing w:line="480" w:lineRule="auto"/>
        <w:ind w:firstLine="720"/>
        <w:jc w:val="both"/>
        <w:rPr>
          <w:rFonts w:ascii="Book Antiqua" w:eastAsia="Book Antiqua" w:hAnsi="Book Antiqua" w:cs="Book Antiqua"/>
          <w:lang w:val="es-PR"/>
        </w:rPr>
      </w:pPr>
      <w:r w:rsidRPr="00526FCE">
        <w:rPr>
          <w:rFonts w:ascii="Book Antiqua" w:eastAsia="Book Antiqua" w:hAnsi="Book Antiqua" w:cs="Book Antiqua"/>
          <w:lang w:val="es-PR"/>
        </w:rPr>
        <w:t>(</w:t>
      </w:r>
      <w:r w:rsidR="00FB3BFF" w:rsidRPr="00526FCE">
        <w:rPr>
          <w:rFonts w:ascii="Book Antiqua" w:eastAsia="Book Antiqua" w:hAnsi="Book Antiqua" w:cs="Book Antiqua"/>
          <w:lang w:val="es-PR"/>
        </w:rPr>
        <w:t>f</w:t>
      </w:r>
      <w:r w:rsidRPr="00526FCE">
        <w:rPr>
          <w:rFonts w:ascii="Book Antiqua" w:eastAsia="Book Antiqua" w:hAnsi="Book Antiqua" w:cs="Book Antiqua"/>
          <w:lang w:val="es-PR"/>
        </w:rPr>
        <w:t xml:space="preserve">) </w:t>
      </w:r>
      <w:r w:rsidR="7ACD122F" w:rsidRPr="00526FCE">
        <w:rPr>
          <w:rFonts w:ascii="Book Antiqua" w:eastAsia="Book Antiqua" w:hAnsi="Book Antiqua" w:cs="Book Antiqua"/>
          <w:lang w:val="es-PR"/>
        </w:rPr>
        <w:t>Todo lo relacionado…”</w:t>
      </w:r>
    </w:p>
    <w:p w14:paraId="1C6A984C" w14:textId="77777777" w:rsidR="00304ACE" w:rsidRPr="00526FCE" w:rsidRDefault="003E0277">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Sección 3.-</w:t>
      </w:r>
      <w:r w:rsidRPr="00526FCE">
        <w:rPr>
          <w:lang w:val="es-PR"/>
        </w:rPr>
        <w:t xml:space="preserve"> </w:t>
      </w:r>
      <w:r w:rsidRPr="00526FCE">
        <w:rPr>
          <w:rFonts w:ascii="Book Antiqua" w:eastAsia="Book Antiqua" w:hAnsi="Book Antiqua" w:cs="Book Antiqua"/>
          <w:szCs w:val="24"/>
          <w:lang w:val="es-PR"/>
        </w:rPr>
        <w:t>Se enmienda el Artículo 2.13 de la Ley Núm. 82-2010, según enmendada, para que se lea como sigue:</w:t>
      </w:r>
    </w:p>
    <w:p w14:paraId="693F549C" w14:textId="77777777" w:rsidR="00304ACE" w:rsidRPr="00526FCE" w:rsidRDefault="003E0277">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“Artículo 2.13. — Prohibición de uso de combustión de carbón.</w:t>
      </w:r>
    </w:p>
    <w:p w14:paraId="6DE6DF5B" w14:textId="19F08E3D" w:rsidR="00304ACE" w:rsidRPr="00526FCE" w:rsidRDefault="003E0277">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lastRenderedPageBreak/>
        <w:t xml:space="preserve">Como parte de la política pública del Gobierno de Puerto Rico de </w:t>
      </w:r>
      <w:r w:rsidR="00FC7183" w:rsidRPr="00526FCE">
        <w:rPr>
          <w:rFonts w:ascii="Book Antiqua" w:eastAsia="Book Antiqua" w:hAnsi="Book Antiqua" w:cs="Book Antiqua"/>
          <w:szCs w:val="24"/>
          <w:lang w:val="es-PR"/>
        </w:rPr>
        <w:t xml:space="preserve">reducir responsablemente hasta </w:t>
      </w:r>
      <w:r w:rsidRPr="00526FCE">
        <w:rPr>
          <w:rFonts w:ascii="Book Antiqua" w:eastAsia="Book Antiqua" w:hAnsi="Book Antiqua" w:cs="Book Antiqua"/>
          <w:szCs w:val="24"/>
          <w:lang w:val="es-PR"/>
        </w:rPr>
        <w:t xml:space="preserve">eliminar nuestra dependencia de </w:t>
      </w:r>
      <w:bookmarkStart w:id="1" w:name="_Hlk191295947"/>
      <w:r w:rsidRPr="00526FCE">
        <w:rPr>
          <w:rFonts w:ascii="Book Antiqua" w:eastAsia="Book Antiqua" w:hAnsi="Book Antiqua" w:cs="Book Antiqua"/>
          <w:szCs w:val="24"/>
          <w:lang w:val="es-PR"/>
        </w:rPr>
        <w:t>fuentes de energía derivadas de combustibles fósiles</w:t>
      </w:r>
      <w:bookmarkEnd w:id="1"/>
      <w:r w:rsidRPr="00526FCE">
        <w:rPr>
          <w:rFonts w:ascii="Book Antiqua" w:eastAsia="Book Antiqua" w:hAnsi="Book Antiqua" w:cs="Book Antiqua"/>
          <w:szCs w:val="24"/>
          <w:lang w:val="es-PR"/>
        </w:rPr>
        <w:t xml:space="preserve">, se prohíbe la concesión de nuevos contratos y/o permisos para el establecimiento de plantas de generación de energía a base de carbón y sus derivados. Asimismo, ningún permiso o enmienda a contrato existente a la fecha de aprobación de la Ley de Política Pública Energética podrá autorizar o contemplar la quema de carbón como fuente para la generación de energía a partir de la fecha dispuesta en dicha Ley. </w:t>
      </w:r>
    </w:p>
    <w:p w14:paraId="3F6CC09F" w14:textId="0FFF198B" w:rsidR="00304ACE" w:rsidRPr="00526FCE" w:rsidRDefault="00D62DAD" w:rsidP="00E965CA">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 xml:space="preserve">A los fines de sustituir el uso del carbón, </w:t>
      </w:r>
      <w:r w:rsidR="003E0277" w:rsidRPr="00526FCE">
        <w:rPr>
          <w:rFonts w:ascii="Book Antiqua" w:eastAsia="Book Antiqua" w:hAnsi="Book Antiqua" w:cs="Book Antiqua"/>
          <w:szCs w:val="24"/>
          <w:lang w:val="es-PR"/>
        </w:rPr>
        <w:t>se podrá sustituir la capacidad</w:t>
      </w:r>
      <w:r w:rsidRPr="00526FCE">
        <w:rPr>
          <w:rFonts w:ascii="Book Antiqua" w:eastAsia="Book Antiqua" w:hAnsi="Book Antiqua" w:cs="Book Antiqua"/>
          <w:szCs w:val="24"/>
          <w:lang w:val="es-PR"/>
        </w:rPr>
        <w:t xml:space="preserve"> total controlada</w:t>
      </w:r>
      <w:r w:rsidR="003E0277" w:rsidRPr="00526FCE">
        <w:rPr>
          <w:rFonts w:ascii="Book Antiqua" w:eastAsia="Book Antiqua" w:hAnsi="Book Antiqua" w:cs="Book Antiqua"/>
          <w:szCs w:val="24"/>
          <w:lang w:val="es-PR"/>
        </w:rPr>
        <w:t xml:space="preserve"> de generación existente a base de carbón por capacidad de generación de energía </w:t>
      </w:r>
      <w:r w:rsidRPr="00526FCE">
        <w:rPr>
          <w:rFonts w:ascii="Book Antiqua" w:eastAsia="Book Antiqua" w:hAnsi="Book Antiqua" w:cs="Book Antiqua"/>
          <w:szCs w:val="24"/>
          <w:lang w:val="es-PR"/>
        </w:rPr>
        <w:t xml:space="preserve">nueva y equivalente no intermitente (“base load”, de dicha capacidad (total controlada), </w:t>
      </w:r>
      <w:r w:rsidR="003E0277" w:rsidRPr="00526FCE">
        <w:rPr>
          <w:rFonts w:ascii="Book Antiqua" w:eastAsia="Book Antiqua" w:hAnsi="Book Antiqua" w:cs="Book Antiqua"/>
          <w:szCs w:val="24"/>
          <w:lang w:val="es-PR"/>
        </w:rPr>
        <w:t xml:space="preserve">utilizando otras fuentes que cumplan con la Ley de Política Pública Energética de Puerto Rico, mediante la extensión de contratos y/o renovación de permisos existentes basados en la nueva fuente de generación. Dicha sustitución de la capacidad de generación </w:t>
      </w:r>
      <w:r w:rsidRPr="00526FCE">
        <w:rPr>
          <w:rFonts w:ascii="Book Antiqua" w:eastAsia="Book Antiqua" w:hAnsi="Book Antiqua" w:cs="Book Antiqua"/>
          <w:szCs w:val="24"/>
          <w:lang w:val="es-PR"/>
        </w:rPr>
        <w:t xml:space="preserve">a base de carbón </w:t>
      </w:r>
      <w:r w:rsidR="003E0277" w:rsidRPr="00526FCE">
        <w:rPr>
          <w:rFonts w:ascii="Book Antiqua" w:eastAsia="Book Antiqua" w:hAnsi="Book Antiqua" w:cs="Book Antiqua"/>
          <w:szCs w:val="24"/>
          <w:lang w:val="es-PR"/>
        </w:rPr>
        <w:t>mediante otras fuentes de energía deberá ser autorizado por el Negociado</w:t>
      </w:r>
      <w:r w:rsidRPr="00526FCE">
        <w:rPr>
          <w:rFonts w:ascii="Book Antiqua" w:eastAsia="Book Antiqua" w:hAnsi="Book Antiqua" w:cs="Book Antiqua"/>
          <w:szCs w:val="24"/>
          <w:lang w:val="es-PR"/>
        </w:rPr>
        <w:t>, siguiendo los requisitos aplicables en Ley,</w:t>
      </w:r>
      <w:r w:rsidR="003E0277" w:rsidRPr="00526FCE">
        <w:rPr>
          <w:rFonts w:ascii="Book Antiqua" w:eastAsia="Book Antiqua" w:hAnsi="Book Antiqua" w:cs="Book Antiqua"/>
          <w:szCs w:val="24"/>
          <w:lang w:val="es-PR"/>
        </w:rPr>
        <w:t xml:space="preserve"> y resultar en la eliminación total del uso de carbón como fuente para la generación de energía en Puerto Rico.</w:t>
      </w:r>
      <w:r w:rsidRPr="00526FCE">
        <w:rPr>
          <w:rFonts w:ascii="Book Antiqua" w:eastAsia="Book Antiqua" w:hAnsi="Book Antiqua" w:cs="Book Antiqua"/>
          <w:szCs w:val="24"/>
          <w:lang w:val="es-PR"/>
        </w:rPr>
        <w:t xml:space="preserve"> </w:t>
      </w:r>
      <w:r w:rsidR="00E965CA" w:rsidRPr="00526FCE">
        <w:rPr>
          <w:rFonts w:ascii="Book Antiqua" w:eastAsia="Book Antiqua" w:hAnsi="Book Antiqua" w:cs="Book Antiqua"/>
          <w:szCs w:val="24"/>
          <w:lang w:val="es-PR"/>
        </w:rPr>
        <w:t xml:space="preserve"> </w:t>
      </w:r>
      <w:r w:rsidRPr="00526FCE">
        <w:rPr>
          <w:rFonts w:ascii="Book Antiqua" w:eastAsia="Book Antiqua" w:hAnsi="Book Antiqua" w:cs="Book Antiqua"/>
          <w:szCs w:val="24"/>
          <w:lang w:val="es-PR"/>
        </w:rPr>
        <w:t xml:space="preserve">Si fuere necesario la renovación de permisos existentes o la concesión de permisos nuevos para la sustitución de la capacidad existente, todos los permisos, consultas, variaciones, endosos, certificaciones, concesiones, y autorizaciones necesarios, incluyendo, pero sin limitarse a, los trámites relativos al cumplimiento con la Ley 416-2004, según enmendada, conocida como “Ley sobre Política Pública Ambiental”, deberán </w:t>
      </w:r>
      <w:r w:rsidRPr="00526FCE">
        <w:rPr>
          <w:rFonts w:ascii="Book Antiqua" w:eastAsia="Book Antiqua" w:hAnsi="Book Antiqua" w:cs="Book Antiqua"/>
          <w:szCs w:val="24"/>
          <w:lang w:val="es-PR"/>
        </w:rPr>
        <w:lastRenderedPageBreak/>
        <w:t>ser tramitados por la Oficina de Gerencia de Permisos y demás agencias concernidas siguiendo los procedimientos expeditos para estados de emergencia.”</w:t>
      </w:r>
    </w:p>
    <w:p w14:paraId="3809C826" w14:textId="77777777" w:rsidR="00304ACE" w:rsidRPr="00526FCE" w:rsidRDefault="003E0277">
      <w:pPr>
        <w:pStyle w:val="ListParagraph"/>
        <w:spacing w:line="480" w:lineRule="auto"/>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 xml:space="preserve">Sección 4.- Cláusula de Transición.  </w:t>
      </w:r>
    </w:p>
    <w:p w14:paraId="6A5029AD" w14:textId="77777777" w:rsidR="00304ACE" w:rsidRPr="00526FCE" w:rsidRDefault="003E0277">
      <w:pPr>
        <w:spacing w:line="480" w:lineRule="auto"/>
        <w:ind w:firstLine="720"/>
        <w:jc w:val="both"/>
        <w:rPr>
          <w:rFonts w:ascii="Book Antiqua" w:hAnsi="Book Antiqua"/>
          <w:szCs w:val="24"/>
          <w:lang w:val="es-PR"/>
        </w:rPr>
      </w:pPr>
      <w:r w:rsidRPr="00526FCE">
        <w:rPr>
          <w:rFonts w:ascii="Book Antiqua" w:hAnsi="Book Antiqua"/>
          <w:szCs w:val="24"/>
          <w:lang w:val="es-PR"/>
        </w:rPr>
        <w:t xml:space="preserve">Toda persona -natural o jurídica-, entidad pública o privada, que tenga o tuviere en el futuro que cumplir con los propósitos de la Ley Núm. 17-2019, según enmendada, realizará los cambios en sus reglas, reglamentos, normas y procedimientos para cumplir con lo dispuesto en la presente Ley y de esta forma, garantizar el más fiel cumplimiento con la Política Pública Energética de Puerto Rico. </w:t>
      </w:r>
    </w:p>
    <w:p w14:paraId="11910E13" w14:textId="77777777" w:rsidR="00304ACE" w:rsidRPr="00526FCE" w:rsidRDefault="003E0277">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 xml:space="preserve">Sección 5.- Vigencia. </w:t>
      </w:r>
    </w:p>
    <w:p w14:paraId="2CEEAFD2" w14:textId="67FB5DF4" w:rsidR="007C79FD" w:rsidRDefault="003E0277" w:rsidP="007C79FD">
      <w:pPr>
        <w:spacing w:line="480" w:lineRule="auto"/>
        <w:ind w:firstLine="720"/>
        <w:jc w:val="both"/>
        <w:rPr>
          <w:rFonts w:ascii="Book Antiqua" w:eastAsia="Book Antiqua" w:hAnsi="Book Antiqua" w:cs="Book Antiqua"/>
          <w:szCs w:val="24"/>
          <w:lang w:val="es-PR"/>
        </w:rPr>
      </w:pPr>
      <w:r w:rsidRPr="00526FCE">
        <w:rPr>
          <w:rFonts w:ascii="Book Antiqua" w:eastAsia="Book Antiqua" w:hAnsi="Book Antiqua" w:cs="Book Antiqua"/>
          <w:szCs w:val="24"/>
          <w:lang w:val="es-PR"/>
        </w:rPr>
        <w:t>Esta Ley entrará en vigor inmediatamente después de su aprobación.</w:t>
      </w:r>
    </w:p>
    <w:p w14:paraId="054D474C" w14:textId="4363176A" w:rsidR="00EC22F1" w:rsidRPr="00EC22F1" w:rsidRDefault="00EC22F1" w:rsidP="00EC22F1">
      <w:pPr>
        <w:suppressLineNumbers/>
        <w:ind w:left="2074" w:right="2434"/>
        <w:contextualSpacing/>
        <w:jc w:val="center"/>
        <w:rPr>
          <w:rFonts w:ascii="Book Antiqua" w:hAnsi="Book Antiqua" w:cs="Arial"/>
          <w:b/>
          <w:lang w:val="es-ES"/>
        </w:rPr>
      </w:pPr>
    </w:p>
    <w:sectPr w:rsidR="00EC22F1" w:rsidRPr="00EC22F1">
      <w:footerReference w:type="default" r:id="rId11"/>
      <w:headerReference w:type="first" r:id="rId12"/>
      <w:footerReference w:type="first" r:id="rId13"/>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55151" w14:textId="77777777" w:rsidR="004E11D6" w:rsidRDefault="004E11D6">
      <w:r>
        <w:separator/>
      </w:r>
    </w:p>
  </w:endnote>
  <w:endnote w:type="continuationSeparator" w:id="0">
    <w:p w14:paraId="0CE3326B" w14:textId="77777777" w:rsidR="004E11D6" w:rsidRDefault="004E11D6">
      <w:r>
        <w:continuationSeparator/>
      </w:r>
    </w:p>
  </w:endnote>
  <w:endnote w:type="continuationNotice" w:id="1">
    <w:p w14:paraId="6211E6BE" w14:textId="77777777" w:rsidR="004E11D6" w:rsidRDefault="004E11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Header"/>
            <w:ind w:left="-115"/>
          </w:pPr>
        </w:p>
      </w:tc>
      <w:tc>
        <w:tcPr>
          <w:tcW w:w="3120" w:type="dxa"/>
        </w:tcPr>
        <w:p w14:paraId="0CD21879" w14:textId="77777777" w:rsidR="00304ACE" w:rsidRDefault="00304ACE">
          <w:pPr>
            <w:pStyle w:val="Header"/>
            <w:jc w:val="center"/>
          </w:pPr>
        </w:p>
      </w:tc>
      <w:tc>
        <w:tcPr>
          <w:tcW w:w="3120" w:type="dxa"/>
        </w:tcPr>
        <w:p w14:paraId="376E4C1A" w14:textId="77777777" w:rsidR="00304ACE" w:rsidRDefault="00304ACE">
          <w:pPr>
            <w:pStyle w:val="Header"/>
            <w:ind w:right="-115"/>
            <w:jc w:val="right"/>
          </w:pPr>
        </w:p>
      </w:tc>
    </w:tr>
  </w:tbl>
  <w:p w14:paraId="53F709D1"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Header"/>
            <w:ind w:left="-115"/>
          </w:pPr>
        </w:p>
      </w:tc>
      <w:tc>
        <w:tcPr>
          <w:tcW w:w="3120" w:type="dxa"/>
        </w:tcPr>
        <w:p w14:paraId="3FC66069" w14:textId="77777777" w:rsidR="00304ACE" w:rsidRDefault="00304ACE">
          <w:pPr>
            <w:pStyle w:val="Header"/>
            <w:jc w:val="center"/>
          </w:pPr>
        </w:p>
      </w:tc>
      <w:tc>
        <w:tcPr>
          <w:tcW w:w="3120" w:type="dxa"/>
        </w:tcPr>
        <w:p w14:paraId="45B843AB" w14:textId="77777777" w:rsidR="00304ACE" w:rsidRDefault="00304ACE">
          <w:pPr>
            <w:pStyle w:val="Header"/>
            <w:ind w:right="-115"/>
            <w:jc w:val="right"/>
          </w:pPr>
        </w:p>
      </w:tc>
    </w:tr>
  </w:tbl>
  <w:p w14:paraId="07CC875E" w14:textId="77777777" w:rsidR="00304ACE" w:rsidRDefault="00304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C5CD6B7" w14:textId="77777777">
      <w:trPr>
        <w:trHeight w:val="300"/>
      </w:trPr>
      <w:tc>
        <w:tcPr>
          <w:tcW w:w="3120" w:type="dxa"/>
        </w:tcPr>
        <w:p w14:paraId="235885D7" w14:textId="77777777" w:rsidR="00304ACE" w:rsidRDefault="00304ACE">
          <w:pPr>
            <w:pStyle w:val="Header"/>
            <w:ind w:left="-115"/>
          </w:pPr>
        </w:p>
      </w:tc>
      <w:tc>
        <w:tcPr>
          <w:tcW w:w="3120" w:type="dxa"/>
        </w:tcPr>
        <w:p w14:paraId="259584CD" w14:textId="77777777" w:rsidR="00304ACE" w:rsidRDefault="00304ACE">
          <w:pPr>
            <w:pStyle w:val="Header"/>
            <w:jc w:val="center"/>
          </w:pPr>
        </w:p>
      </w:tc>
      <w:tc>
        <w:tcPr>
          <w:tcW w:w="3120" w:type="dxa"/>
        </w:tcPr>
        <w:p w14:paraId="4AFCDF3C" w14:textId="77777777" w:rsidR="00304ACE" w:rsidRDefault="00304ACE">
          <w:pPr>
            <w:pStyle w:val="Header"/>
            <w:ind w:right="-115"/>
            <w:jc w:val="right"/>
          </w:pPr>
        </w:p>
      </w:tc>
    </w:tr>
  </w:tbl>
  <w:p w14:paraId="34BCF0AB" w14:textId="77777777" w:rsidR="00304ACE" w:rsidRDefault="00304A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Header"/>
            <w:ind w:left="-115"/>
          </w:pPr>
        </w:p>
      </w:tc>
      <w:tc>
        <w:tcPr>
          <w:tcW w:w="3120" w:type="dxa"/>
        </w:tcPr>
        <w:p w14:paraId="42A3A4A0" w14:textId="77777777" w:rsidR="00304ACE" w:rsidRDefault="00304ACE">
          <w:pPr>
            <w:pStyle w:val="Header"/>
            <w:jc w:val="center"/>
          </w:pPr>
        </w:p>
      </w:tc>
      <w:tc>
        <w:tcPr>
          <w:tcW w:w="3120" w:type="dxa"/>
        </w:tcPr>
        <w:p w14:paraId="1BBBE86A" w14:textId="77777777" w:rsidR="00304ACE" w:rsidRDefault="00304ACE">
          <w:pPr>
            <w:pStyle w:val="Header"/>
            <w:ind w:right="-115"/>
            <w:jc w:val="right"/>
          </w:pPr>
        </w:p>
      </w:tc>
    </w:tr>
  </w:tbl>
  <w:p w14:paraId="21B3D43F"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213DC" w14:textId="77777777" w:rsidR="004E11D6" w:rsidRDefault="004E11D6">
      <w:r>
        <w:separator/>
      </w:r>
    </w:p>
  </w:footnote>
  <w:footnote w:type="continuationSeparator" w:id="0">
    <w:p w14:paraId="0E68E2A1" w14:textId="77777777" w:rsidR="004E11D6" w:rsidRDefault="004E11D6">
      <w:r>
        <w:continuationSeparator/>
      </w:r>
    </w:p>
  </w:footnote>
  <w:footnote w:type="continuationNotice" w:id="1">
    <w:p w14:paraId="4BA4F393" w14:textId="77777777" w:rsidR="004E11D6" w:rsidRDefault="004E11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771690"/>
      <w:docPartObj>
        <w:docPartGallery w:val="Page Numbers (Top of Page)"/>
        <w:docPartUnique/>
      </w:docPartObj>
    </w:sdtPr>
    <w:sdtEndPr>
      <w:rPr>
        <w:noProof/>
      </w:rPr>
    </w:sdtEndPr>
    <w:sdtContent>
      <w:p w14:paraId="74E49866" w14:textId="3FF6C739" w:rsidR="00057D20" w:rsidRDefault="00057D2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3340BA2" w14:textId="7028CB96" w:rsidR="00304ACE" w:rsidRPr="00057D20" w:rsidRDefault="00304ACE" w:rsidP="00057D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22972" w14:textId="1771703C" w:rsidR="00057D20" w:rsidRDefault="00DE2F6A" w:rsidP="00DE2F6A">
    <w:pPr>
      <w:pStyle w:val="Header"/>
      <w:tabs>
        <w:tab w:val="center" w:pos="4680"/>
        <w:tab w:val="right" w:pos="9360"/>
      </w:tabs>
      <w:jc w:val="right"/>
    </w:pPr>
    <w:r>
      <w:tab/>
    </w:r>
    <w:r>
      <w:tab/>
    </w:r>
    <w:r>
      <w:rPr>
        <w:noProof/>
      </w:rPr>
      <w:tab/>
    </w:r>
    <w:r>
      <w:rPr>
        <w:noProof/>
      </w:rPr>
      <w:tab/>
    </w:r>
    <w:r w:rsidR="00077BAD">
      <w:rPr>
        <w:noProof/>
      </w:rPr>
      <w:t>A-001</w:t>
    </w:r>
  </w:p>
  <w:p w14:paraId="5AB6B40E" w14:textId="5330E3DB" w:rsidR="00304ACE" w:rsidRDefault="00304A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284927"/>
      <w:docPartObj>
        <w:docPartGallery w:val="Page Numbers (Top of Page)"/>
        <w:docPartUnique/>
      </w:docPartObj>
    </w:sdtPr>
    <w:sdtEndPr>
      <w:rPr>
        <w:noProof/>
      </w:rPr>
    </w:sdtEndPr>
    <w:sdtContent>
      <w:p w14:paraId="7B8CBEF3" w14:textId="50234561" w:rsidR="005E0834" w:rsidRDefault="005E083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7A73F14" w14:textId="77777777" w:rsidR="005E0834" w:rsidRDefault="005E08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73339232">
    <w:abstractNumId w:val="1"/>
  </w:num>
  <w:num w:numId="2" w16cid:durableId="260921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27E91"/>
    <w:rsid w:val="00035D41"/>
    <w:rsid w:val="000464A9"/>
    <w:rsid w:val="00055227"/>
    <w:rsid w:val="00057D20"/>
    <w:rsid w:val="000673AC"/>
    <w:rsid w:val="00076DE8"/>
    <w:rsid w:val="00077BAD"/>
    <w:rsid w:val="00082B05"/>
    <w:rsid w:val="000A1090"/>
    <w:rsid w:val="000E2E54"/>
    <w:rsid w:val="00124527"/>
    <w:rsid w:val="00141373"/>
    <w:rsid w:val="001436AB"/>
    <w:rsid w:val="001939E3"/>
    <w:rsid w:val="00194CAA"/>
    <w:rsid w:val="001B1D59"/>
    <w:rsid w:val="00206B76"/>
    <w:rsid w:val="0021354B"/>
    <w:rsid w:val="00234F0C"/>
    <w:rsid w:val="00245371"/>
    <w:rsid w:val="002B5E45"/>
    <w:rsid w:val="002D3122"/>
    <w:rsid w:val="00304ACE"/>
    <w:rsid w:val="003917C9"/>
    <w:rsid w:val="003E0277"/>
    <w:rsid w:val="00410EB3"/>
    <w:rsid w:val="004137EE"/>
    <w:rsid w:val="004378D9"/>
    <w:rsid w:val="004642C3"/>
    <w:rsid w:val="0048417A"/>
    <w:rsid w:val="004D17C1"/>
    <w:rsid w:val="004E11D6"/>
    <w:rsid w:val="00503F70"/>
    <w:rsid w:val="00506A9B"/>
    <w:rsid w:val="0051408F"/>
    <w:rsid w:val="00526FCE"/>
    <w:rsid w:val="00540F1F"/>
    <w:rsid w:val="00587259"/>
    <w:rsid w:val="00587CA3"/>
    <w:rsid w:val="005A73C0"/>
    <w:rsid w:val="005E0237"/>
    <w:rsid w:val="005E0834"/>
    <w:rsid w:val="00607D85"/>
    <w:rsid w:val="00693702"/>
    <w:rsid w:val="0070206A"/>
    <w:rsid w:val="00737742"/>
    <w:rsid w:val="00755AF3"/>
    <w:rsid w:val="007B520C"/>
    <w:rsid w:val="007C79FD"/>
    <w:rsid w:val="00803834"/>
    <w:rsid w:val="008440B1"/>
    <w:rsid w:val="00872C01"/>
    <w:rsid w:val="008E4073"/>
    <w:rsid w:val="008F5FC2"/>
    <w:rsid w:val="00991118"/>
    <w:rsid w:val="00A14787"/>
    <w:rsid w:val="00A37ACE"/>
    <w:rsid w:val="00A95824"/>
    <w:rsid w:val="00B63EE6"/>
    <w:rsid w:val="00B81E39"/>
    <w:rsid w:val="00B9393C"/>
    <w:rsid w:val="00BC63DB"/>
    <w:rsid w:val="00C04FC8"/>
    <w:rsid w:val="00C16A8E"/>
    <w:rsid w:val="00C240E1"/>
    <w:rsid w:val="00C2584C"/>
    <w:rsid w:val="00C80053"/>
    <w:rsid w:val="00CA523D"/>
    <w:rsid w:val="00D2761C"/>
    <w:rsid w:val="00D62DAD"/>
    <w:rsid w:val="00D83C4E"/>
    <w:rsid w:val="00DD3A21"/>
    <w:rsid w:val="00DE2F6A"/>
    <w:rsid w:val="00DF4C50"/>
    <w:rsid w:val="00E22588"/>
    <w:rsid w:val="00E258D1"/>
    <w:rsid w:val="00E34850"/>
    <w:rsid w:val="00E43B5E"/>
    <w:rsid w:val="00E45092"/>
    <w:rsid w:val="00E47730"/>
    <w:rsid w:val="00E773F2"/>
    <w:rsid w:val="00E965CA"/>
    <w:rsid w:val="00EB24D6"/>
    <w:rsid w:val="00EC22F1"/>
    <w:rsid w:val="00EF1C2A"/>
    <w:rsid w:val="00F00B3B"/>
    <w:rsid w:val="00FA0997"/>
    <w:rsid w:val="00FB3BFF"/>
    <w:rsid w:val="00FC7183"/>
    <w:rsid w:val="1C54EBEC"/>
    <w:rsid w:val="2A64CA79"/>
    <w:rsid w:val="2CD33F1A"/>
    <w:rsid w:val="2DC81B01"/>
    <w:rsid w:val="2ED09449"/>
    <w:rsid w:val="7ACD122F"/>
    <w:rsid w:val="7C3CD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AB5A02"/>
  <w15:docId w15:val="{2D5C493B-1CE7-4E06-88A3-7C90F49DB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 w:type="character" w:customStyle="1" w:styleId="HeaderChar">
    <w:name w:val="Header Char"/>
    <w:basedOn w:val="DefaultParagraphFont"/>
    <w:link w:val="Header"/>
    <w:uiPriority w:val="99"/>
    <w:rsid w:val="00057D20"/>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1347</Words>
  <Characters>7475</Characters>
  <Application>Microsoft Office Word</Application>
  <DocSecurity>0</DocSecurity>
  <Lines>62</Lines>
  <Paragraphs>17</Paragraphs>
  <ScaleCrop>false</ScaleCrop>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crivera</dc:creator>
  <cp:keywords/>
  <cp:lastModifiedBy>Carlos Y. Rosado Cruz</cp:lastModifiedBy>
  <cp:revision>2</cp:revision>
  <cp:lastPrinted>2025-02-28T15:12:00Z</cp:lastPrinted>
  <dcterms:created xsi:type="dcterms:W3CDTF">2025-02-28T15:13:00Z</dcterms:created>
  <dcterms:modified xsi:type="dcterms:W3CDTF">2025-02-28T15:13:00Z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