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8087A" w14:textId="77777777" w:rsidR="00CB48C0" w:rsidRPr="00777A0D" w:rsidRDefault="00DC3D2E" w:rsidP="00777A0D">
      <w:pPr>
        <w:jc w:val="center"/>
        <w:rPr>
          <w:rFonts w:ascii="Book Antiqua" w:hAnsi="Book Antiqua"/>
          <w:bCs/>
          <w:color w:val="000000" w:themeColor="text1"/>
          <w:sz w:val="28"/>
          <w:szCs w:val="28"/>
          <w:lang w:val="es-PR"/>
        </w:rPr>
      </w:pPr>
      <w:r w:rsidRPr="00777A0D">
        <w:rPr>
          <w:rFonts w:ascii="Book Antiqua" w:hAnsi="Book Antiqua"/>
          <w:bCs/>
          <w:color w:val="000000" w:themeColor="text1"/>
          <w:sz w:val="28"/>
          <w:szCs w:val="28"/>
          <w:lang w:val="es-PR"/>
        </w:rPr>
        <w:t>GOBIERNO DE PUERTO RICO</w:t>
      </w:r>
    </w:p>
    <w:p w14:paraId="10EA09CA" w14:textId="77777777" w:rsidR="00CB48C0" w:rsidRDefault="00CB48C0" w:rsidP="00777A0D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7D863936" w14:textId="77777777" w:rsidR="00CB48C0" w:rsidRDefault="00DC3D2E" w:rsidP="00777A0D">
      <w:pPr>
        <w:pStyle w:val="Title2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 xml:space="preserve">20 </w:t>
      </w:r>
      <w:r>
        <w:rPr>
          <w:rFonts w:ascii="Book Antiqua" w:hAnsi="Book Antiqua"/>
          <w:color w:val="000000" w:themeColor="text1"/>
          <w:vertAlign w:val="superscript"/>
          <w:lang w:val="es-PR"/>
        </w:rPr>
        <w:t>ma.</w:t>
      </w:r>
      <w:r>
        <w:rPr>
          <w:rFonts w:ascii="Book Antiqua" w:hAnsi="Book Antiqua"/>
          <w:color w:val="000000" w:themeColor="text1"/>
          <w:lang w:val="es-PR"/>
        </w:rPr>
        <w:tab/>
        <w:t>Asamblea</w:t>
      </w:r>
      <w:r>
        <w:rPr>
          <w:rFonts w:ascii="Book Antiqua" w:hAnsi="Book Antiqua"/>
          <w:color w:val="000000" w:themeColor="text1"/>
          <w:lang w:val="es-PR"/>
        </w:rPr>
        <w:tab/>
        <w:t>1</w:t>
      </w:r>
      <w:r>
        <w:rPr>
          <w:rFonts w:ascii="Book Antiqua" w:hAnsi="Book Antiqua"/>
          <w:color w:val="000000" w:themeColor="text1"/>
          <w:vertAlign w:val="superscript"/>
          <w:lang w:val="es-PR"/>
        </w:rPr>
        <w:t>ra.</w:t>
      </w:r>
      <w:r>
        <w:rPr>
          <w:rFonts w:ascii="Book Antiqua" w:hAnsi="Book Antiqua"/>
          <w:color w:val="000000" w:themeColor="text1"/>
          <w:vertAlign w:val="superscript"/>
          <w:lang w:val="es-PR"/>
        </w:rPr>
        <w:tab/>
      </w:r>
      <w:r>
        <w:rPr>
          <w:rFonts w:ascii="Book Antiqua" w:hAnsi="Book Antiqua"/>
          <w:color w:val="000000" w:themeColor="text1"/>
          <w:lang w:val="es-PR"/>
        </w:rPr>
        <w:t>Sesión</w:t>
      </w:r>
    </w:p>
    <w:p w14:paraId="214DBA9D" w14:textId="77777777" w:rsidR="00CB48C0" w:rsidRDefault="00DC3D2E" w:rsidP="00777A0D">
      <w:pPr>
        <w:pStyle w:val="Title2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ab/>
        <w:t>Legislativa</w:t>
      </w:r>
      <w:r>
        <w:rPr>
          <w:rFonts w:ascii="Book Antiqua" w:hAnsi="Book Antiqua"/>
          <w:color w:val="000000" w:themeColor="text1"/>
          <w:lang w:val="es-PR"/>
        </w:rPr>
        <w:tab/>
      </w:r>
      <w:r>
        <w:rPr>
          <w:rFonts w:ascii="Book Antiqua" w:hAnsi="Book Antiqua"/>
          <w:color w:val="000000" w:themeColor="text1"/>
          <w:lang w:val="es-PR"/>
        </w:rPr>
        <w:tab/>
        <w:t>Ordinaria</w:t>
      </w:r>
    </w:p>
    <w:p w14:paraId="3DFCE563" w14:textId="77777777" w:rsidR="00CB48C0" w:rsidRDefault="00CB48C0" w:rsidP="00777A0D">
      <w:pPr>
        <w:rPr>
          <w:rFonts w:ascii="Book Antiqua" w:hAnsi="Book Antiqua"/>
          <w:color w:val="000000" w:themeColor="text1"/>
          <w:lang w:val="es-PR"/>
        </w:rPr>
      </w:pPr>
    </w:p>
    <w:p w14:paraId="29F8E454" w14:textId="77777777" w:rsidR="00CB48C0" w:rsidRDefault="00DC3D2E" w:rsidP="00777A0D">
      <w:pPr>
        <w:jc w:val="center"/>
        <w:rPr>
          <w:rFonts w:ascii="Book Antiqua" w:hAnsi="Book Antiqua"/>
          <w:b/>
          <w:color w:val="000000" w:themeColor="text1"/>
          <w:sz w:val="36"/>
          <w:lang w:val="es-PR"/>
        </w:rPr>
      </w:pPr>
      <w:r w:rsidRPr="00DC3D2E">
        <w:rPr>
          <w:rFonts w:ascii="Book Antiqua" w:hAnsi="Book Antiqua"/>
          <w:b/>
          <w:color w:val="000000" w:themeColor="text1"/>
          <w:sz w:val="36"/>
          <w:lang w:val="es-PR"/>
        </w:rPr>
        <w:t>CÁMARA DE REPRESENTANTES</w:t>
      </w:r>
    </w:p>
    <w:p w14:paraId="102F9537" w14:textId="77777777" w:rsidR="00777A0D" w:rsidRPr="00777A0D" w:rsidRDefault="00777A0D" w:rsidP="00777A0D">
      <w:pPr>
        <w:jc w:val="center"/>
        <w:rPr>
          <w:rFonts w:ascii="Book Antiqua" w:hAnsi="Book Antiqua"/>
          <w:b/>
          <w:color w:val="000000" w:themeColor="text1"/>
          <w:szCs w:val="24"/>
          <w:lang w:val="es-PR"/>
        </w:rPr>
      </w:pPr>
    </w:p>
    <w:p w14:paraId="4C5C2A6E" w14:textId="73A2DB35" w:rsidR="00CB48C0" w:rsidRDefault="00DC3D2E" w:rsidP="00777A0D">
      <w:pPr>
        <w:jc w:val="center"/>
        <w:rPr>
          <w:rFonts w:ascii="Book Antiqua" w:hAnsi="Book Antiqua"/>
          <w:b/>
          <w:color w:val="000000" w:themeColor="text1"/>
          <w:sz w:val="52"/>
          <w:lang w:val="es-PR"/>
        </w:rPr>
      </w:pPr>
      <w:r>
        <w:rPr>
          <w:rFonts w:ascii="Book Antiqua" w:hAnsi="Book Antiqua"/>
          <w:b/>
          <w:color w:val="000000" w:themeColor="text1"/>
          <w:sz w:val="52"/>
          <w:lang w:val="es-PR"/>
        </w:rPr>
        <w:t xml:space="preserve">P. </w:t>
      </w:r>
      <w:r w:rsidRPr="00DC3D2E">
        <w:rPr>
          <w:rFonts w:ascii="Book Antiqua" w:hAnsi="Book Antiqua"/>
          <w:b/>
          <w:color w:val="000000" w:themeColor="text1"/>
          <w:sz w:val="52"/>
          <w:lang w:val="es-PR"/>
        </w:rPr>
        <w:t>d</w:t>
      </w:r>
      <w:r>
        <w:rPr>
          <w:rFonts w:ascii="Book Antiqua" w:hAnsi="Book Antiqua"/>
          <w:b/>
          <w:color w:val="000000" w:themeColor="text1"/>
          <w:sz w:val="52"/>
          <w:lang w:val="es-PR"/>
        </w:rPr>
        <w:t>e</w:t>
      </w:r>
      <w:r w:rsidRPr="00DC3D2E">
        <w:rPr>
          <w:rFonts w:ascii="Book Antiqua" w:hAnsi="Book Antiqua"/>
          <w:b/>
          <w:color w:val="000000" w:themeColor="text1"/>
          <w:sz w:val="52"/>
          <w:lang w:val="es-PR"/>
        </w:rPr>
        <w:t xml:space="preserve"> </w:t>
      </w:r>
      <w:r>
        <w:rPr>
          <w:rFonts w:ascii="Book Antiqua" w:hAnsi="Book Antiqua"/>
          <w:b/>
          <w:color w:val="000000" w:themeColor="text1"/>
          <w:sz w:val="52"/>
          <w:lang w:val="es-PR"/>
        </w:rPr>
        <w:t>l</w:t>
      </w:r>
      <w:r w:rsidRPr="00DC3D2E">
        <w:rPr>
          <w:rFonts w:ascii="Book Antiqua" w:hAnsi="Book Antiqua"/>
          <w:b/>
          <w:color w:val="000000" w:themeColor="text1"/>
          <w:sz w:val="52"/>
          <w:lang w:val="es-PR"/>
        </w:rPr>
        <w:t>a</w:t>
      </w:r>
      <w:r>
        <w:rPr>
          <w:rFonts w:ascii="Book Antiqua" w:hAnsi="Book Antiqua"/>
          <w:b/>
          <w:color w:val="000000" w:themeColor="text1"/>
          <w:sz w:val="52"/>
          <w:lang w:val="es-PR"/>
        </w:rPr>
        <w:t xml:space="preserve"> </w:t>
      </w:r>
      <w:r w:rsidRPr="00DC3D2E">
        <w:rPr>
          <w:rFonts w:ascii="Book Antiqua" w:hAnsi="Book Antiqua"/>
          <w:b/>
          <w:color w:val="000000" w:themeColor="text1"/>
          <w:sz w:val="52"/>
          <w:lang w:val="es-PR"/>
        </w:rPr>
        <w:t>C</w:t>
      </w:r>
      <w:r>
        <w:rPr>
          <w:rFonts w:ascii="Book Antiqua" w:hAnsi="Book Antiqua"/>
          <w:b/>
          <w:color w:val="000000" w:themeColor="text1"/>
          <w:sz w:val="52"/>
          <w:lang w:val="es-PR"/>
        </w:rPr>
        <w:t xml:space="preserve">. </w:t>
      </w:r>
      <w:r w:rsidR="00413CA7">
        <w:rPr>
          <w:rFonts w:ascii="Book Antiqua" w:hAnsi="Book Antiqua"/>
          <w:b/>
          <w:color w:val="000000" w:themeColor="text1"/>
          <w:sz w:val="52"/>
          <w:lang w:val="es-PR"/>
        </w:rPr>
        <w:t>268</w:t>
      </w:r>
    </w:p>
    <w:p w14:paraId="0E24EC75" w14:textId="77777777" w:rsidR="00777A0D" w:rsidRPr="00777A0D" w:rsidRDefault="00777A0D" w:rsidP="00777A0D">
      <w:pPr>
        <w:jc w:val="center"/>
        <w:rPr>
          <w:rFonts w:ascii="Book Antiqua" w:hAnsi="Book Antiqua"/>
          <w:b/>
          <w:color w:val="000000" w:themeColor="text1"/>
          <w:szCs w:val="24"/>
          <w:lang w:val="es-PR"/>
        </w:rPr>
      </w:pPr>
    </w:p>
    <w:p w14:paraId="06D4957B" w14:textId="4883B9E6" w:rsidR="00CB48C0" w:rsidRDefault="00777A0D" w:rsidP="00777A0D">
      <w:pPr>
        <w:jc w:val="center"/>
        <w:rPr>
          <w:rFonts w:ascii="Book Antiqua" w:hAnsi="Book Antiqua"/>
          <w:color w:val="000000" w:themeColor="text1"/>
          <w:lang w:val="es-PR"/>
        </w:rPr>
      </w:pPr>
      <w:r w:rsidRPr="00DC3D2E">
        <w:rPr>
          <w:rFonts w:ascii="Book Antiqua" w:hAnsi="Book Antiqua"/>
          <w:color w:val="000000" w:themeColor="text1"/>
          <w:lang w:val="es-PR"/>
        </w:rPr>
        <w:t>2</w:t>
      </w:r>
      <w:r w:rsidR="00DE4B1F">
        <w:rPr>
          <w:rFonts w:ascii="Book Antiqua" w:hAnsi="Book Antiqua"/>
          <w:color w:val="000000" w:themeColor="text1"/>
          <w:lang w:val="es-PR"/>
        </w:rPr>
        <w:t>3</w:t>
      </w:r>
      <w:r w:rsidRPr="00DC3D2E">
        <w:rPr>
          <w:rFonts w:ascii="Book Antiqua" w:hAnsi="Book Antiqua"/>
          <w:color w:val="000000" w:themeColor="text1"/>
          <w:lang w:val="es-PR"/>
        </w:rPr>
        <w:t xml:space="preserve"> </w:t>
      </w:r>
      <w:r>
        <w:rPr>
          <w:rFonts w:ascii="Book Antiqua" w:hAnsi="Book Antiqua"/>
          <w:color w:val="000000" w:themeColor="text1"/>
          <w:lang w:val="es-PR"/>
        </w:rPr>
        <w:t>DE ENERO DE 2025</w:t>
      </w:r>
    </w:p>
    <w:p w14:paraId="457CE6FC" w14:textId="77777777" w:rsidR="00777A0D" w:rsidRDefault="00777A0D" w:rsidP="00777A0D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07FE949B" w14:textId="462A4B7E" w:rsidR="00777A0D" w:rsidRPr="00777A0D" w:rsidRDefault="00777A0D" w:rsidP="00777A0D">
      <w:pPr>
        <w:ind w:left="810" w:hanging="810"/>
        <w:jc w:val="both"/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</w:pPr>
      <w:r>
        <w:rPr>
          <w:rFonts w:ascii="Book Antiqua" w:hAnsi="Book Antiqua"/>
          <w:szCs w:val="24"/>
          <w:lang w:val="es-ES"/>
        </w:rPr>
        <w:t>Presentado p</w:t>
      </w:r>
      <w:r w:rsidRPr="00777A0D">
        <w:rPr>
          <w:rFonts w:ascii="Book Antiqua" w:hAnsi="Book Antiqua"/>
          <w:szCs w:val="24"/>
          <w:lang w:val="es-ES"/>
        </w:rPr>
        <w:t xml:space="preserve">or el representante </w:t>
      </w:r>
      <w:r w:rsidRPr="00777A0D">
        <w:rPr>
          <w:rFonts w:ascii="Book Antiqua" w:hAnsi="Book Antiqua"/>
          <w:i/>
          <w:iCs/>
          <w:szCs w:val="24"/>
          <w:lang w:val="es-PR"/>
        </w:rPr>
        <w:t>Méndez Núñez</w:t>
      </w:r>
      <w:r>
        <w:rPr>
          <w:rFonts w:ascii="Book Antiqua" w:hAnsi="Book Antiqua"/>
          <w:i/>
          <w:iCs/>
          <w:szCs w:val="24"/>
          <w:lang w:val="es-PR"/>
        </w:rPr>
        <w:t>;</w:t>
      </w:r>
      <w:r w:rsidRPr="00777A0D">
        <w:rPr>
          <w:rFonts w:ascii="Book Antiqua" w:hAnsi="Book Antiqua"/>
          <w:i/>
          <w:iCs/>
          <w:szCs w:val="24"/>
          <w:lang w:val="es-PR"/>
        </w:rPr>
        <w:t xml:space="preserve"> </w:t>
      </w:r>
      <w:r w:rsidRPr="00777A0D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 representante</w:t>
      </w:r>
      <w:r w:rsidRPr="00777A0D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Lebrón Rodríguez; </w:t>
      </w:r>
      <w:r w:rsidRPr="00777A0D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Pr="00777A0D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Peña Ramírez, Torres Zamora, Román López, Aponte Hernández, Carlo Acosta, Charbonier Chinea, Colón Rodríguez; </w:t>
      </w:r>
      <w:r w:rsidRPr="00777A0D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 representante</w:t>
      </w:r>
      <w:r w:rsidRPr="00777A0D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del Valle Correa; </w:t>
      </w:r>
      <w:r w:rsidRPr="00777A0D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Pr="00777A0D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Estévez Vélez, </w:t>
      </w:r>
      <w:proofErr w:type="spellStart"/>
      <w:r w:rsidRPr="00777A0D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Franqui</w:t>
      </w:r>
      <w:proofErr w:type="spellEnd"/>
      <w:r w:rsidRPr="00777A0D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</w:t>
      </w:r>
      <w:proofErr w:type="spellStart"/>
      <w:r w:rsidRPr="00777A0D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Atiles</w:t>
      </w:r>
      <w:proofErr w:type="spellEnd"/>
      <w:r w:rsidRPr="00777A0D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; </w:t>
      </w:r>
      <w:r w:rsidRPr="00777A0D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las representantes</w:t>
      </w:r>
      <w:r w:rsidRPr="00777A0D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González Aguayo, González </w:t>
      </w:r>
      <w:proofErr w:type="spellStart"/>
      <w:r w:rsidRPr="00777A0D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González</w:t>
      </w:r>
      <w:proofErr w:type="spellEnd"/>
      <w:r w:rsidRPr="00777A0D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; </w:t>
      </w:r>
      <w:r w:rsidRPr="00777A0D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Pr="00777A0D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Hernández Concepción, Jiménez Torres; </w:t>
      </w:r>
      <w:r w:rsidRPr="00777A0D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las representantes</w:t>
      </w:r>
      <w:r w:rsidRPr="00777A0D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Martínez Vázquez, Medina Calderón; </w:t>
      </w:r>
      <w:r w:rsidRPr="00777A0D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Pr="00777A0D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</w:t>
      </w:r>
      <w:proofErr w:type="spellStart"/>
      <w:r w:rsidRPr="00777A0D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Morey</w:t>
      </w:r>
      <w:proofErr w:type="spellEnd"/>
      <w:r w:rsidRPr="00777A0D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Noble, Muriel Sánchez, Navarro Suárez, Nieves, Rosario, Ocasio Ramos, Pacheco Burgos, Parés Otero; </w:t>
      </w:r>
      <w:r w:rsidRPr="00777A0D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 representante</w:t>
      </w:r>
      <w:r w:rsidRPr="00777A0D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Peña Dávila; </w:t>
      </w:r>
      <w:r w:rsidRPr="00777A0D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Pr="00777A0D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Pérez Cordero, Pérez Ortiz; </w:t>
      </w:r>
      <w:r w:rsidRPr="00777A0D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las representantes</w:t>
      </w:r>
      <w:r w:rsidRPr="00777A0D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Pérez Ramírez, Ramos Rivera; </w:t>
      </w:r>
      <w:r w:rsidRPr="00777A0D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Pr="00777A0D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Robles Rivera, Rodríguez Aguiló, Rodríguez Torres, Roque Gracia, Sanabria Colón y Santiago Guzmán</w:t>
      </w:r>
    </w:p>
    <w:p w14:paraId="6BBD5EBE" w14:textId="77777777" w:rsidR="00777A0D" w:rsidRPr="00777A0D" w:rsidRDefault="00777A0D" w:rsidP="00777A0D">
      <w:pPr>
        <w:ind w:left="720" w:hanging="630"/>
        <w:jc w:val="both"/>
        <w:rPr>
          <w:rFonts w:ascii="Book Antiqua" w:hAnsi="Book Antiqua"/>
          <w:i/>
          <w:iCs/>
          <w:lang w:val="es-ES"/>
        </w:rPr>
      </w:pPr>
    </w:p>
    <w:p w14:paraId="13C83634" w14:textId="77777777" w:rsidR="00CB48C0" w:rsidRDefault="00CB48C0" w:rsidP="00777A0D">
      <w:pPr>
        <w:jc w:val="center"/>
        <w:rPr>
          <w:rFonts w:ascii="Book Antiqua" w:hAnsi="Book Antiqua"/>
          <w:color w:val="000000" w:themeColor="text1"/>
          <w:sz w:val="6"/>
          <w:szCs w:val="6"/>
          <w:lang w:val="es-PR"/>
        </w:rPr>
      </w:pPr>
    </w:p>
    <w:p w14:paraId="62A5A451" w14:textId="51FEC0C9" w:rsidR="00CB48C0" w:rsidRPr="00777A0D" w:rsidRDefault="00DC3D2E" w:rsidP="00777A0D">
      <w:pPr>
        <w:jc w:val="center"/>
        <w:rPr>
          <w:rFonts w:ascii="Book Antiqua" w:hAnsi="Book Antiqua"/>
          <w:iCs/>
          <w:color w:val="000000" w:themeColor="text1"/>
          <w:szCs w:val="24"/>
          <w:lang w:val="es-PR"/>
        </w:rPr>
      </w:pPr>
      <w:r w:rsidRPr="00777A0D">
        <w:rPr>
          <w:rFonts w:ascii="Book Antiqua" w:hAnsi="Book Antiqua"/>
          <w:iCs/>
          <w:color w:val="000000" w:themeColor="text1"/>
          <w:lang w:val="es-PR"/>
        </w:rPr>
        <w:t xml:space="preserve">Referido a </w:t>
      </w:r>
      <w:r w:rsidR="0022160A">
        <w:rPr>
          <w:rFonts w:ascii="Book Antiqua" w:hAnsi="Book Antiqua"/>
          <w:iCs/>
          <w:lang w:val="es-PR"/>
        </w:rPr>
        <w:t>la Comisión de Gobierno</w:t>
      </w:r>
    </w:p>
    <w:p w14:paraId="079DA3A0" w14:textId="77777777" w:rsidR="00CB48C0" w:rsidRDefault="00CB48C0" w:rsidP="00777A0D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459AEFB1" w14:textId="77777777" w:rsidR="00CB48C0" w:rsidRDefault="00DC3D2E" w:rsidP="00777A0D">
      <w:pPr>
        <w:jc w:val="center"/>
        <w:rPr>
          <w:rFonts w:ascii="Book Antiqua" w:hAnsi="Book Antiqua"/>
          <w:b/>
          <w:color w:val="000000" w:themeColor="text1"/>
          <w:sz w:val="28"/>
          <w:szCs w:val="28"/>
          <w:lang w:val="es-PR"/>
        </w:rPr>
      </w:pPr>
      <w:r>
        <w:rPr>
          <w:rFonts w:ascii="Book Antiqua" w:hAnsi="Book Antiqua"/>
          <w:b/>
          <w:color w:val="000000" w:themeColor="text1"/>
          <w:sz w:val="28"/>
          <w:szCs w:val="28"/>
          <w:lang w:val="es-PR"/>
        </w:rPr>
        <w:t>LEY</w:t>
      </w:r>
    </w:p>
    <w:p w14:paraId="63EA267A" w14:textId="77777777" w:rsidR="00CB48C0" w:rsidRDefault="00CB48C0" w:rsidP="00777A0D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483FB863" w14:textId="77777777" w:rsidR="00CB48C0" w:rsidRDefault="00DC3D2E" w:rsidP="00777A0D">
      <w:pPr>
        <w:ind w:left="540" w:hanging="54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2ED67279">
        <w:rPr>
          <w:rFonts w:ascii="Book Antiqua" w:eastAsia="Book Antiqua" w:hAnsi="Book Antiqua" w:cs="Book Antiqua"/>
          <w:color w:val="000000" w:themeColor="text1"/>
          <w:lang w:val="es-PR"/>
        </w:rPr>
        <w:t xml:space="preserve">Para enmendar el Artículo 6.36 de la Ley 57-2014, según enmendada, conocida como “Ley de Transformación y Alivio Energético” para aumentar las multas que puede imponer y facilitar el cobro de </w:t>
      </w:r>
      <w:proofErr w:type="gramStart"/>
      <w:r w:rsidRPr="2ED67279">
        <w:rPr>
          <w:rFonts w:ascii="Book Antiqua" w:eastAsia="Book Antiqua" w:hAnsi="Book Antiqua" w:cs="Book Antiqua"/>
          <w:color w:val="000000" w:themeColor="text1"/>
          <w:lang w:val="es-PR"/>
        </w:rPr>
        <w:t>las mismas</w:t>
      </w:r>
      <w:proofErr w:type="gramEnd"/>
      <w:r w:rsidRPr="2ED67279">
        <w:rPr>
          <w:rFonts w:ascii="Book Antiqua" w:eastAsia="Book Antiqua" w:hAnsi="Book Antiqua" w:cs="Book Antiqua"/>
          <w:color w:val="000000" w:themeColor="text1"/>
          <w:lang w:val="es-PR"/>
        </w:rPr>
        <w:t>; y para otros fines relacionados.</w:t>
      </w:r>
    </w:p>
    <w:p w14:paraId="3FD8609E" w14:textId="77777777" w:rsidR="00CB48C0" w:rsidRDefault="00CB48C0" w:rsidP="00777A0D">
      <w:pPr>
        <w:ind w:left="360" w:hanging="360"/>
        <w:jc w:val="both"/>
        <w:rPr>
          <w:rFonts w:ascii="Book Antiqua" w:hAnsi="Book Antiqua"/>
          <w:color w:val="000000" w:themeColor="text1"/>
          <w:lang w:val="es-PR"/>
        </w:rPr>
      </w:pPr>
    </w:p>
    <w:p w14:paraId="6AFF6909" w14:textId="77777777" w:rsidR="00CB48C0" w:rsidRDefault="00DC3D2E" w:rsidP="00777A0D">
      <w:pPr>
        <w:jc w:val="center"/>
        <w:rPr>
          <w:rFonts w:ascii="Book Antiqua" w:hAnsi="Book Antiqua"/>
          <w:bCs/>
          <w:color w:val="000000" w:themeColor="text1"/>
          <w:szCs w:val="24"/>
          <w:lang w:val="es-PR"/>
        </w:rPr>
      </w:pPr>
      <w:r w:rsidRPr="00777A0D">
        <w:rPr>
          <w:rFonts w:ascii="Book Antiqua" w:hAnsi="Book Antiqua"/>
          <w:bCs/>
          <w:color w:val="000000" w:themeColor="text1"/>
          <w:szCs w:val="24"/>
          <w:lang w:val="es-PR"/>
        </w:rPr>
        <w:t>EXPOSICIÓN DE MOTIVOS</w:t>
      </w:r>
    </w:p>
    <w:p w14:paraId="37FCEF9F" w14:textId="77777777" w:rsidR="00777A0D" w:rsidRPr="00777A0D" w:rsidRDefault="00777A0D" w:rsidP="00777A0D">
      <w:pPr>
        <w:jc w:val="center"/>
        <w:rPr>
          <w:rFonts w:ascii="Book Antiqua" w:hAnsi="Book Antiqua"/>
          <w:bCs/>
          <w:color w:val="000000" w:themeColor="text1"/>
          <w:szCs w:val="24"/>
          <w:lang w:val="es-PR"/>
        </w:rPr>
      </w:pPr>
    </w:p>
    <w:p w14:paraId="41E9456C" w14:textId="77777777" w:rsidR="00CB48C0" w:rsidRDefault="00DC3D2E" w:rsidP="00777A0D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Las experiencias vividas en los últimos años con las compañías privadas que se contrataron para la operación y mantenimiento de nuestra red eléctrica han demostrado una necesidad imperante de facultar al Negociado de Energía de Puerto Rico con mayor autoridad fiscalizadora sobre sus regulados. En atención a esto, aumentamos las penalidades que el Negociado puede imponer.</w:t>
      </w:r>
    </w:p>
    <w:p w14:paraId="224E2F23" w14:textId="77777777" w:rsidR="00777A0D" w:rsidRDefault="00777A0D" w:rsidP="00777A0D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16DFE0D8" w14:textId="77777777" w:rsidR="00CB48C0" w:rsidRDefault="00DC3D2E" w:rsidP="00777A0D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También facultamos al Negociado a ordenar la incautación de cualquier acreencia a favor del regulado por parte de </w:t>
      </w:r>
      <w:bookmarkStart w:id="0" w:name="_Hlk188301534"/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cualquier agencia, dependencia, oficina, corporación 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lastRenderedPageBreak/>
        <w:t xml:space="preserve">pública, programa o entidad del Gobierno de Puerto Rico </w:t>
      </w:r>
      <w:bookmarkEnd w:id="0"/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para asegurar el cobro de dicha penalidad.</w:t>
      </w:r>
    </w:p>
    <w:p w14:paraId="7FDDED2D" w14:textId="77777777" w:rsidR="00CB48C0" w:rsidRDefault="00CB48C0" w:rsidP="00777A0D">
      <w:pPr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38462C66" w14:textId="77777777" w:rsidR="00CB48C0" w:rsidRDefault="00DC3D2E" w:rsidP="00777A0D">
      <w:pPr>
        <w:spacing w:line="480" w:lineRule="auto"/>
        <w:jc w:val="both"/>
        <w:rPr>
          <w:rFonts w:ascii="Book Antiqua" w:hAnsi="Book Antiqua"/>
          <w:bCs/>
          <w:i/>
          <w:iCs/>
          <w:color w:val="000000" w:themeColor="text1"/>
          <w:szCs w:val="24"/>
          <w:lang w:val="es-PR"/>
        </w:rPr>
      </w:pPr>
      <w:r>
        <w:rPr>
          <w:rFonts w:ascii="Book Antiqua" w:hAnsi="Book Antiqua"/>
          <w:bCs/>
          <w:i/>
          <w:iCs/>
          <w:color w:val="000000" w:themeColor="text1"/>
          <w:szCs w:val="24"/>
          <w:lang w:val="es-PR"/>
        </w:rPr>
        <w:t>DECRÉTASE POR LA ASAMBLEA LEGISLATIVA DE PUERTO RICO:</w:t>
      </w:r>
    </w:p>
    <w:p w14:paraId="2A5C93FB" w14:textId="77777777" w:rsidR="00CB48C0" w:rsidRDefault="00CB48C0">
      <w:pPr>
        <w:spacing w:line="480" w:lineRule="auto"/>
        <w:jc w:val="both"/>
        <w:rPr>
          <w:rFonts w:ascii="Book Antiqua" w:hAnsi="Book Antiqua"/>
          <w:color w:val="000000" w:themeColor="text1"/>
          <w:szCs w:val="24"/>
          <w:lang w:val="es-PR"/>
        </w:rPr>
        <w:sectPr w:rsidR="00CB48C0">
          <w:headerReference w:type="default" r:id="rId6"/>
          <w:headerReference w:type="first" r:id="rId7"/>
          <w:pgSz w:w="12240" w:h="15840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626EFDA0" w14:textId="77777777" w:rsidR="00CB48C0" w:rsidRDefault="00DC3D2E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Sección 1.-Se enmienda el Artículo 6.36 de la Ley 57-2014, según enmendada, para que se lea como sigue:</w:t>
      </w:r>
    </w:p>
    <w:p w14:paraId="45CCB24D" w14:textId="77777777" w:rsidR="00CB48C0" w:rsidRDefault="00DC3D2E">
      <w:pPr>
        <w:spacing w:line="480" w:lineRule="auto"/>
        <w:ind w:firstLine="36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“Artículo 6.36. — Penalidades por incumplimiento.</w:t>
      </w:r>
    </w:p>
    <w:p w14:paraId="7E0A390E" w14:textId="77777777" w:rsidR="00CB48C0" w:rsidRDefault="00DC3D2E">
      <w:pPr>
        <w:spacing w:line="480" w:lineRule="auto"/>
        <w:ind w:firstLine="360"/>
        <w:jc w:val="both"/>
        <w:rPr>
          <w:rFonts w:ascii="Book Antiqua" w:eastAsia="Book Antiqua" w:hAnsi="Book Antiqua" w:cs="Book Antiqua"/>
          <w:i/>
          <w:iCs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i/>
          <w:iCs/>
          <w:color w:val="000000" w:themeColor="text1"/>
          <w:szCs w:val="24"/>
          <w:lang w:val="es-PR"/>
        </w:rPr>
        <w:t xml:space="preserve">El Negociado de Energía, de conformidad con los poderes, deberes y facultades otorgados mediante esta o cualquier otra ley del Gobierno de Puerto Rico podrá: </w:t>
      </w:r>
    </w:p>
    <w:p w14:paraId="79FBC6AE" w14:textId="77777777" w:rsidR="00CB48C0" w:rsidRDefault="00DC3D2E" w:rsidP="2ED67279">
      <w:pPr>
        <w:spacing w:line="480" w:lineRule="auto"/>
        <w:ind w:firstLine="36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2ED67279">
        <w:rPr>
          <w:rFonts w:ascii="Book Antiqua" w:eastAsia="Book Antiqua" w:hAnsi="Book Antiqua" w:cs="Book Antiqua"/>
          <w:color w:val="000000" w:themeColor="text1"/>
          <w:lang w:val="es-PR"/>
        </w:rPr>
        <w:t xml:space="preserve">(a) </w:t>
      </w:r>
      <w:r w:rsidRPr="2ED67279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[El Negociado de Energía podrá imponer]</w:t>
      </w:r>
      <w:r w:rsidRPr="2ED67279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Pr="2ED6727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Imponer</w:t>
      </w:r>
      <w:r w:rsidRPr="2ED67279">
        <w:rPr>
          <w:rFonts w:ascii="Book Antiqua" w:eastAsia="Book Antiqua" w:hAnsi="Book Antiqua" w:cs="Book Antiqua"/>
          <w:color w:val="000000" w:themeColor="text1"/>
          <w:lang w:val="es-PR"/>
        </w:rPr>
        <w:t xml:space="preserve"> multas administrativas por violaciones a esta Ley, a sus reglamentos y a sus órdenes, incurridas por cualquier persona o compañía de energía sujeta a la jurisdicción de </w:t>
      </w:r>
      <w:proofErr w:type="gramStart"/>
      <w:r w:rsidRPr="2ED67279">
        <w:rPr>
          <w:rFonts w:ascii="Book Antiqua" w:eastAsia="Book Antiqua" w:hAnsi="Book Antiqua" w:cs="Book Antiqua"/>
          <w:color w:val="000000" w:themeColor="text1"/>
          <w:lang w:val="es-PR"/>
        </w:rPr>
        <w:t>la misma</w:t>
      </w:r>
      <w:proofErr w:type="gramEnd"/>
      <w:r w:rsidRPr="2ED67279">
        <w:rPr>
          <w:rFonts w:ascii="Book Antiqua" w:eastAsia="Book Antiqua" w:hAnsi="Book Antiqua" w:cs="Book Antiqua"/>
          <w:color w:val="000000" w:themeColor="text1"/>
          <w:lang w:val="es-PR"/>
        </w:rPr>
        <w:t xml:space="preserve">, de hasta un máximo de </w:t>
      </w:r>
      <w:r w:rsidRPr="2ED6727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ciento </w:t>
      </w:r>
      <w:r w:rsidRPr="2ED67279">
        <w:rPr>
          <w:rFonts w:ascii="Book Antiqua" w:eastAsia="Book Antiqua" w:hAnsi="Book Antiqua" w:cs="Book Antiqua"/>
          <w:color w:val="000000" w:themeColor="text1"/>
          <w:lang w:val="es-PR"/>
        </w:rPr>
        <w:t>veinticinco mil dólares ($</w:t>
      </w:r>
      <w:r w:rsidRPr="2ED6727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1</w:t>
      </w:r>
      <w:r w:rsidRPr="2ED67279">
        <w:rPr>
          <w:rFonts w:ascii="Book Antiqua" w:eastAsia="Book Antiqua" w:hAnsi="Book Antiqua" w:cs="Book Antiqua"/>
          <w:color w:val="000000" w:themeColor="text1"/>
          <w:lang w:val="es-PR"/>
        </w:rPr>
        <w:t xml:space="preserve">25,000) por día. </w:t>
      </w:r>
      <w:r w:rsidRPr="2ED67279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[Dichas]</w:t>
      </w:r>
      <w:r w:rsidRPr="2ED6727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No obstante lo anterior, dichas </w:t>
      </w:r>
      <w:r w:rsidRPr="2ED67279">
        <w:rPr>
          <w:rFonts w:ascii="Book Antiqua" w:eastAsia="Book Antiqua" w:hAnsi="Book Antiqua" w:cs="Book Antiqua"/>
          <w:color w:val="000000" w:themeColor="text1"/>
          <w:lang w:val="es-PR"/>
        </w:rPr>
        <w:t>multas nunca excederán del cinco por ciento (5%) de las ventas brutas, del quince por ciento (15%) del ingreso neto o del diez por ciento (10%) de los activos netos de la persona o compañía de energía sancionada. La cantidad que resulte mayor de las antes mencionadas, correspondiente al año contributivo más reciente, será la cantidad multada.</w:t>
      </w:r>
    </w:p>
    <w:p w14:paraId="5DCB1D9D" w14:textId="1EF4EE0A" w:rsidR="00CB48C0" w:rsidRDefault="00DC3D2E" w:rsidP="2ED67279">
      <w:pPr>
        <w:spacing w:line="480" w:lineRule="auto"/>
        <w:ind w:firstLine="36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2ED67279">
        <w:rPr>
          <w:rFonts w:ascii="Book Antiqua" w:eastAsia="Book Antiqua" w:hAnsi="Book Antiqua" w:cs="Book Antiqua"/>
          <w:color w:val="000000" w:themeColor="text1"/>
          <w:lang w:val="es-PR"/>
        </w:rPr>
        <w:t xml:space="preserve">(b) Si la persona o compañía de energía certificada persiste en la violación de esta Ley, la Comisión podrá imponerle multas de hasta un máximo de </w:t>
      </w:r>
      <w:r w:rsidRPr="2ED6727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doscientos cincuenta </w:t>
      </w:r>
      <w:r w:rsidRPr="2ED67279">
        <w:rPr>
          <w:rFonts w:ascii="Book Antiqua" w:eastAsia="Book Antiqua" w:hAnsi="Book Antiqua" w:cs="Book Antiqua"/>
          <w:color w:val="000000" w:themeColor="text1"/>
          <w:lang w:val="es-PR"/>
        </w:rPr>
        <w:t>[</w:t>
      </w:r>
      <w:r w:rsidRPr="2ED67279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veinticinco]</w:t>
      </w:r>
      <w:r w:rsidRPr="2ED67279">
        <w:rPr>
          <w:rFonts w:ascii="Book Antiqua" w:eastAsia="Book Antiqua" w:hAnsi="Book Antiqua" w:cs="Book Antiqua"/>
          <w:color w:val="000000" w:themeColor="text1"/>
          <w:lang w:val="es-PR"/>
        </w:rPr>
        <w:t xml:space="preserve"> mil dólares </w:t>
      </w:r>
      <w:r w:rsidRPr="2ED67279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[($25,000)]</w:t>
      </w:r>
      <w:r w:rsidRPr="2ED67279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Pr="2ED6727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($250,000)</w:t>
      </w:r>
      <w:r w:rsidRPr="2ED67279">
        <w:rPr>
          <w:rFonts w:ascii="Book Antiqua" w:eastAsia="Book Antiqua" w:hAnsi="Book Antiqua" w:cs="Book Antiqua"/>
          <w:color w:val="000000" w:themeColor="text1"/>
          <w:lang w:val="es-PR"/>
        </w:rPr>
        <w:t xml:space="preserve"> diarios. En tal caso, y mediante determinación unánime de la Comisión, la misma podrá imponer multas de hasta el doble de las limitaciones a base de ventas, ingreso o activos establecidos en el inciso (a) de este Artículo </w:t>
      </w:r>
      <w:r w:rsidRPr="2ED67279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[y de hasta quinientos mil dólares ($500,000)</w:t>
      </w:r>
      <w:r w:rsidRPr="2ED67279">
        <w:rPr>
          <w:rFonts w:ascii="Book Antiqua" w:eastAsia="Book Antiqua" w:hAnsi="Book Antiqua" w:cs="Book Antiqua"/>
          <w:color w:val="000000" w:themeColor="text1"/>
          <w:lang w:val="es-PR"/>
        </w:rPr>
        <w:t>].</w:t>
      </w:r>
    </w:p>
    <w:p w14:paraId="6D114340" w14:textId="77777777" w:rsidR="00CB48C0" w:rsidRDefault="00DC3D2E">
      <w:pPr>
        <w:spacing w:line="480" w:lineRule="auto"/>
        <w:ind w:firstLine="36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lastRenderedPageBreak/>
        <w:t>(c) Cualquier reclamación o causa de acción autorizada por ley instada por cualquier persona con legitimación activa no afectará las facultades dispuestas en este Artículo para imponer sanciones administrativas.</w:t>
      </w:r>
    </w:p>
    <w:p w14:paraId="294934B1" w14:textId="77777777" w:rsidR="00CB48C0" w:rsidRDefault="00DC3D2E">
      <w:pPr>
        <w:spacing w:line="480" w:lineRule="auto"/>
        <w:ind w:firstLine="36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(d) Cualquier persona que intencionalmente infrinja cualquier disposición de esta Ley, omita, descuide o rehúse obedecer, observar y cumplir con cualquier regla o decisión del Negociado de Energía incurrirá en delito </w:t>
      </w:r>
      <w:r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[menos]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grave y convicta que fuere será sancionada con pena de reclusión que no excederá de </w:t>
      </w:r>
      <w:r>
        <w:rPr>
          <w:rFonts w:ascii="Book Antiqua" w:eastAsia="Book Antiqua" w:hAnsi="Book Antiqua" w:cs="Book Antiqua"/>
          <w:i/>
          <w:iCs/>
          <w:color w:val="000000" w:themeColor="text1"/>
          <w:szCs w:val="24"/>
          <w:lang w:val="es-PR"/>
        </w:rPr>
        <w:t>un año y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seis (6) meses, o con una multa no menor de </w:t>
      </w:r>
      <w:r>
        <w:rPr>
          <w:rFonts w:ascii="Book Antiqua" w:eastAsia="Book Antiqua" w:hAnsi="Book Antiqua" w:cs="Book Antiqua"/>
          <w:i/>
          <w:iCs/>
          <w:color w:val="000000" w:themeColor="text1"/>
          <w:szCs w:val="24"/>
          <w:lang w:val="es-PR"/>
        </w:rPr>
        <w:t xml:space="preserve">mil 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quinientos dólares ($</w:t>
      </w:r>
      <w:r>
        <w:rPr>
          <w:rFonts w:ascii="Book Antiqua" w:eastAsia="Book Antiqua" w:hAnsi="Book Antiqua" w:cs="Book Antiqua"/>
          <w:i/>
          <w:iCs/>
          <w:color w:val="000000" w:themeColor="text1"/>
          <w:szCs w:val="24"/>
          <w:lang w:val="es-PR"/>
        </w:rPr>
        <w:t>1,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500) ni mayor de </w:t>
      </w:r>
      <w:r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[cinco]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  <w:r>
        <w:rPr>
          <w:rFonts w:ascii="Book Antiqua" w:eastAsia="Book Antiqua" w:hAnsi="Book Antiqua" w:cs="Book Antiqua"/>
          <w:i/>
          <w:iCs/>
          <w:color w:val="000000" w:themeColor="text1"/>
          <w:szCs w:val="24"/>
          <w:lang w:val="es-PR"/>
        </w:rPr>
        <w:t>veinticinco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mil dólares ($</w:t>
      </w:r>
      <w:r>
        <w:rPr>
          <w:rFonts w:ascii="Book Antiqua" w:eastAsia="Book Antiqua" w:hAnsi="Book Antiqua" w:cs="Book Antiqua"/>
          <w:i/>
          <w:iCs/>
          <w:color w:val="000000" w:themeColor="text1"/>
          <w:szCs w:val="24"/>
          <w:lang w:val="es-PR"/>
        </w:rPr>
        <w:t>2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5,000), a discreción del Negociado de Energía. De mediar reincidencia, la pena establecida aumentará a una multa no menor de </w:t>
      </w:r>
      <w:r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[diez]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  <w:r>
        <w:rPr>
          <w:rFonts w:ascii="Book Antiqua" w:eastAsia="Book Antiqua" w:hAnsi="Book Antiqua" w:cs="Book Antiqua"/>
          <w:i/>
          <w:iCs/>
          <w:color w:val="000000" w:themeColor="text1"/>
          <w:szCs w:val="24"/>
          <w:lang w:val="es-PR"/>
        </w:rPr>
        <w:t>cincuenta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mil dólares </w:t>
      </w:r>
      <w:r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[($10,000)]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  <w:r>
        <w:rPr>
          <w:rFonts w:ascii="Book Antiqua" w:eastAsia="Book Antiqua" w:hAnsi="Book Antiqua" w:cs="Book Antiqua"/>
          <w:i/>
          <w:iCs/>
          <w:color w:val="000000" w:themeColor="text1"/>
          <w:szCs w:val="24"/>
          <w:lang w:val="es-PR"/>
        </w:rPr>
        <w:t xml:space="preserve">($50,000) 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ni mayor de </w:t>
      </w:r>
      <w:r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[veinte]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  <w:r>
        <w:rPr>
          <w:rFonts w:ascii="Book Antiqua" w:eastAsia="Book Antiqua" w:hAnsi="Book Antiqua" w:cs="Book Antiqua"/>
          <w:i/>
          <w:iCs/>
          <w:color w:val="000000" w:themeColor="text1"/>
          <w:szCs w:val="24"/>
          <w:lang w:val="es-PR"/>
        </w:rPr>
        <w:t xml:space="preserve">cien 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mil dólares </w:t>
      </w:r>
      <w:r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[($20,000)]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  <w:r>
        <w:rPr>
          <w:rFonts w:ascii="Book Antiqua" w:eastAsia="Book Antiqua" w:hAnsi="Book Antiqua" w:cs="Book Antiqua"/>
          <w:i/>
          <w:iCs/>
          <w:color w:val="000000" w:themeColor="text1"/>
          <w:szCs w:val="24"/>
          <w:lang w:val="es-PR"/>
        </w:rPr>
        <w:t>($100,000)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, a discreción del </w:t>
      </w:r>
      <w:r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[Negociado de Energía]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  <w:r>
        <w:rPr>
          <w:rFonts w:ascii="Book Antiqua" w:eastAsia="Book Antiqua" w:hAnsi="Book Antiqua" w:cs="Book Antiqua"/>
          <w:i/>
          <w:iCs/>
          <w:color w:val="000000" w:themeColor="text1"/>
          <w:szCs w:val="24"/>
          <w:lang w:val="es-PR"/>
        </w:rPr>
        <w:t>Tribunal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.</w:t>
      </w:r>
    </w:p>
    <w:p w14:paraId="25A2316C" w14:textId="77777777" w:rsidR="00CB48C0" w:rsidRDefault="00DC3D2E">
      <w:pPr>
        <w:spacing w:line="480" w:lineRule="auto"/>
        <w:ind w:firstLine="36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(e) El Negociado de Energía podrá acudir a los foros pertinentes para solicitar cualquier remedio, incluyendo el embargo de cuentas, para lograr el cumplimiento de las penalidades impuestas</w:t>
      </w:r>
      <w:r>
        <w:rPr>
          <w:rFonts w:ascii="Book Antiqua" w:eastAsia="Book Antiqua" w:hAnsi="Book Antiqua" w:cs="Book Antiqua"/>
          <w:i/>
          <w:iCs/>
          <w:color w:val="000000" w:themeColor="text1"/>
          <w:szCs w:val="24"/>
          <w:lang w:val="es-PR"/>
        </w:rPr>
        <w:t xml:space="preserve"> o de cualquiera otra de sus facultades de conformidad con esta Ley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.</w:t>
      </w:r>
    </w:p>
    <w:p w14:paraId="27912D17" w14:textId="50A0C316" w:rsidR="00CB48C0" w:rsidRDefault="00DC3D2E" w:rsidP="2ED67279">
      <w:pPr>
        <w:spacing w:line="480" w:lineRule="auto"/>
        <w:ind w:firstLine="36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2ED6727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(f) Al imponer una sanción, el Negociado podrá ordenar que cualquier agencia, dependencia, oficina, corporación pública, programa o entidad del Gobierno de Puerto Rico que posea cualquier acreencia a favor del regulado deposite los fondos correspondientes a dicha acreencia con el Negociado, hasta el monto de la sanción, para garantizar el fiel cumplimiento con la misma. Una vez la sanción impuesta advenga final y firme, el Negociado podrá cobrar la sanción de los fondos que tenga en su posesión que correspondan al regulado sancionado.</w:t>
      </w:r>
      <w:r w:rsidRPr="2ED67279">
        <w:rPr>
          <w:rFonts w:ascii="Book Antiqua" w:eastAsia="Book Antiqua" w:hAnsi="Book Antiqua" w:cs="Book Antiqua"/>
          <w:color w:val="000000" w:themeColor="text1"/>
          <w:lang w:val="es-PR"/>
        </w:rPr>
        <w:t>”</w:t>
      </w:r>
    </w:p>
    <w:p w14:paraId="2E9D5843" w14:textId="77777777" w:rsidR="00CB48C0" w:rsidRDefault="00DC3D2E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Sección 2. Separabilidad. </w:t>
      </w:r>
    </w:p>
    <w:p w14:paraId="6F1AF046" w14:textId="77777777" w:rsidR="00CB48C0" w:rsidRDefault="00DC3D2E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szCs w:val="24"/>
          <w:lang w:val="es-PR"/>
        </w:rPr>
      </w:pPr>
      <w:r>
        <w:rPr>
          <w:rFonts w:ascii="Book Antiqua" w:hAnsi="Book Antiqua"/>
          <w:color w:val="000000" w:themeColor="text1"/>
          <w:szCs w:val="24"/>
          <w:lang w:val="es-PR"/>
        </w:rPr>
        <w:lastRenderedPageBreak/>
        <w:t xml:space="preserve">Si cualquier cláusula, párrafo, oración, palabra, artículo, disposición, sección, título, capítulo, subcapítulo, acápite o parte de esta Ley fuera anulada o declarada inconstitucional, la resolución, el dictamen o la sentencia dictada a tal efecto no afectará, perjudicará, ni invalidará el remanente de esta Ley. El efecto de tal sentencia quedará limitado a la cláusula, párrafo, oración, palabra, artículo, disposición, sección, título, capítulo, subcapítulo, acápite o parte de ésta que así hubiera sido anulada o declarada inconstitucional. Si la aplicación a una persona o a una circunstancia de cualquier cláusula, párrafo, subpárrafo, oración, palabra, artículo, disposición, sección, título, capítulo, acápite o parte de esta Ley se invalidara o se declarara inconstitucional, la resolución, el dictamen o la sentencia dictada no afectará ni invalidará la aplicación del remanente de esta Ley a aquellas personas o circunstancias a las que se pueda aplicar válidamente. Es la voluntad expresa e inequívoca de esta Asamblea Legislativa que los tribunales hagan cumplir las disposiciones y la aplicación de esta Ley en la mayor medida posible, aunque se deje sin efecto, anule, invalide, perjudique o declare inconstitucional alguna de sus partes o, aunque se deje sin efecto, invalide o declare inconstitucional su aplicación a alguna persona o circunstancia. </w:t>
      </w:r>
    </w:p>
    <w:p w14:paraId="11910E13" w14:textId="77777777" w:rsidR="00CB48C0" w:rsidRDefault="00DC3D2E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Sección 3.- Vigencia. </w:t>
      </w:r>
    </w:p>
    <w:p w14:paraId="6CB37502" w14:textId="77777777" w:rsidR="00CB48C0" w:rsidRPr="00DC3D2E" w:rsidRDefault="00DC3D2E">
      <w:pPr>
        <w:spacing w:line="480" w:lineRule="auto"/>
        <w:ind w:firstLine="720"/>
        <w:jc w:val="both"/>
        <w:rPr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Esta Ley entrará en vigor inmediatamente después de su aprobación.</w:t>
      </w:r>
    </w:p>
    <w:sectPr w:rsidR="00CB48C0" w:rsidRPr="00DC3D2E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47375" w14:textId="77777777" w:rsidR="00DC3D2E" w:rsidRDefault="00DC3D2E">
      <w:r>
        <w:separator/>
      </w:r>
    </w:p>
  </w:endnote>
  <w:endnote w:type="continuationSeparator" w:id="0">
    <w:p w14:paraId="430E971F" w14:textId="77777777" w:rsidR="00DC3D2E" w:rsidRDefault="00DC3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BF115" w14:textId="77777777" w:rsidR="00DC3D2E" w:rsidRDefault="00DC3D2E">
      <w:r>
        <w:separator/>
      </w:r>
    </w:p>
  </w:footnote>
  <w:footnote w:type="continuationSeparator" w:id="0">
    <w:p w14:paraId="4483414D" w14:textId="77777777" w:rsidR="00DC3D2E" w:rsidRDefault="00DC3D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40BA2" w14:textId="77777777" w:rsidR="00CB48C0" w:rsidRDefault="00DC3D2E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20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A68CC" w14:textId="77777777" w:rsidR="00CB48C0" w:rsidRDefault="00DC3D2E">
    <w:pPr>
      <w:pStyle w:val="Header"/>
      <w:jc w:val="right"/>
    </w:pPr>
    <w:r>
      <w:t>A-002</w:t>
    </w:r>
  </w:p>
  <w:p w14:paraId="5AB6B40E" w14:textId="77777777" w:rsidR="00CB48C0" w:rsidRDefault="00DC3D2E">
    <w:pPr>
      <w:pStyle w:val="Header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8D5773B"/>
    <w:rsid w:val="001B1D59"/>
    <w:rsid w:val="0022160A"/>
    <w:rsid w:val="00413CA7"/>
    <w:rsid w:val="00417631"/>
    <w:rsid w:val="0049358F"/>
    <w:rsid w:val="005033A3"/>
    <w:rsid w:val="00777A0D"/>
    <w:rsid w:val="00872C01"/>
    <w:rsid w:val="00C3071E"/>
    <w:rsid w:val="00CB48C0"/>
    <w:rsid w:val="00DC3D2E"/>
    <w:rsid w:val="00DE4B1F"/>
    <w:rsid w:val="00FE3F37"/>
    <w:rsid w:val="08D5773B"/>
    <w:rsid w:val="2ED67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987470"/>
  <w15:docId w15:val="{E93E3FDB-E72C-4B39-BF9A-5DB3641AA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qFormat/>
  </w:style>
  <w:style w:type="paragraph" w:customStyle="1" w:styleId="Title2">
    <w:name w:val="Title2"/>
    <w:basedOn w:val="Normal"/>
    <w:next w:val="Normal"/>
    <w:qFormat/>
    <w:pPr>
      <w:tabs>
        <w:tab w:val="left" w:pos="648"/>
        <w:tab w:val="right" w:pos="7776"/>
        <w:tab w:val="left" w:pos="7848"/>
      </w:tabs>
    </w:pPr>
  </w:style>
  <w:style w:type="character" w:styleId="LineNumber">
    <w:name w:val="line number"/>
    <w:basedOn w:val="DefaultParagraphFont"/>
    <w:rsid w:val="00DC3D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72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997</Words>
  <Characters>5689</Characters>
  <Application>Microsoft Office Word</Application>
  <DocSecurity>0</DocSecurity>
  <Lines>47</Lines>
  <Paragraphs>13</Paragraphs>
  <ScaleCrop>false</ScaleCrop>
  <Company/>
  <LinksUpToDate>false</LinksUpToDate>
  <CharactersWithSpaces>6673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crivera</dc:creator>
  <cp:lastModifiedBy>Bárbara Sierra Nieves</cp:lastModifiedBy>
  <cp:revision>6</cp:revision>
  <cp:lastPrinted>2025-01-27T17:27:00Z</cp:lastPrinted>
  <dcterms:created xsi:type="dcterms:W3CDTF">2025-01-23T21:09:00Z</dcterms:created>
  <dcterms:modified xsi:type="dcterms:W3CDTF">2025-01-27T17:29:00Z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F7DE2D4C8CF54897A08D8740741EC1B4_11</vt:lpwstr>
  </property>
</Properties>
</file>