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B6339" w14:textId="77777777" w:rsidR="00102EFB" w:rsidRPr="00102EFB" w:rsidRDefault="00102EFB" w:rsidP="00102EFB">
      <w:pPr>
        <w:suppressLineNumbers/>
        <w:jc w:val="center"/>
        <w:rPr>
          <w:rFonts w:ascii="Book Antiqua" w:eastAsia="Times New Roman" w:hAnsi="Book Antiqua"/>
          <w:b/>
          <w:bCs/>
          <w:szCs w:val="24"/>
          <w:lang w:val="es-PR"/>
        </w:rPr>
      </w:pPr>
      <w:bookmarkStart w:id="0" w:name="_Hlk138253982"/>
      <w:r w:rsidRPr="00102EFB">
        <w:rPr>
          <w:rFonts w:ascii="Book Antiqua" w:eastAsia="Times New Roman" w:hAnsi="Book Antiqua"/>
          <w:b/>
          <w:bCs/>
          <w:szCs w:val="24"/>
          <w:lang w:val="es-PR"/>
        </w:rPr>
        <w:t>(TEXTO DE APROBACIÓN FINAL POR LA CÁMARA)</w:t>
      </w:r>
      <w:r w:rsidRPr="00102EFB">
        <w:rPr>
          <w:rFonts w:ascii="Book Antiqua" w:eastAsia="Times New Roman" w:hAnsi="Book Antiqua"/>
          <w:szCs w:val="24"/>
          <w:lang w:val="es-ES"/>
        </w:rPr>
        <w:fldChar w:fldCharType="begin"/>
      </w:r>
      <w:r w:rsidRPr="00102EFB">
        <w:rPr>
          <w:rFonts w:ascii="Book Antiqua" w:eastAsia="Times New Roman" w:hAnsi="Book Antiqua"/>
          <w:b/>
          <w:bCs/>
          <w:szCs w:val="24"/>
          <w:lang w:val="es-PR"/>
        </w:rPr>
        <w:instrText xml:space="preserve">PRIVATE </w:instrText>
      </w:r>
      <w:r w:rsidRPr="00102EFB">
        <w:rPr>
          <w:rFonts w:ascii="Book Antiqua" w:eastAsia="Times New Roman" w:hAnsi="Book Antiqua"/>
          <w:szCs w:val="24"/>
          <w:lang w:val="es-ES"/>
        </w:rPr>
        <w:fldChar w:fldCharType="end"/>
      </w:r>
    </w:p>
    <w:p w14:paraId="0E9A624B" w14:textId="77777777" w:rsidR="00102EFB" w:rsidRPr="00102EFB" w:rsidRDefault="00102EFB" w:rsidP="00102EFB">
      <w:pPr>
        <w:suppressLineNumbers/>
        <w:jc w:val="center"/>
        <w:rPr>
          <w:rFonts w:ascii="Book Antiqua" w:eastAsia="Times New Roman" w:hAnsi="Book Antiqua"/>
          <w:b/>
          <w:bCs/>
          <w:szCs w:val="24"/>
          <w:lang w:val="es-PR"/>
        </w:rPr>
      </w:pPr>
      <w:r w:rsidRPr="00102EFB">
        <w:rPr>
          <w:rFonts w:ascii="Book Antiqua" w:eastAsia="Times New Roman" w:hAnsi="Book Antiqua"/>
          <w:b/>
          <w:bCs/>
          <w:szCs w:val="24"/>
          <w:lang w:val="es-PR"/>
        </w:rPr>
        <w:t>(24 DE JUNIO DE 2025)</w:t>
      </w:r>
    </w:p>
    <w:p w14:paraId="53B98FF7" w14:textId="77777777" w:rsidR="00102EFB" w:rsidRPr="00102EFB" w:rsidRDefault="00102EFB" w:rsidP="00102EFB">
      <w:pPr>
        <w:suppressLineNumbers/>
        <w:jc w:val="center"/>
        <w:rPr>
          <w:rFonts w:ascii="Book Antiqua" w:eastAsia="Times New Roman" w:hAnsi="Book Antiqua"/>
          <w:b/>
          <w:bCs/>
          <w:sz w:val="28"/>
          <w:lang w:val="es-ES_tradnl"/>
        </w:rPr>
      </w:pPr>
      <w:r w:rsidRPr="00102EFB">
        <w:rPr>
          <w:rFonts w:ascii="Book Antiqua" w:eastAsia="Times New Roman" w:hAnsi="Book Antiqua"/>
          <w:noProof/>
          <w:sz w:val="28"/>
          <w:lang w:val="es-ES"/>
        </w:rPr>
        <mc:AlternateContent>
          <mc:Choice Requires="wps">
            <w:drawing>
              <wp:anchor distT="0" distB="0" distL="114300" distR="114300" simplePos="0" relativeHeight="251659264" behindDoc="1" locked="0" layoutInCell="0" allowOverlap="1" wp14:anchorId="10D4E3D4" wp14:editId="52350179">
                <wp:simplePos x="0" y="0"/>
                <wp:positionH relativeFrom="margin">
                  <wp:posOffset>0</wp:posOffset>
                </wp:positionH>
                <wp:positionV relativeFrom="paragraph">
                  <wp:posOffset>0</wp:posOffset>
                </wp:positionV>
                <wp:extent cx="5943600" cy="22860"/>
                <wp:effectExtent l="0" t="0" r="0" b="0"/>
                <wp:wrapNone/>
                <wp:docPr id="43805455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35220C"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3B64707" w14:textId="37804D96" w:rsidR="001A11EA" w:rsidRPr="00DB209E" w:rsidRDefault="001A11EA" w:rsidP="004F4B03">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12CFCC5C" w14:textId="77777777" w:rsidR="001A11EA" w:rsidRPr="00DB209E" w:rsidRDefault="001A11EA" w:rsidP="004F4B03">
      <w:pPr>
        <w:jc w:val="center"/>
        <w:rPr>
          <w:rFonts w:ascii="Book Antiqua" w:hAnsi="Book Antiqua"/>
          <w:lang w:val="es-ES_tradnl"/>
        </w:rPr>
      </w:pPr>
    </w:p>
    <w:p w14:paraId="48DF9FB7" w14:textId="37FA1CC2" w:rsidR="001A11EA" w:rsidRPr="000E54E9" w:rsidRDefault="000E54E9" w:rsidP="000E54E9">
      <w:pPr>
        <w:pStyle w:val="Title2"/>
        <w:tabs>
          <w:tab w:val="clear" w:pos="648"/>
          <w:tab w:val="clear" w:pos="7776"/>
          <w:tab w:val="clear" w:pos="7848"/>
        </w:tabs>
        <w:jc w:val="both"/>
        <w:rPr>
          <w:rFonts w:ascii="Book Antiqua" w:hAnsi="Book Antiqua"/>
          <w:lang w:val="it-IT"/>
        </w:rPr>
      </w:pPr>
      <w:r>
        <w:rPr>
          <w:rFonts w:ascii="Book Antiqua" w:hAnsi="Book Antiqua"/>
          <w:lang w:val="it-IT"/>
        </w:rPr>
        <w:t>20ma.</w:t>
      </w:r>
      <w:r w:rsidR="001A11EA" w:rsidRPr="000E54E9">
        <w:rPr>
          <w:rFonts w:ascii="Book Antiqua" w:hAnsi="Book Antiqua"/>
          <w:lang w:val="it-IT"/>
        </w:rPr>
        <w:t xml:space="preserve"> Asamblea</w:t>
      </w:r>
      <w:r w:rsidR="001A11EA" w:rsidRPr="000E54E9">
        <w:rPr>
          <w:rFonts w:ascii="Book Antiqua" w:hAnsi="Book Antiqua"/>
          <w:lang w:val="it-IT"/>
        </w:rPr>
        <w:tab/>
        <w:t xml:space="preserve">                                                                                               </w:t>
      </w:r>
      <w:r>
        <w:rPr>
          <w:rFonts w:ascii="Book Antiqua" w:hAnsi="Book Antiqua"/>
          <w:lang w:val="it-IT"/>
        </w:rPr>
        <w:t>1ra.</w:t>
      </w:r>
      <w:r w:rsidR="001A11EA" w:rsidRPr="000E54E9">
        <w:rPr>
          <w:rFonts w:ascii="Book Antiqua" w:hAnsi="Book Antiqua"/>
          <w:lang w:val="it-IT"/>
        </w:rPr>
        <w:t xml:space="preserve"> Sesión</w:t>
      </w:r>
    </w:p>
    <w:p w14:paraId="45FF1575" w14:textId="0A8DF5DE" w:rsidR="001A11EA" w:rsidRPr="000E54E9" w:rsidRDefault="001A11EA" w:rsidP="000E54E9">
      <w:pPr>
        <w:pStyle w:val="Title2"/>
        <w:tabs>
          <w:tab w:val="clear" w:pos="648"/>
          <w:tab w:val="clear" w:pos="7776"/>
          <w:tab w:val="clear" w:pos="7848"/>
        </w:tabs>
        <w:jc w:val="both"/>
        <w:rPr>
          <w:rFonts w:ascii="Book Antiqua" w:hAnsi="Book Antiqua"/>
          <w:lang w:val="it-IT"/>
        </w:rPr>
      </w:pPr>
      <w:r w:rsidRPr="000E54E9">
        <w:rPr>
          <w:rFonts w:ascii="Book Antiqua" w:hAnsi="Book Antiqua"/>
          <w:lang w:val="it-IT"/>
        </w:rPr>
        <w:t xml:space="preserve">          </w:t>
      </w:r>
      <w:r w:rsidR="000E54E9">
        <w:rPr>
          <w:rFonts w:ascii="Book Antiqua" w:hAnsi="Book Antiqua"/>
          <w:lang w:val="it-IT"/>
        </w:rPr>
        <w:t xml:space="preserve"> </w:t>
      </w:r>
      <w:r w:rsidRPr="000E54E9">
        <w:rPr>
          <w:rFonts w:ascii="Book Antiqua" w:hAnsi="Book Antiqua"/>
          <w:lang w:val="it-IT"/>
        </w:rPr>
        <w:t>Legislativa</w:t>
      </w:r>
      <w:r w:rsidRPr="000E54E9">
        <w:rPr>
          <w:rFonts w:ascii="Book Antiqua" w:hAnsi="Book Antiqua"/>
          <w:lang w:val="it-IT"/>
        </w:rPr>
        <w:tab/>
      </w:r>
      <w:r w:rsidRPr="000E54E9">
        <w:rPr>
          <w:rFonts w:ascii="Book Antiqua" w:hAnsi="Book Antiqua"/>
          <w:lang w:val="it-IT"/>
        </w:rPr>
        <w:tab/>
        <w:t xml:space="preserve">                                                                                          Ordinaria</w:t>
      </w:r>
    </w:p>
    <w:p w14:paraId="65E70B82" w14:textId="77777777" w:rsidR="001A11EA" w:rsidRPr="000E54E9" w:rsidRDefault="001A11EA" w:rsidP="004F4B03">
      <w:pPr>
        <w:jc w:val="both"/>
        <w:rPr>
          <w:rFonts w:ascii="Book Antiqua" w:hAnsi="Book Antiqua"/>
          <w:lang w:val="it-IT"/>
        </w:rPr>
      </w:pPr>
    </w:p>
    <w:p w14:paraId="6BB16A8B" w14:textId="77777777" w:rsidR="001A11EA" w:rsidRPr="00DB209E" w:rsidRDefault="001A11EA" w:rsidP="004F4B03">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10513B0E" w14:textId="77777777" w:rsidR="001A11EA" w:rsidRPr="00DB209E" w:rsidRDefault="001A11EA" w:rsidP="004F4B03">
      <w:pPr>
        <w:jc w:val="center"/>
        <w:rPr>
          <w:rFonts w:ascii="Book Antiqua" w:hAnsi="Book Antiqua"/>
          <w:szCs w:val="24"/>
          <w:lang w:val="es-ES_tradnl"/>
        </w:rPr>
      </w:pPr>
    </w:p>
    <w:p w14:paraId="17533293" w14:textId="192C73F8" w:rsidR="001A11EA" w:rsidRPr="00FC628E" w:rsidRDefault="001A11EA" w:rsidP="004F4B03">
      <w:pPr>
        <w:jc w:val="center"/>
        <w:rPr>
          <w:rFonts w:ascii="Book Antiqua" w:hAnsi="Book Antiqua"/>
          <w:b/>
          <w:sz w:val="52"/>
          <w:szCs w:val="52"/>
          <w:lang w:val="es-ES_tradnl"/>
        </w:rPr>
      </w:pPr>
      <w:r w:rsidRPr="00707035">
        <w:rPr>
          <w:rFonts w:ascii="Book Antiqua" w:hAnsi="Book Antiqua"/>
          <w:b/>
          <w:sz w:val="52"/>
          <w:lang w:val="es-PR"/>
        </w:rPr>
        <w:t xml:space="preserve">R. C. </w:t>
      </w:r>
      <w:r w:rsidRPr="00FC628E">
        <w:rPr>
          <w:rFonts w:ascii="Book Antiqua" w:hAnsi="Book Antiqua"/>
          <w:b/>
          <w:sz w:val="52"/>
          <w:szCs w:val="52"/>
          <w:lang w:val="es-ES_tradnl"/>
        </w:rPr>
        <w:t>de la C.</w:t>
      </w:r>
      <w:r w:rsidR="007A1CB0">
        <w:rPr>
          <w:rFonts w:ascii="Book Antiqua" w:hAnsi="Book Antiqua"/>
          <w:b/>
          <w:sz w:val="52"/>
          <w:szCs w:val="52"/>
          <w:lang w:val="es-ES_tradnl"/>
        </w:rPr>
        <w:t xml:space="preserve"> 37</w:t>
      </w:r>
    </w:p>
    <w:p w14:paraId="6DC7E480" w14:textId="77777777" w:rsidR="001A11EA" w:rsidRDefault="001A11EA" w:rsidP="004F4B03">
      <w:pPr>
        <w:jc w:val="center"/>
        <w:rPr>
          <w:rFonts w:ascii="Book Antiqua" w:hAnsi="Book Antiqua"/>
          <w:lang w:val="es-ES_tradnl"/>
        </w:rPr>
      </w:pPr>
    </w:p>
    <w:p w14:paraId="2895FE0F" w14:textId="30E80348" w:rsidR="001A11EA" w:rsidRPr="00DB209E" w:rsidRDefault="001A11EA" w:rsidP="004F4B03">
      <w:pPr>
        <w:jc w:val="center"/>
        <w:rPr>
          <w:rFonts w:ascii="Book Antiqua" w:hAnsi="Book Antiqua"/>
          <w:b/>
          <w:sz w:val="48"/>
          <w:lang w:val="es-ES_tradnl"/>
        </w:rPr>
      </w:pPr>
      <w:r>
        <w:rPr>
          <w:rFonts w:ascii="Book Antiqua" w:hAnsi="Book Antiqua"/>
          <w:lang w:val="es-ES_tradnl"/>
        </w:rPr>
        <w:t>23 DE ENERO</w:t>
      </w:r>
      <w:r w:rsidRPr="00DB209E">
        <w:rPr>
          <w:rFonts w:ascii="Book Antiqua" w:hAnsi="Book Antiqua"/>
          <w:lang w:val="es-ES_tradnl"/>
        </w:rPr>
        <w:t xml:space="preserve"> DE 20</w:t>
      </w:r>
      <w:r>
        <w:rPr>
          <w:rFonts w:ascii="Book Antiqua" w:hAnsi="Book Antiqua"/>
          <w:lang w:val="es-ES_tradnl"/>
        </w:rPr>
        <w:t>25</w:t>
      </w:r>
    </w:p>
    <w:p w14:paraId="1D404D28" w14:textId="77777777" w:rsidR="001A11EA" w:rsidRDefault="001A11EA" w:rsidP="004F4B03">
      <w:pPr>
        <w:jc w:val="center"/>
        <w:rPr>
          <w:rFonts w:ascii="Book Antiqua" w:hAnsi="Book Antiqua"/>
          <w:lang w:val="es-ES_tradnl"/>
        </w:rPr>
      </w:pPr>
    </w:p>
    <w:p w14:paraId="46DCCADA" w14:textId="554E27EF" w:rsidR="001A11EA" w:rsidRDefault="001A11EA" w:rsidP="004F4B03">
      <w:pPr>
        <w:jc w:val="center"/>
        <w:rPr>
          <w:rFonts w:ascii="Book Antiqua" w:hAnsi="Book Antiqua"/>
          <w:i/>
          <w:lang w:val="es-ES_tradnl"/>
        </w:rPr>
      </w:pPr>
      <w:r w:rsidRPr="00DB209E">
        <w:rPr>
          <w:rFonts w:ascii="Book Antiqua" w:hAnsi="Book Antiqua"/>
          <w:lang w:val="es-ES_tradnl"/>
        </w:rPr>
        <w:t>Presentad</w:t>
      </w:r>
      <w:r>
        <w:rPr>
          <w:rFonts w:ascii="Book Antiqua" w:hAnsi="Book Antiqua"/>
          <w:lang w:val="es-ES_tradnl"/>
        </w:rPr>
        <w:t xml:space="preserve">a </w:t>
      </w:r>
      <w:r w:rsidRPr="00DB209E">
        <w:rPr>
          <w:rFonts w:ascii="Book Antiqua" w:hAnsi="Book Antiqua"/>
          <w:lang w:val="es-ES_tradnl"/>
        </w:rPr>
        <w:t xml:space="preserve">por </w:t>
      </w:r>
      <w:r>
        <w:rPr>
          <w:rFonts w:ascii="Book Antiqua" w:hAnsi="Book Antiqua"/>
          <w:lang w:val="es-ES_tradnl"/>
        </w:rPr>
        <w:t>el representante</w:t>
      </w:r>
      <w:r w:rsidRPr="00DB209E">
        <w:rPr>
          <w:rFonts w:ascii="Book Antiqua" w:hAnsi="Book Antiqua"/>
          <w:i/>
          <w:lang w:val="es-ES_tradnl"/>
        </w:rPr>
        <w:t xml:space="preserve"> </w:t>
      </w:r>
      <w:r>
        <w:rPr>
          <w:rFonts w:ascii="Book Antiqua" w:hAnsi="Book Antiqua"/>
          <w:i/>
          <w:lang w:val="es-ES_tradnl"/>
        </w:rPr>
        <w:t>Rodríguez Torres</w:t>
      </w:r>
    </w:p>
    <w:p w14:paraId="7C1DB915" w14:textId="77777777" w:rsidR="0093364A" w:rsidRDefault="0093364A" w:rsidP="004F4B03">
      <w:pPr>
        <w:jc w:val="center"/>
        <w:rPr>
          <w:rFonts w:ascii="Book Antiqua" w:hAnsi="Book Antiqua"/>
          <w:iCs/>
          <w:lang w:val="es-ES_tradnl"/>
        </w:rPr>
      </w:pPr>
    </w:p>
    <w:p w14:paraId="425C4493" w14:textId="77AA1542" w:rsidR="0093364A" w:rsidRPr="0093364A" w:rsidRDefault="0093364A" w:rsidP="004F4B03">
      <w:pPr>
        <w:jc w:val="center"/>
        <w:rPr>
          <w:rFonts w:ascii="Book Antiqua" w:hAnsi="Book Antiqua"/>
          <w:iCs/>
          <w:lang w:val="es-ES_tradnl"/>
        </w:rPr>
      </w:pPr>
      <w:r>
        <w:rPr>
          <w:rFonts w:ascii="Book Antiqua" w:hAnsi="Book Antiqua"/>
          <w:iCs/>
          <w:lang w:val="es-ES_tradnl"/>
        </w:rPr>
        <w:t>Referid</w:t>
      </w:r>
      <w:r w:rsidR="00F2193C">
        <w:rPr>
          <w:rFonts w:ascii="Book Antiqua" w:hAnsi="Book Antiqua"/>
          <w:iCs/>
          <w:lang w:val="es-ES_tradnl"/>
        </w:rPr>
        <w:t>a</w:t>
      </w:r>
      <w:r>
        <w:rPr>
          <w:rFonts w:ascii="Book Antiqua" w:hAnsi="Book Antiqua"/>
          <w:iCs/>
          <w:lang w:val="es-ES_tradnl"/>
        </w:rPr>
        <w:t xml:space="preserve"> a la Comisión </w:t>
      </w:r>
      <w:r w:rsidR="00846BAD">
        <w:rPr>
          <w:rFonts w:ascii="Book Antiqua" w:hAnsi="Book Antiqua"/>
          <w:iCs/>
          <w:lang w:val="es-ES_tradnl"/>
        </w:rPr>
        <w:t>de</w:t>
      </w:r>
      <w:r w:rsidR="00544EF1">
        <w:rPr>
          <w:rFonts w:ascii="Book Antiqua" w:hAnsi="Book Antiqua"/>
          <w:iCs/>
          <w:lang w:val="es-ES_tradnl"/>
        </w:rPr>
        <w:t xml:space="preserve"> Educación</w:t>
      </w:r>
    </w:p>
    <w:p w14:paraId="16BB16FB" w14:textId="77777777" w:rsidR="001A11EA" w:rsidRPr="00DB209E" w:rsidRDefault="001A11EA" w:rsidP="004F4B03">
      <w:pPr>
        <w:jc w:val="center"/>
        <w:rPr>
          <w:rFonts w:ascii="Book Antiqua" w:hAnsi="Book Antiqua"/>
          <w:lang w:val="es-ES_tradnl"/>
        </w:rPr>
      </w:pPr>
    </w:p>
    <w:p w14:paraId="745CD117" w14:textId="77777777" w:rsidR="001A11EA" w:rsidRPr="00BF4B16" w:rsidRDefault="001A11EA" w:rsidP="004F4B03">
      <w:pPr>
        <w:jc w:val="center"/>
        <w:rPr>
          <w:rFonts w:ascii="Book Antiqua" w:hAnsi="Book Antiqua"/>
          <w:b/>
          <w:caps/>
          <w:sz w:val="28"/>
          <w:lang w:val="es-PR"/>
        </w:rPr>
      </w:pPr>
      <w:r w:rsidRPr="00BF4B16">
        <w:rPr>
          <w:rFonts w:ascii="Book Antiqua" w:hAnsi="Book Antiqua"/>
          <w:b/>
          <w:caps/>
          <w:sz w:val="28"/>
          <w:lang w:val="es-PR"/>
        </w:rPr>
        <w:t>RESOLUCIón CONJUNTA</w:t>
      </w:r>
    </w:p>
    <w:p w14:paraId="27CE5D16" w14:textId="77777777" w:rsidR="001A11EA" w:rsidRPr="00D95C43" w:rsidRDefault="001A11EA" w:rsidP="004F4B03">
      <w:pPr>
        <w:jc w:val="both"/>
        <w:rPr>
          <w:rFonts w:ascii="Book Antiqua" w:hAnsi="Book Antiqua"/>
          <w:lang w:val="es-ES_tradnl"/>
        </w:rPr>
      </w:pPr>
    </w:p>
    <w:p w14:paraId="32D5E70A" w14:textId="1E2441C0" w:rsidR="001A11EA" w:rsidRPr="000E54E9" w:rsidRDefault="001A11EA" w:rsidP="004F4B03">
      <w:pPr>
        <w:suppressLineNumbers/>
        <w:tabs>
          <w:tab w:val="left" w:pos="7440"/>
        </w:tabs>
        <w:ind w:left="720" w:right="43" w:hanging="720"/>
        <w:jc w:val="both"/>
        <w:rPr>
          <w:rFonts w:ascii="Book Antiqua" w:hAnsi="Book Antiqua"/>
          <w:szCs w:val="24"/>
          <w:lang w:val="es-PR"/>
        </w:rPr>
      </w:pPr>
      <w:r w:rsidRPr="00415CEA">
        <w:rPr>
          <w:rFonts w:ascii="Book Antiqua" w:hAnsi="Book Antiqua"/>
          <w:szCs w:val="24"/>
          <w:lang w:val="es-ES_tradnl"/>
        </w:rPr>
        <w:t xml:space="preserve">Para ordenar al Comité de Evaluación y Disposición de Bienes Inmuebles, creado por </w:t>
      </w:r>
      <w:r w:rsidRPr="000E54E9">
        <w:rPr>
          <w:rFonts w:ascii="Book Antiqua" w:hAnsi="Book Antiqua"/>
          <w:szCs w:val="24"/>
          <w:lang w:val="es-ES_tradnl"/>
        </w:rPr>
        <w:t xml:space="preserve">virtud de la Ley 26-2017, según enmendada, conocida como ‘Ley de Cumplimiento con el Plan Fiscal’, evaluar conforme a las disposiciones de la ley y el reglamento, la transferencia, usufructo o cualquier otro negocio jurídico contemplado en dicha Ley, de las facilidades de las antiguas escuelas Adolfo Grana Rivera, La </w:t>
      </w:r>
      <w:proofErr w:type="spellStart"/>
      <w:r w:rsidRPr="000E54E9">
        <w:rPr>
          <w:rFonts w:ascii="Book Antiqua" w:hAnsi="Book Antiqua"/>
          <w:szCs w:val="24"/>
          <w:lang w:val="es-ES_tradnl"/>
        </w:rPr>
        <w:t>Gelpa</w:t>
      </w:r>
      <w:proofErr w:type="spellEnd"/>
      <w:r w:rsidRPr="000E54E9">
        <w:rPr>
          <w:rFonts w:ascii="Book Antiqua" w:hAnsi="Book Antiqua"/>
          <w:szCs w:val="24"/>
          <w:lang w:val="es-ES_tradnl"/>
        </w:rPr>
        <w:t>, Felipe Quiñones y Enrique "Quique" Ruiz, al Gobierno Municipal de Peñuelas, con el fin de que allí se instituyan diversos programas de servicios comunitarios, actividades recreativas y educativas para niños, jóvenes y adultos, talleres de capacitación, refugios comunitarios, y para otros fines relacionados.</w:t>
      </w:r>
    </w:p>
    <w:p w14:paraId="530D4080" w14:textId="77777777" w:rsidR="001A11EA" w:rsidRPr="000E54E9" w:rsidRDefault="001A11EA" w:rsidP="004F4B03">
      <w:pPr>
        <w:ind w:left="720" w:hanging="600"/>
        <w:jc w:val="both"/>
        <w:rPr>
          <w:rFonts w:ascii="Book Antiqua" w:hAnsi="Book Antiqua"/>
          <w:szCs w:val="24"/>
          <w:lang w:val="es-ES_tradnl"/>
        </w:rPr>
      </w:pPr>
      <w:r w:rsidRPr="000E54E9">
        <w:rPr>
          <w:rFonts w:ascii="Book Antiqua" w:hAnsi="Book Antiqua"/>
          <w:szCs w:val="24"/>
          <w:lang w:val="es-ES_tradnl"/>
        </w:rPr>
        <w:t xml:space="preserve"> </w:t>
      </w:r>
    </w:p>
    <w:p w14:paraId="3E704E7C" w14:textId="77777777" w:rsidR="001A11EA" w:rsidRPr="00415CEA" w:rsidRDefault="001A11EA" w:rsidP="004F4B03">
      <w:pPr>
        <w:jc w:val="center"/>
        <w:rPr>
          <w:rFonts w:ascii="Book Antiqua" w:hAnsi="Book Antiqua"/>
          <w:szCs w:val="24"/>
          <w:lang w:val="es-ES_tradnl"/>
        </w:rPr>
      </w:pPr>
      <w:r w:rsidRPr="00415CEA">
        <w:rPr>
          <w:rFonts w:ascii="Book Antiqua" w:hAnsi="Book Antiqua"/>
          <w:szCs w:val="24"/>
          <w:lang w:val="es-ES_tradnl"/>
        </w:rPr>
        <w:t xml:space="preserve">EXPOSICIÓN DE MOTIVOS </w:t>
      </w:r>
    </w:p>
    <w:p w14:paraId="7DF20149" w14:textId="77777777" w:rsidR="004F4B03" w:rsidRPr="00415CEA" w:rsidRDefault="004F4B03" w:rsidP="004F4B03">
      <w:pPr>
        <w:jc w:val="center"/>
        <w:rPr>
          <w:rFonts w:ascii="Book Antiqua" w:hAnsi="Book Antiqua"/>
          <w:szCs w:val="24"/>
          <w:lang w:val="es-ES_tradnl"/>
        </w:rPr>
      </w:pPr>
    </w:p>
    <w:p w14:paraId="3AE3A92C" w14:textId="77777777" w:rsidR="0099663F" w:rsidRPr="000E54E9" w:rsidRDefault="0099663F" w:rsidP="004F4B03">
      <w:pPr>
        <w:autoSpaceDE w:val="0"/>
        <w:autoSpaceDN w:val="0"/>
        <w:adjustRightInd w:val="0"/>
        <w:ind w:firstLine="720"/>
        <w:jc w:val="both"/>
        <w:rPr>
          <w:rFonts w:ascii="Book Antiqua" w:eastAsia="Aptos" w:hAnsi="Book Antiqua"/>
          <w:color w:val="000000"/>
          <w:szCs w:val="24"/>
          <w:lang w:val="es-PR"/>
        </w:rPr>
      </w:pPr>
      <w:r w:rsidRPr="000E54E9">
        <w:rPr>
          <w:rFonts w:ascii="Book Antiqua" w:eastAsia="Aptos" w:hAnsi="Book Antiqua"/>
          <w:color w:val="000000"/>
          <w:szCs w:val="24"/>
          <w:lang w:val="es-PR"/>
        </w:rPr>
        <w:t xml:space="preserve">Las escuelas Adolfo Grana Rivera, La </w:t>
      </w:r>
      <w:proofErr w:type="spellStart"/>
      <w:r w:rsidRPr="000E54E9">
        <w:rPr>
          <w:rFonts w:ascii="Book Antiqua" w:eastAsia="Aptos" w:hAnsi="Book Antiqua"/>
          <w:color w:val="000000"/>
          <w:szCs w:val="24"/>
          <w:lang w:val="es-PR"/>
        </w:rPr>
        <w:t>Gelpa</w:t>
      </w:r>
      <w:proofErr w:type="spellEnd"/>
      <w:r w:rsidRPr="000E54E9">
        <w:rPr>
          <w:rFonts w:ascii="Book Antiqua" w:eastAsia="Aptos" w:hAnsi="Book Antiqua"/>
          <w:color w:val="000000"/>
          <w:szCs w:val="24"/>
          <w:lang w:val="es-PR"/>
        </w:rPr>
        <w:t>, Felipe Quiñones y Enrique "Quique" Ruiz fueron pilares educativos en Peñuelas durante décadas, sirviendo a sus respectivas comunidades. Sin embargo, los cambios en las necesidades de la comunidad han llevado a una redistribución de los servicios educativos hacia otras instalaciones en el municipio, reflejo de transformaciones demográficas y culturales que han impactado la región. Estos planteles, ahora cerrados, corren el riesgo de convertirse en estorbos públicos si no se toman medidas para reutilizarlos de manera adecuada.</w:t>
      </w:r>
    </w:p>
    <w:p w14:paraId="4ADDC032" w14:textId="77777777" w:rsidR="0099663F" w:rsidRPr="00415CEA" w:rsidRDefault="0099663F" w:rsidP="004F4B03">
      <w:pPr>
        <w:autoSpaceDE w:val="0"/>
        <w:autoSpaceDN w:val="0"/>
        <w:adjustRightInd w:val="0"/>
        <w:ind w:firstLine="720"/>
        <w:jc w:val="both"/>
        <w:rPr>
          <w:rFonts w:ascii="Book Antiqua" w:eastAsia="Aptos" w:hAnsi="Book Antiqua"/>
          <w:color w:val="000000"/>
          <w:szCs w:val="24"/>
          <w:lang w:val="es-PR"/>
        </w:rPr>
      </w:pPr>
    </w:p>
    <w:p w14:paraId="38231562" w14:textId="77777777" w:rsidR="0099663F" w:rsidRPr="000E54E9" w:rsidRDefault="0099663F" w:rsidP="004F4B03">
      <w:pPr>
        <w:autoSpaceDE w:val="0"/>
        <w:autoSpaceDN w:val="0"/>
        <w:adjustRightInd w:val="0"/>
        <w:ind w:firstLine="720"/>
        <w:jc w:val="both"/>
        <w:rPr>
          <w:rFonts w:ascii="Book Antiqua" w:eastAsia="Aptos" w:hAnsi="Book Antiqua"/>
          <w:color w:val="000000"/>
          <w:szCs w:val="24"/>
          <w:lang w:val="es-PR"/>
        </w:rPr>
      </w:pPr>
      <w:r w:rsidRPr="000E54E9">
        <w:rPr>
          <w:rFonts w:ascii="Book Antiqua" w:eastAsia="Aptos" w:hAnsi="Book Antiqua"/>
          <w:color w:val="000000"/>
          <w:szCs w:val="24"/>
          <w:lang w:val="es-PR"/>
        </w:rPr>
        <w:lastRenderedPageBreak/>
        <w:t>El cierre de estas escuelas no debe considerarse el fin de su utilidad, sino una oportunidad para convertirlas en centros de servicio comunitario que respondan a las necesidades actuales de Peñuelas. Estas estructuras tienen un valor histórico, educativo y social significativo y representan un potencial incalculable para el desarrollo de programas sociales, recreativos y educativos que beneficien directamente a los residentes.</w:t>
      </w:r>
    </w:p>
    <w:p w14:paraId="34F81490" w14:textId="77777777" w:rsidR="0099663F" w:rsidRPr="000E54E9" w:rsidRDefault="0099663F" w:rsidP="004F4B03">
      <w:pPr>
        <w:autoSpaceDE w:val="0"/>
        <w:autoSpaceDN w:val="0"/>
        <w:adjustRightInd w:val="0"/>
        <w:ind w:firstLine="720"/>
        <w:jc w:val="both"/>
        <w:rPr>
          <w:rFonts w:ascii="Book Antiqua" w:eastAsia="Aptos" w:hAnsi="Book Antiqua"/>
          <w:color w:val="000000"/>
          <w:szCs w:val="24"/>
          <w:lang w:val="es-PR"/>
        </w:rPr>
      </w:pPr>
    </w:p>
    <w:p w14:paraId="2C39A87D" w14:textId="77777777" w:rsidR="0099663F" w:rsidRPr="000E54E9" w:rsidRDefault="0099663F" w:rsidP="004F4B03">
      <w:pPr>
        <w:autoSpaceDE w:val="0"/>
        <w:autoSpaceDN w:val="0"/>
        <w:adjustRightInd w:val="0"/>
        <w:ind w:firstLine="720"/>
        <w:jc w:val="both"/>
        <w:rPr>
          <w:rFonts w:ascii="Book Antiqua" w:eastAsia="Aptos" w:hAnsi="Book Antiqua"/>
          <w:color w:val="000000"/>
          <w:szCs w:val="24"/>
          <w:lang w:val="es-PR"/>
        </w:rPr>
      </w:pPr>
      <w:r w:rsidRPr="000E54E9">
        <w:rPr>
          <w:rFonts w:ascii="Book Antiqua" w:eastAsia="Aptos" w:hAnsi="Book Antiqua"/>
          <w:color w:val="000000"/>
          <w:szCs w:val="24"/>
          <w:lang w:val="es-PR"/>
        </w:rPr>
        <w:t>El Gobierno Municipal de Peñuelas, alineado con la planificación del gobierno ejecutivo y consciente de la importancia de maximizar los recursos disponibles, ha expresado interés en utilizar estos planteles para implementar programas comunitarios, talleres educativos y actividades recreativas. Además, estos espacios podrían ser destinados a refugios comunitarios en casos de emergencia, contribuyendo a la seguridad y bienestar de la población. Esta estrategia no solo fortalecerá el desarrollo del municipio, sino que también tendrá un impacto positivo en la región y el país.</w:t>
      </w:r>
    </w:p>
    <w:p w14:paraId="3B018486" w14:textId="77777777" w:rsidR="0099663F" w:rsidRPr="000E54E9" w:rsidRDefault="0099663F" w:rsidP="004F4B03">
      <w:pPr>
        <w:autoSpaceDE w:val="0"/>
        <w:autoSpaceDN w:val="0"/>
        <w:adjustRightInd w:val="0"/>
        <w:ind w:firstLine="720"/>
        <w:jc w:val="both"/>
        <w:rPr>
          <w:rFonts w:ascii="Book Antiqua" w:eastAsia="Aptos" w:hAnsi="Book Antiqua"/>
          <w:color w:val="000000"/>
          <w:szCs w:val="24"/>
          <w:lang w:val="es-PR"/>
        </w:rPr>
      </w:pPr>
    </w:p>
    <w:p w14:paraId="58B5A59C" w14:textId="34429F9F" w:rsidR="001A11EA" w:rsidRPr="000E54E9" w:rsidRDefault="0099663F" w:rsidP="004F4B03">
      <w:pPr>
        <w:autoSpaceDE w:val="0"/>
        <w:autoSpaceDN w:val="0"/>
        <w:adjustRightInd w:val="0"/>
        <w:ind w:firstLine="720"/>
        <w:jc w:val="both"/>
        <w:rPr>
          <w:rFonts w:ascii="Book Antiqua" w:hAnsi="Book Antiqua"/>
          <w:szCs w:val="24"/>
          <w:lang w:val="es-PR"/>
        </w:rPr>
      </w:pPr>
      <w:r w:rsidRPr="000E54E9">
        <w:rPr>
          <w:rFonts w:ascii="Book Antiqua" w:eastAsia="Aptos" w:hAnsi="Book Antiqua"/>
          <w:color w:val="000000"/>
          <w:szCs w:val="24"/>
          <w:lang w:val="es-PR"/>
        </w:rPr>
        <w:t xml:space="preserve">Considerando que el Departamento de Educación no tiene un uso proyectado para estos planteles, no existe impedimento alguno para que estas instalaciones sean transferidas al Municipio de Peñuelas, asegurando que continúen siendo activos valiosos para la </w:t>
      </w:r>
      <w:r w:rsidR="00F05B81" w:rsidRPr="000E54E9">
        <w:rPr>
          <w:rFonts w:ascii="Book Antiqua" w:eastAsia="Aptos" w:hAnsi="Book Antiqua"/>
          <w:color w:val="000000"/>
          <w:szCs w:val="24"/>
          <w:lang w:val="es-PR"/>
        </w:rPr>
        <w:t>comunidad.</w:t>
      </w:r>
      <w:r w:rsidR="001A11EA" w:rsidRPr="000E54E9">
        <w:rPr>
          <w:rFonts w:ascii="Book Antiqua" w:hAnsi="Book Antiqua"/>
          <w:szCs w:val="24"/>
          <w:lang w:val="es-PR"/>
        </w:rPr>
        <w:t xml:space="preserve"> </w:t>
      </w:r>
    </w:p>
    <w:p w14:paraId="4294F31B" w14:textId="77777777" w:rsidR="00A550D4" w:rsidRPr="00415CEA" w:rsidRDefault="00A550D4" w:rsidP="004F4B03">
      <w:pPr>
        <w:autoSpaceDE w:val="0"/>
        <w:autoSpaceDN w:val="0"/>
        <w:adjustRightInd w:val="0"/>
        <w:ind w:firstLine="720"/>
        <w:jc w:val="both"/>
        <w:rPr>
          <w:rFonts w:ascii="Book Antiqua" w:hAnsi="Book Antiqua"/>
          <w:szCs w:val="24"/>
          <w:lang w:val="es-PR"/>
        </w:rPr>
      </w:pPr>
    </w:p>
    <w:p w14:paraId="1975CF7A" w14:textId="77777777" w:rsidR="00A550D4" w:rsidRPr="000E54E9" w:rsidRDefault="00A550D4" w:rsidP="00A550D4">
      <w:pPr>
        <w:suppressAutoHyphens/>
        <w:ind w:firstLine="720"/>
        <w:jc w:val="both"/>
        <w:rPr>
          <w:rFonts w:ascii="Book Antiqua" w:hAnsi="Book Antiqua"/>
          <w:szCs w:val="24"/>
          <w:lang w:val="es-PR"/>
        </w:rPr>
      </w:pPr>
      <w:r w:rsidRPr="000E54E9">
        <w:rPr>
          <w:rFonts w:ascii="Book Antiqua" w:hAnsi="Book Antiqua"/>
          <w:szCs w:val="24"/>
          <w:lang w:val="es-PR"/>
        </w:rPr>
        <w:t>La Ley Núm. 26-2017, según enmendada, conocida como la “Ley de Cumplimiento con el Plan Fiscal (Ley 26), en su Artículo 5.01, establece la política pública y los mecanismos necesarios para la disposición de propiedades públicas en desuso. El Artículo 5.03 de la mencionada Ley, faculta al Comité de Evaluación y Disposición de Bienes Inmuebles para la disposición de bienes Inmuebles de la Rama Ejecutiva. Además, el Artículo 5.07 de la citada Ley, establece que el CEDBI dispondrá de los bienes inmuebles utilizando como base el justo valor en el mercado a ser determinado mediante el correspondiente procedimiento de evaluación y tasación o velando por la utilización de la propiedad para el beneficio del interés público.</w:t>
      </w:r>
    </w:p>
    <w:p w14:paraId="57A52820" w14:textId="77777777" w:rsidR="00A550D4" w:rsidRPr="000E54E9" w:rsidRDefault="00A550D4" w:rsidP="00A550D4">
      <w:pPr>
        <w:suppressAutoHyphens/>
        <w:ind w:firstLine="720"/>
        <w:jc w:val="both"/>
        <w:rPr>
          <w:rFonts w:ascii="Book Antiqua" w:hAnsi="Book Antiqua"/>
          <w:szCs w:val="24"/>
          <w:lang w:val="es-PR"/>
        </w:rPr>
      </w:pPr>
    </w:p>
    <w:p w14:paraId="7601454A" w14:textId="049ACF10" w:rsidR="00A550D4" w:rsidRPr="000E54E9" w:rsidRDefault="00A550D4" w:rsidP="00A550D4">
      <w:pPr>
        <w:ind w:firstLine="720"/>
        <w:jc w:val="both"/>
        <w:rPr>
          <w:rFonts w:ascii="Book Antiqua" w:hAnsi="Book Antiqua"/>
          <w:szCs w:val="24"/>
          <w:lang w:val="es-ES_tradnl"/>
        </w:rPr>
      </w:pPr>
      <w:r w:rsidRPr="000E54E9">
        <w:rPr>
          <w:rFonts w:ascii="Book Antiqua" w:hAnsi="Book Antiqua"/>
          <w:szCs w:val="24"/>
          <w:lang w:val="es-PR"/>
        </w:rPr>
        <w:t xml:space="preserve">Por las razones anteriores, consideramos que reviste el más alto interés público </w:t>
      </w:r>
      <w:r w:rsidRPr="000E54E9">
        <w:rPr>
          <w:rFonts w:ascii="Book Antiqua" w:hAnsi="Book Antiqua"/>
          <w:szCs w:val="24"/>
          <w:lang w:val="es-ES_tradnl"/>
        </w:rPr>
        <w:t xml:space="preserve">transferir al Municipio de Peñuelas, las facilidades de las escuelas antes mencionadas, con el fin de que establezca proyectos de desarrollo económico, educativos, comunitarios, turísticos y deportivos de beneficio para la ciudadanía </w:t>
      </w:r>
      <w:proofErr w:type="spellStart"/>
      <w:r w:rsidRPr="000E54E9">
        <w:rPr>
          <w:rFonts w:ascii="Book Antiqua" w:hAnsi="Book Antiqua"/>
          <w:szCs w:val="24"/>
          <w:lang w:val="es-ES_tradnl"/>
        </w:rPr>
        <w:t>peñolana</w:t>
      </w:r>
      <w:proofErr w:type="spellEnd"/>
      <w:r w:rsidRPr="000E54E9">
        <w:rPr>
          <w:rFonts w:ascii="Book Antiqua" w:hAnsi="Book Antiqua"/>
          <w:szCs w:val="24"/>
          <w:lang w:val="es-ES_tradnl"/>
        </w:rPr>
        <w:t>.</w:t>
      </w:r>
    </w:p>
    <w:p w14:paraId="4B9F309B" w14:textId="77777777" w:rsidR="001A11EA" w:rsidRPr="00415CEA" w:rsidRDefault="001A11EA" w:rsidP="000E54E9">
      <w:pPr>
        <w:jc w:val="both"/>
        <w:rPr>
          <w:rFonts w:ascii="Book Antiqua" w:hAnsi="Book Antiqua"/>
          <w:szCs w:val="24"/>
          <w:lang w:val="es-PR"/>
        </w:rPr>
      </w:pPr>
    </w:p>
    <w:p w14:paraId="351894EF" w14:textId="77777777" w:rsidR="001A11EA" w:rsidRPr="00415CEA" w:rsidRDefault="001A11EA" w:rsidP="004F4B03">
      <w:pPr>
        <w:spacing w:line="480" w:lineRule="auto"/>
        <w:rPr>
          <w:rFonts w:ascii="Book Antiqua" w:hAnsi="Book Antiqua"/>
          <w:i/>
          <w:szCs w:val="24"/>
          <w:lang w:val="es-ES_tradnl"/>
        </w:rPr>
      </w:pPr>
      <w:r w:rsidRPr="00415CEA">
        <w:rPr>
          <w:rFonts w:ascii="Book Antiqua" w:hAnsi="Book Antiqua"/>
          <w:i/>
          <w:caps/>
          <w:szCs w:val="24"/>
          <w:lang w:val="es-PR"/>
        </w:rPr>
        <w:t>ResuélvEse</w:t>
      </w:r>
      <w:r w:rsidRPr="00415CEA">
        <w:rPr>
          <w:rFonts w:ascii="Book Antiqua" w:hAnsi="Book Antiqua"/>
          <w:i/>
          <w:szCs w:val="24"/>
          <w:lang w:val="es-ES_tradnl"/>
        </w:rPr>
        <w:t xml:space="preserve"> POR LA ASAMBLEA LEGISLATIVA DE PUERTO RICO:</w:t>
      </w:r>
    </w:p>
    <w:p w14:paraId="0B165A83" w14:textId="77777777" w:rsidR="001A11EA" w:rsidRPr="00415CEA" w:rsidRDefault="001A11EA" w:rsidP="001A11EA">
      <w:pPr>
        <w:spacing w:line="480" w:lineRule="auto"/>
        <w:jc w:val="both"/>
        <w:rPr>
          <w:rFonts w:ascii="Book Antiqua" w:hAnsi="Book Antiqua"/>
          <w:i/>
          <w:szCs w:val="24"/>
          <w:lang w:val="es-ES_tradnl"/>
        </w:rPr>
        <w:sectPr w:rsidR="001A11EA" w:rsidRPr="00415CEA" w:rsidSect="001A11EA">
          <w:headerReference w:type="default" r:id="rId7"/>
          <w:headerReference w:type="first" r:id="rId8"/>
          <w:pgSz w:w="12240" w:h="15840" w:code="1"/>
          <w:pgMar w:top="1440" w:right="1440" w:bottom="1440" w:left="1440" w:header="720" w:footer="720" w:gutter="0"/>
          <w:cols w:space="720"/>
          <w:titlePg/>
        </w:sectPr>
      </w:pPr>
    </w:p>
    <w:p w14:paraId="0732D16D" w14:textId="7F23FAD1" w:rsidR="00D54DD8" w:rsidRPr="00415CEA" w:rsidRDefault="00D54DD8" w:rsidP="00D54DD8">
      <w:pPr>
        <w:spacing w:line="480" w:lineRule="auto"/>
        <w:ind w:firstLine="720"/>
        <w:jc w:val="both"/>
        <w:rPr>
          <w:rFonts w:ascii="Book Antiqua" w:hAnsi="Book Antiqua"/>
          <w:szCs w:val="24"/>
          <w:lang w:val="es-PR"/>
        </w:rPr>
      </w:pPr>
      <w:r w:rsidRPr="00415CEA">
        <w:rPr>
          <w:rFonts w:ascii="Book Antiqua" w:hAnsi="Book Antiqua"/>
          <w:szCs w:val="24"/>
          <w:lang w:val="es-PR"/>
        </w:rPr>
        <w:t xml:space="preserve">Sección 1.-Se ordena al </w:t>
      </w:r>
      <w:proofErr w:type="spellStart"/>
      <w:r w:rsidR="0002682F" w:rsidRPr="000E54E9">
        <w:rPr>
          <w:rFonts w:ascii="Book Antiqua" w:hAnsi="Book Antiqua"/>
          <w:szCs w:val="24"/>
          <w:lang w:val="es-PR"/>
        </w:rPr>
        <w:t>al</w:t>
      </w:r>
      <w:proofErr w:type="spellEnd"/>
      <w:r w:rsidR="0002682F" w:rsidRPr="000E54E9">
        <w:rPr>
          <w:rFonts w:ascii="Book Antiqua" w:hAnsi="Book Antiqua"/>
          <w:szCs w:val="24"/>
          <w:lang w:val="es-PR"/>
        </w:rPr>
        <w:t xml:space="preserve"> Comité de Evaluación y Disposición de Bienes Inmuebles, creado por virtud de la Ley 26-2017, según enmendada, conocida como “Ley de Cumplimiento con el Plan Fiscal”, evaluar la transferencia,</w:t>
      </w:r>
      <w:r w:rsidR="00415CEA" w:rsidRPr="000E54E9">
        <w:rPr>
          <w:rFonts w:ascii="Book Antiqua" w:hAnsi="Book Antiqua"/>
          <w:szCs w:val="24"/>
          <w:lang w:val="es-ES_tradnl"/>
        </w:rPr>
        <w:t xml:space="preserve"> usufructo o cualquier otro negocio jurídico,</w:t>
      </w:r>
      <w:r w:rsidR="0002682F" w:rsidRPr="000E54E9">
        <w:rPr>
          <w:rFonts w:ascii="Book Antiqua" w:hAnsi="Book Antiqua"/>
          <w:szCs w:val="24"/>
          <w:lang w:val="es-PR"/>
        </w:rPr>
        <w:t xml:space="preserve"> de</w:t>
      </w:r>
      <w:r w:rsidR="0002682F" w:rsidRPr="000E54E9">
        <w:rPr>
          <w:rFonts w:ascii="Book Antiqua" w:hAnsi="Book Antiqua"/>
          <w:i/>
          <w:iCs/>
          <w:szCs w:val="24"/>
          <w:lang w:val="es-PR"/>
        </w:rPr>
        <w:t xml:space="preserve"> </w:t>
      </w:r>
      <w:r w:rsidRPr="00415CEA">
        <w:rPr>
          <w:rFonts w:ascii="Book Antiqua" w:hAnsi="Book Antiqua"/>
          <w:szCs w:val="24"/>
          <w:lang w:val="es-PR"/>
        </w:rPr>
        <w:t xml:space="preserve">las facilidades de las antiguas escuelas Adolfo Grana Rivera, La </w:t>
      </w:r>
      <w:proofErr w:type="spellStart"/>
      <w:r w:rsidRPr="00415CEA">
        <w:rPr>
          <w:rFonts w:ascii="Book Antiqua" w:hAnsi="Book Antiqua"/>
          <w:szCs w:val="24"/>
          <w:lang w:val="es-PR"/>
        </w:rPr>
        <w:lastRenderedPageBreak/>
        <w:t>Gelpa</w:t>
      </w:r>
      <w:proofErr w:type="spellEnd"/>
      <w:r w:rsidRPr="00415CEA">
        <w:rPr>
          <w:rFonts w:ascii="Book Antiqua" w:hAnsi="Book Antiqua"/>
          <w:szCs w:val="24"/>
          <w:lang w:val="es-PR"/>
        </w:rPr>
        <w:t>, Felipe Quiñones y Enrique "Quique" Ruiz, localizadas en el municipio de Peñuelas, al Gobierno Municipal de Peñuelas.</w:t>
      </w:r>
    </w:p>
    <w:p w14:paraId="5E5026A2" w14:textId="2C65AC24" w:rsidR="00D54DD8" w:rsidRPr="000E54E9" w:rsidRDefault="00D54DD8" w:rsidP="00D54DD8">
      <w:pPr>
        <w:spacing w:line="480" w:lineRule="auto"/>
        <w:ind w:firstLine="720"/>
        <w:jc w:val="both"/>
        <w:rPr>
          <w:rFonts w:ascii="Book Antiqua" w:hAnsi="Book Antiqua"/>
          <w:strike/>
          <w:szCs w:val="24"/>
          <w:lang w:val="es-PR"/>
        </w:rPr>
      </w:pPr>
      <w:r w:rsidRPr="00415CEA">
        <w:rPr>
          <w:rFonts w:ascii="Book Antiqua" w:hAnsi="Book Antiqua"/>
          <w:szCs w:val="24"/>
          <w:lang w:val="es-PR"/>
        </w:rPr>
        <w:t>Sección 2.</w:t>
      </w:r>
      <w:r w:rsidR="0002682F" w:rsidRPr="00415CEA">
        <w:rPr>
          <w:rFonts w:ascii="Book Antiqua" w:hAnsi="Book Antiqua"/>
          <w:szCs w:val="24"/>
          <w:lang w:val="es-PR"/>
        </w:rPr>
        <w:t xml:space="preserve"> </w:t>
      </w:r>
      <w:r w:rsidRPr="00415CEA">
        <w:rPr>
          <w:rFonts w:ascii="Book Antiqua" w:hAnsi="Book Antiqua"/>
          <w:szCs w:val="24"/>
          <w:lang w:val="es-PR"/>
        </w:rPr>
        <w:t>-</w:t>
      </w:r>
      <w:r w:rsidR="00AF6F25" w:rsidRPr="00E032D4">
        <w:rPr>
          <w:rFonts w:ascii="Book Antiqua" w:hAnsi="Book Antiqua"/>
          <w:szCs w:val="24"/>
          <w:lang w:val="es-ES_tradnl"/>
        </w:rPr>
        <w:t xml:space="preserve"> </w:t>
      </w:r>
      <w:r w:rsidR="00AF6F25" w:rsidRPr="000E54E9">
        <w:rPr>
          <w:rFonts w:ascii="Book Antiqua" w:hAnsi="Book Antiqua"/>
          <w:szCs w:val="24"/>
          <w:lang w:val="es-ES_tradnl"/>
        </w:rPr>
        <w:t>Si el Comité de Evaluación y Disposición de Propiedades Inmuebles al amparo de la Ley 26-2017, según enmendada, autoriza la transferencia, usufructo o cualquier otro negocio jurídico, la Autoridad de Edificios Públicos, la agencia, instrumentalidad, corporación o entidad pública que ostente la titularidad de las facilidades, será responsable de realizar toda gestión necesaria para dar fiel cumplimiento a la determinación del Comité.</w:t>
      </w:r>
    </w:p>
    <w:p w14:paraId="43E6FD27" w14:textId="53B92E1F" w:rsidR="00D54DD8" w:rsidRPr="000E54E9" w:rsidRDefault="00D54DD8" w:rsidP="00D54DD8">
      <w:pPr>
        <w:spacing w:line="480" w:lineRule="auto"/>
        <w:ind w:firstLine="720"/>
        <w:jc w:val="both"/>
        <w:rPr>
          <w:rFonts w:ascii="Book Antiqua" w:hAnsi="Book Antiqua"/>
          <w:szCs w:val="24"/>
          <w:lang w:val="es-PR"/>
        </w:rPr>
      </w:pPr>
      <w:r w:rsidRPr="00415CEA">
        <w:rPr>
          <w:rFonts w:ascii="Book Antiqua" w:hAnsi="Book Antiqua"/>
          <w:szCs w:val="24"/>
          <w:lang w:val="es-PR"/>
        </w:rPr>
        <w:t>Sección 3.</w:t>
      </w:r>
      <w:r w:rsidR="00AF6F25" w:rsidRPr="000E54E9">
        <w:rPr>
          <w:rFonts w:ascii="Book Antiqua" w:hAnsi="Book Antiqua"/>
          <w:szCs w:val="24"/>
          <w:lang w:val="es-ES_tradnl"/>
        </w:rPr>
        <w:t xml:space="preserve"> </w:t>
      </w:r>
      <w:r w:rsidRPr="000E54E9">
        <w:rPr>
          <w:rFonts w:ascii="Book Antiqua" w:hAnsi="Book Antiqua"/>
          <w:szCs w:val="24"/>
          <w:lang w:val="es-PR"/>
        </w:rPr>
        <w:t>-</w:t>
      </w:r>
      <w:r w:rsidR="00CE3B55" w:rsidRPr="000E54E9">
        <w:rPr>
          <w:rFonts w:ascii="Book Antiqua" w:hAnsi="Book Antiqua"/>
          <w:szCs w:val="24"/>
          <w:lang w:val="es-ES_tradnl"/>
        </w:rPr>
        <w:t xml:space="preserve"> De aprobarse la transferencia aquí dispuesta, el Comité de Evaluación y Disposición de Propiedades Inmuebles al amparo de la Ley 26-2017, según enmendada, y la Autoridad de Edificios Públicos, la agencia, instrumentalidad, corporación o entidad pública que ostente la titularidad de las facilidades, podrán imponer aquellas condiciones restrictivas para asegurar que la propiedad descrita en la Sección 1 de esta Resolución Conjunta sea utilizada únicamente para establecer proyectos de desarrollo económico, educativos, comunitarios </w:t>
      </w:r>
      <w:r w:rsidR="00415CEA" w:rsidRPr="000E54E9">
        <w:rPr>
          <w:rFonts w:ascii="Book Antiqua" w:hAnsi="Book Antiqua"/>
          <w:szCs w:val="24"/>
          <w:lang w:val="es-ES_tradnl"/>
        </w:rPr>
        <w:t>y</w:t>
      </w:r>
      <w:r w:rsidR="00CE3B55" w:rsidRPr="000E54E9">
        <w:rPr>
          <w:rFonts w:ascii="Book Antiqua" w:hAnsi="Book Antiqua"/>
          <w:szCs w:val="24"/>
          <w:lang w:val="es-ES_tradnl"/>
        </w:rPr>
        <w:t xml:space="preserve"> deportivos, así como otro proyecto que sea de beneficio para la ciudadanía en general.</w:t>
      </w:r>
    </w:p>
    <w:p w14:paraId="6EF541EF" w14:textId="49C8E562" w:rsidR="00CE3B55" w:rsidRPr="000E54E9" w:rsidRDefault="00D54DD8" w:rsidP="00CE3B5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ind w:firstLine="720"/>
        <w:jc w:val="both"/>
        <w:rPr>
          <w:rFonts w:ascii="Book Antiqua" w:hAnsi="Book Antiqua"/>
          <w:szCs w:val="24"/>
          <w:lang w:val="es-PR"/>
        </w:rPr>
      </w:pPr>
      <w:r w:rsidRPr="00415CEA">
        <w:rPr>
          <w:rFonts w:ascii="Book Antiqua" w:hAnsi="Book Antiqua"/>
          <w:szCs w:val="24"/>
          <w:lang w:val="es-PR"/>
        </w:rPr>
        <w:t>Sección 4.-</w:t>
      </w:r>
      <w:r w:rsidR="00AF1429">
        <w:rPr>
          <w:rFonts w:ascii="Book Antiqua" w:hAnsi="Book Antiqua"/>
          <w:szCs w:val="24"/>
          <w:lang w:val="es-PR"/>
        </w:rPr>
        <w:t xml:space="preserve"> </w:t>
      </w:r>
      <w:r w:rsidR="00CE3B55" w:rsidRPr="000E54E9">
        <w:rPr>
          <w:rFonts w:ascii="Book Antiqua" w:hAnsi="Book Antiqua"/>
          <w:szCs w:val="24"/>
          <w:lang w:val="es-PR"/>
        </w:rPr>
        <w:t>Se autoriza la transferencia</w:t>
      </w:r>
      <w:r w:rsidR="00D731A8" w:rsidRPr="000E54E9">
        <w:rPr>
          <w:rFonts w:ascii="Book Antiqua" w:hAnsi="Book Antiqua"/>
          <w:szCs w:val="24"/>
          <w:lang w:val="es-PR"/>
        </w:rPr>
        <w:t xml:space="preserve">, </w:t>
      </w:r>
      <w:r w:rsidR="00D731A8" w:rsidRPr="000E54E9">
        <w:rPr>
          <w:rFonts w:ascii="Book Antiqua" w:hAnsi="Book Antiqua"/>
          <w:szCs w:val="24"/>
          <w:lang w:val="es-ES_tradnl"/>
        </w:rPr>
        <w:t>usufructo o cualquier otro negocio jurídico</w:t>
      </w:r>
      <w:r w:rsidR="00CE3B55" w:rsidRPr="000E54E9">
        <w:rPr>
          <w:rFonts w:ascii="Book Antiqua" w:hAnsi="Book Antiqua"/>
          <w:szCs w:val="24"/>
          <w:lang w:val="es-PR"/>
        </w:rPr>
        <w:t xml:space="preserve"> de la</w:t>
      </w:r>
      <w:r w:rsidR="007A53EB" w:rsidRPr="000E54E9">
        <w:rPr>
          <w:rFonts w:ascii="Book Antiqua" w:hAnsi="Book Antiqua"/>
          <w:szCs w:val="24"/>
          <w:lang w:val="es-PR"/>
        </w:rPr>
        <w:t>s</w:t>
      </w:r>
      <w:r w:rsidR="00CE3B55" w:rsidRPr="000E54E9">
        <w:rPr>
          <w:rFonts w:ascii="Book Antiqua" w:hAnsi="Book Antiqua"/>
          <w:szCs w:val="24"/>
          <w:lang w:val="es-PR"/>
        </w:rPr>
        <w:t xml:space="preserve"> </w:t>
      </w:r>
      <w:r w:rsidR="007A53EB" w:rsidRPr="000E54E9">
        <w:rPr>
          <w:rFonts w:ascii="Book Antiqua" w:hAnsi="Book Antiqua"/>
          <w:szCs w:val="24"/>
          <w:lang w:val="es-PR"/>
        </w:rPr>
        <w:t>facilidades</w:t>
      </w:r>
      <w:r w:rsidR="00CE3B55" w:rsidRPr="000E54E9">
        <w:rPr>
          <w:rFonts w:ascii="Book Antiqua" w:hAnsi="Book Antiqua"/>
          <w:szCs w:val="24"/>
          <w:lang w:val="es-PR"/>
        </w:rPr>
        <w:t xml:space="preserve"> descrita</w:t>
      </w:r>
      <w:r w:rsidR="007A53EB" w:rsidRPr="000E54E9">
        <w:rPr>
          <w:rFonts w:ascii="Book Antiqua" w:hAnsi="Book Antiqua"/>
          <w:szCs w:val="24"/>
          <w:lang w:val="es-PR"/>
        </w:rPr>
        <w:t>s</w:t>
      </w:r>
      <w:r w:rsidR="00CE3B55" w:rsidRPr="000E54E9">
        <w:rPr>
          <w:rFonts w:ascii="Book Antiqua" w:hAnsi="Book Antiqua"/>
          <w:szCs w:val="24"/>
          <w:lang w:val="es-PR"/>
        </w:rPr>
        <w:t xml:space="preserve"> en la Sección 1 de esta Resolución Conjunta, mediante el negocio jurídico recomendado por el Comité de Evaluación y Disposición de Bienes Inmuebles, creado por virtud de la Ley Núm. 26-2017, según enmendada, conocida como “Ley de Cumplimiento con el Plan Fiscal”, sujeta a las siguientes condiciones:</w:t>
      </w:r>
    </w:p>
    <w:p w14:paraId="436BD716" w14:textId="77777777" w:rsidR="00232C49" w:rsidRPr="000E54E9" w:rsidRDefault="00CE3B55" w:rsidP="00232C49">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jc w:val="both"/>
        <w:rPr>
          <w:rFonts w:ascii="Book Antiqua" w:hAnsi="Book Antiqua"/>
          <w:sz w:val="24"/>
          <w:szCs w:val="24"/>
          <w:lang w:val="es-PR"/>
        </w:rPr>
      </w:pPr>
      <w:r w:rsidRPr="000E54E9">
        <w:rPr>
          <w:rFonts w:ascii="Book Antiqua" w:hAnsi="Book Antiqua"/>
          <w:sz w:val="24"/>
          <w:szCs w:val="24"/>
          <w:lang w:val="es-PR"/>
        </w:rPr>
        <w:lastRenderedPageBreak/>
        <w:t>El título de propiedad no podrá ser cedido o traspasado en forma alguna a otra entidad pública o privada.</w:t>
      </w:r>
    </w:p>
    <w:p w14:paraId="1B275032" w14:textId="55D3EC7C" w:rsidR="00232C49" w:rsidRPr="000E54E9" w:rsidRDefault="00232C49" w:rsidP="00232C49">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jc w:val="both"/>
        <w:rPr>
          <w:rFonts w:ascii="Book Antiqua" w:hAnsi="Book Antiqua"/>
          <w:sz w:val="24"/>
          <w:szCs w:val="24"/>
          <w:lang w:val="es-PR"/>
        </w:rPr>
      </w:pPr>
      <w:r w:rsidRPr="000E54E9">
        <w:rPr>
          <w:rFonts w:ascii="Book Antiqua" w:hAnsi="Book Antiqua"/>
          <w:sz w:val="24"/>
          <w:szCs w:val="24"/>
          <w:lang w:val="es-PR"/>
        </w:rPr>
        <w:t xml:space="preserve">El solar y estructuras para transferir al Municipio de </w:t>
      </w:r>
      <w:r w:rsidR="00020FAE" w:rsidRPr="000E54E9">
        <w:rPr>
          <w:rFonts w:ascii="Book Antiqua" w:hAnsi="Book Antiqua"/>
          <w:sz w:val="24"/>
          <w:szCs w:val="24"/>
          <w:lang w:val="es-PR"/>
        </w:rPr>
        <w:t>Peñuelas</w:t>
      </w:r>
      <w:r w:rsidRPr="000E54E9">
        <w:rPr>
          <w:rFonts w:ascii="Book Antiqua" w:hAnsi="Book Antiqua"/>
          <w:sz w:val="24"/>
          <w:szCs w:val="24"/>
          <w:lang w:val="es-PR"/>
        </w:rPr>
        <w:t xml:space="preserve"> serán traspasados en las mismas condiciones en que se encuentren al momento de aprobarse la presente Resolución Conjunta, sin que exista obligación alguna del anterior titular de realizar ningún tipo de reparación o modificación alguna. </w:t>
      </w:r>
    </w:p>
    <w:p w14:paraId="23D47383" w14:textId="77777777" w:rsidR="00D731A8" w:rsidRPr="000E54E9" w:rsidRDefault="00232C49" w:rsidP="00D731A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jc w:val="both"/>
        <w:rPr>
          <w:rFonts w:ascii="Book Antiqua" w:hAnsi="Book Antiqua"/>
          <w:sz w:val="24"/>
          <w:szCs w:val="24"/>
          <w:lang w:val="es-PR"/>
        </w:rPr>
      </w:pPr>
      <w:r w:rsidRPr="000E54E9">
        <w:rPr>
          <w:rFonts w:ascii="Book Antiqua" w:hAnsi="Book Antiqua"/>
          <w:sz w:val="24"/>
          <w:szCs w:val="24"/>
          <w:lang w:val="es-PR"/>
        </w:rPr>
        <w:t>En caso de que el adquiriente no cumpla con el propósito de la transferencia propuesta, o si cambia la utilización de las instalaciones sin autorización previa de la Asamblea Legislativa, el título de propiedad o la posesión, revertirá de inmediato al Gobierno de Puerto Rico y el municipio será responsable de los costos que resulten de dicho caso.</w:t>
      </w:r>
    </w:p>
    <w:p w14:paraId="1895A432" w14:textId="57F4F86C" w:rsidR="00D54DD8" w:rsidRPr="000E54E9" w:rsidRDefault="00232C49" w:rsidP="00D731A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jc w:val="both"/>
        <w:rPr>
          <w:rFonts w:ascii="Book Antiqua" w:hAnsi="Book Antiqua"/>
          <w:sz w:val="24"/>
          <w:szCs w:val="24"/>
          <w:lang w:val="es-PR"/>
        </w:rPr>
      </w:pPr>
      <w:r w:rsidRPr="000E54E9">
        <w:rPr>
          <w:rFonts w:ascii="Book Antiqua" w:hAnsi="Book Antiqua"/>
          <w:sz w:val="24"/>
          <w:szCs w:val="24"/>
          <w:lang w:val="es-PR"/>
        </w:rPr>
        <w:t xml:space="preserve">Todas las condiciones expresadas en esta Resolución Conjunta se incluirán y formarán parte de la escritura pública de transferencia de dominio, que se otorgará entre </w:t>
      </w:r>
      <w:r w:rsidR="00020FAE" w:rsidRPr="000E54E9">
        <w:rPr>
          <w:rFonts w:ascii="Book Antiqua" w:hAnsi="Book Antiqua"/>
          <w:sz w:val="24"/>
          <w:szCs w:val="24"/>
          <w:lang w:val="es-ES_tradnl"/>
        </w:rPr>
        <w:t xml:space="preserve">la Autoridad de Edificios Públicos, la agencia, instrumentalidad, corporación o entidad pública que </w:t>
      </w:r>
      <w:r w:rsidR="00D731A8" w:rsidRPr="000E54E9">
        <w:rPr>
          <w:rFonts w:ascii="Book Antiqua" w:hAnsi="Book Antiqua"/>
          <w:sz w:val="24"/>
          <w:szCs w:val="24"/>
          <w:lang w:val="es-ES_tradnl"/>
        </w:rPr>
        <w:t xml:space="preserve">haya surgido como </w:t>
      </w:r>
      <w:r w:rsidR="000C184A" w:rsidRPr="000E54E9">
        <w:rPr>
          <w:rFonts w:ascii="Book Antiqua" w:hAnsi="Book Antiqua"/>
          <w:sz w:val="24"/>
          <w:szCs w:val="24"/>
          <w:lang w:val="es-ES_tradnl"/>
        </w:rPr>
        <w:t>titular</w:t>
      </w:r>
      <w:r w:rsidR="00D731A8" w:rsidRPr="000E54E9">
        <w:rPr>
          <w:rFonts w:ascii="Book Antiqua" w:hAnsi="Book Antiqua"/>
          <w:sz w:val="24"/>
          <w:szCs w:val="24"/>
          <w:lang w:val="es-ES_tradnl"/>
        </w:rPr>
        <w:t xml:space="preserve"> u</w:t>
      </w:r>
      <w:r w:rsidR="000C184A" w:rsidRPr="000E54E9">
        <w:rPr>
          <w:rFonts w:ascii="Book Antiqua" w:hAnsi="Book Antiqua"/>
          <w:sz w:val="24"/>
          <w:szCs w:val="24"/>
          <w:lang w:val="es-ES_tradnl"/>
        </w:rPr>
        <w:t xml:space="preserve"> </w:t>
      </w:r>
      <w:r w:rsidR="00020FAE" w:rsidRPr="000E54E9">
        <w:rPr>
          <w:rFonts w:ascii="Book Antiqua" w:hAnsi="Book Antiqua"/>
          <w:sz w:val="24"/>
          <w:szCs w:val="24"/>
          <w:lang w:val="es-ES_tradnl"/>
        </w:rPr>
        <w:t>ostente la titularidad de las facilidades</w:t>
      </w:r>
      <w:r w:rsidRPr="000E54E9">
        <w:rPr>
          <w:rFonts w:ascii="Book Antiqua" w:hAnsi="Book Antiqua"/>
          <w:sz w:val="24"/>
          <w:szCs w:val="24"/>
          <w:lang w:val="es-ES_tradnl"/>
        </w:rPr>
        <w:t xml:space="preserve"> y </w:t>
      </w:r>
      <w:r w:rsidR="000C184A" w:rsidRPr="000E54E9">
        <w:rPr>
          <w:rFonts w:ascii="Book Antiqua" w:hAnsi="Book Antiqua"/>
          <w:sz w:val="24"/>
          <w:szCs w:val="24"/>
          <w:lang w:val="es-ES_tradnl"/>
        </w:rPr>
        <w:t>a</w:t>
      </w:r>
      <w:r w:rsidRPr="000E54E9">
        <w:rPr>
          <w:rFonts w:ascii="Book Antiqua" w:hAnsi="Book Antiqua"/>
          <w:sz w:val="24"/>
          <w:szCs w:val="24"/>
          <w:lang w:val="es-ES_tradnl"/>
        </w:rPr>
        <w:t xml:space="preserve">l </w:t>
      </w:r>
      <w:r w:rsidR="00D731A8" w:rsidRPr="000E54E9">
        <w:rPr>
          <w:rFonts w:ascii="Book Antiqua" w:hAnsi="Book Antiqua"/>
          <w:sz w:val="24"/>
          <w:szCs w:val="24"/>
          <w:lang w:val="es-ES_tradnl"/>
        </w:rPr>
        <w:t xml:space="preserve">Gobierno </w:t>
      </w:r>
      <w:r w:rsidR="00415CEA" w:rsidRPr="000E54E9">
        <w:rPr>
          <w:rFonts w:ascii="Book Antiqua" w:hAnsi="Book Antiqua"/>
          <w:sz w:val="24"/>
          <w:szCs w:val="24"/>
          <w:lang w:val="es-ES_tradnl"/>
        </w:rPr>
        <w:t>Municipal de</w:t>
      </w:r>
      <w:r w:rsidRPr="000E54E9">
        <w:rPr>
          <w:rFonts w:ascii="Book Antiqua" w:hAnsi="Book Antiqua"/>
          <w:sz w:val="24"/>
          <w:szCs w:val="24"/>
          <w:lang w:val="es-ES_tradnl"/>
        </w:rPr>
        <w:t xml:space="preserve"> </w:t>
      </w:r>
      <w:r w:rsidR="00020FAE" w:rsidRPr="000E54E9">
        <w:rPr>
          <w:rFonts w:ascii="Book Antiqua" w:hAnsi="Book Antiqua"/>
          <w:sz w:val="24"/>
          <w:szCs w:val="24"/>
          <w:lang w:val="es-ES_tradnl"/>
        </w:rPr>
        <w:t>Peñuelas, Puerto Rico</w:t>
      </w:r>
      <w:r w:rsidRPr="000E54E9">
        <w:rPr>
          <w:rFonts w:ascii="Book Antiqua" w:hAnsi="Book Antiqua"/>
          <w:sz w:val="24"/>
          <w:szCs w:val="24"/>
          <w:lang w:val="es-ES_tradnl"/>
        </w:rPr>
        <w:t>.</w:t>
      </w:r>
    </w:p>
    <w:p w14:paraId="13D75BD0" w14:textId="036B36B2" w:rsidR="00D54DD8" w:rsidRPr="000E54E9" w:rsidRDefault="00D731A8" w:rsidP="00D54DD8">
      <w:pPr>
        <w:spacing w:line="480" w:lineRule="auto"/>
        <w:ind w:firstLine="720"/>
        <w:jc w:val="both"/>
        <w:rPr>
          <w:rFonts w:ascii="Book Antiqua" w:hAnsi="Book Antiqua"/>
          <w:strike/>
          <w:szCs w:val="24"/>
          <w:lang w:val="es-PR"/>
        </w:rPr>
      </w:pPr>
      <w:r w:rsidRPr="000E54E9">
        <w:rPr>
          <w:rFonts w:ascii="Book Antiqua" w:hAnsi="Book Antiqua"/>
          <w:szCs w:val="24"/>
          <w:lang w:val="es-ES_tradnl"/>
        </w:rPr>
        <w:t>El Comité de Evaluación y Disposición de Propiedades Inmuebles deberá culminar el trámite de evaluación propuesta en un término improrrogable de noventa (90) días laborables contados a partir de la aprobación de esta Resolución Conjunta.</w:t>
      </w:r>
    </w:p>
    <w:p w14:paraId="640C5DBA" w14:textId="46BB8AAB" w:rsidR="00D448BE" w:rsidRPr="00415CEA" w:rsidRDefault="00D54DD8" w:rsidP="00D54DD8">
      <w:pPr>
        <w:spacing w:line="480" w:lineRule="auto"/>
        <w:ind w:firstLine="720"/>
        <w:jc w:val="both"/>
        <w:rPr>
          <w:rFonts w:ascii="Book Antiqua" w:hAnsi="Book Antiqua"/>
          <w:szCs w:val="24"/>
          <w:lang w:val="es-PR"/>
        </w:rPr>
      </w:pPr>
      <w:r w:rsidRPr="00415CEA">
        <w:rPr>
          <w:rFonts w:ascii="Book Antiqua" w:hAnsi="Book Antiqua"/>
          <w:szCs w:val="24"/>
          <w:lang w:val="es-PR"/>
        </w:rPr>
        <w:t xml:space="preserve">Sección </w:t>
      </w:r>
      <w:r w:rsidR="00D731A8" w:rsidRPr="000E54E9">
        <w:rPr>
          <w:rFonts w:ascii="Book Antiqua" w:hAnsi="Book Antiqua"/>
          <w:szCs w:val="24"/>
          <w:lang w:val="es-PR"/>
        </w:rPr>
        <w:t>5</w:t>
      </w:r>
      <w:r w:rsidRPr="00415CEA">
        <w:rPr>
          <w:rFonts w:ascii="Book Antiqua" w:hAnsi="Book Antiqua"/>
          <w:szCs w:val="24"/>
          <w:lang w:val="es-PR"/>
        </w:rPr>
        <w:t>.-Esta Resolución Conjunta comenzará a regir inmediatamente después de su aprobación.</w:t>
      </w:r>
    </w:p>
    <w:sectPr w:rsidR="00D448BE" w:rsidRPr="00415CEA" w:rsidSect="001A11E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2CFF3" w14:textId="77777777" w:rsidR="00F05B81" w:rsidRDefault="00F05B81">
      <w:r>
        <w:separator/>
      </w:r>
    </w:p>
  </w:endnote>
  <w:endnote w:type="continuationSeparator" w:id="0">
    <w:p w14:paraId="491C6982" w14:textId="77777777" w:rsidR="00F05B81" w:rsidRDefault="00F05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B8687" w14:textId="77777777" w:rsidR="00F05B81" w:rsidRDefault="00F05B81">
      <w:r>
        <w:separator/>
      </w:r>
    </w:p>
  </w:footnote>
  <w:footnote w:type="continuationSeparator" w:id="0">
    <w:p w14:paraId="6E6BF731" w14:textId="77777777" w:rsidR="00F05B81" w:rsidRDefault="00F05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FEE60" w14:textId="77777777" w:rsidR="00D54DD8" w:rsidRDefault="00D54DD8">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CF28E" w14:textId="77777777" w:rsidR="00D54DD8" w:rsidRPr="004F0848" w:rsidRDefault="00D54DD8"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52DC2"/>
    <w:multiLevelType w:val="hybridMultilevel"/>
    <w:tmpl w:val="4C1411DC"/>
    <w:lvl w:ilvl="0" w:tplc="78C46A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04638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1EA"/>
    <w:rsid w:val="00020FAE"/>
    <w:rsid w:val="0002682F"/>
    <w:rsid w:val="00082B78"/>
    <w:rsid w:val="000C184A"/>
    <w:rsid w:val="000E54E9"/>
    <w:rsid w:val="00102EFB"/>
    <w:rsid w:val="001A11EA"/>
    <w:rsid w:val="00232C49"/>
    <w:rsid w:val="003031F1"/>
    <w:rsid w:val="00415CEA"/>
    <w:rsid w:val="00454856"/>
    <w:rsid w:val="004C75D5"/>
    <w:rsid w:val="004F4B03"/>
    <w:rsid w:val="00535764"/>
    <w:rsid w:val="00544EF1"/>
    <w:rsid w:val="00676F52"/>
    <w:rsid w:val="0068024D"/>
    <w:rsid w:val="00721A6A"/>
    <w:rsid w:val="007A1CB0"/>
    <w:rsid w:val="007A53EB"/>
    <w:rsid w:val="0084146C"/>
    <w:rsid w:val="00846BAD"/>
    <w:rsid w:val="008F0323"/>
    <w:rsid w:val="0093364A"/>
    <w:rsid w:val="00993633"/>
    <w:rsid w:val="0099663F"/>
    <w:rsid w:val="00A02C5B"/>
    <w:rsid w:val="00A3526E"/>
    <w:rsid w:val="00A550D4"/>
    <w:rsid w:val="00AE03F7"/>
    <w:rsid w:val="00AF1429"/>
    <w:rsid w:val="00AF6F25"/>
    <w:rsid w:val="00B021FA"/>
    <w:rsid w:val="00C20076"/>
    <w:rsid w:val="00CA0B73"/>
    <w:rsid w:val="00CD63DA"/>
    <w:rsid w:val="00CE3B55"/>
    <w:rsid w:val="00D421C1"/>
    <w:rsid w:val="00D448BE"/>
    <w:rsid w:val="00D54DD8"/>
    <w:rsid w:val="00D731A8"/>
    <w:rsid w:val="00D77094"/>
    <w:rsid w:val="00D855C5"/>
    <w:rsid w:val="00E032D4"/>
    <w:rsid w:val="00E75AAD"/>
    <w:rsid w:val="00F05B81"/>
    <w:rsid w:val="00F2193C"/>
    <w:rsid w:val="00F319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988D6"/>
  <w15:chartTrackingRefBased/>
  <w15:docId w15:val="{94D9DAE3-B313-49B2-9969-D3A000FD3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1EA"/>
    <w:pPr>
      <w:spacing w:after="0" w:line="240" w:lineRule="auto"/>
    </w:pPr>
    <w:rPr>
      <w:rFonts w:ascii="Times New Roman" w:eastAsia="Batang" w:hAnsi="Times New Roman" w:cs="Times New Roman"/>
      <w:kern w:val="0"/>
      <w:sz w:val="24"/>
      <w:szCs w:val="20"/>
      <w14:ligatures w14:val="none"/>
    </w:rPr>
  </w:style>
  <w:style w:type="paragraph" w:styleId="Heading1">
    <w:name w:val="heading 1"/>
    <w:basedOn w:val="Normal"/>
    <w:next w:val="Normal"/>
    <w:link w:val="Heading1Char"/>
    <w:uiPriority w:val="9"/>
    <w:qFormat/>
    <w:rsid w:val="001A11E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A11E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A11E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A11EA"/>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1A11EA"/>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1A11E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1A11E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1A11EA"/>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1A11EA"/>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1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11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11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11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11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11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11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11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11EA"/>
    <w:rPr>
      <w:rFonts w:eastAsiaTheme="majorEastAsia" w:cstheme="majorBidi"/>
      <w:color w:val="272727" w:themeColor="text1" w:themeTint="D8"/>
    </w:rPr>
  </w:style>
  <w:style w:type="paragraph" w:styleId="Title">
    <w:name w:val="Title"/>
    <w:basedOn w:val="Normal"/>
    <w:next w:val="Normal"/>
    <w:link w:val="TitleChar"/>
    <w:uiPriority w:val="10"/>
    <w:qFormat/>
    <w:rsid w:val="001A11E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A11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11E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A11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11EA"/>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1A11EA"/>
    <w:rPr>
      <w:i/>
      <w:iCs/>
      <w:color w:val="404040" w:themeColor="text1" w:themeTint="BF"/>
    </w:rPr>
  </w:style>
  <w:style w:type="paragraph" w:styleId="ListParagraph">
    <w:name w:val="List Paragraph"/>
    <w:basedOn w:val="Normal"/>
    <w:uiPriority w:val="34"/>
    <w:qFormat/>
    <w:rsid w:val="001A11EA"/>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1A11EA"/>
    <w:rPr>
      <w:i/>
      <w:iCs/>
      <w:color w:val="0F4761" w:themeColor="accent1" w:themeShade="BF"/>
    </w:rPr>
  </w:style>
  <w:style w:type="paragraph" w:styleId="IntenseQuote">
    <w:name w:val="Intense Quote"/>
    <w:basedOn w:val="Normal"/>
    <w:next w:val="Normal"/>
    <w:link w:val="IntenseQuoteChar"/>
    <w:uiPriority w:val="30"/>
    <w:qFormat/>
    <w:rsid w:val="001A11E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1A11EA"/>
    <w:rPr>
      <w:i/>
      <w:iCs/>
      <w:color w:val="0F4761" w:themeColor="accent1" w:themeShade="BF"/>
    </w:rPr>
  </w:style>
  <w:style w:type="character" w:styleId="IntenseReference">
    <w:name w:val="Intense Reference"/>
    <w:basedOn w:val="DefaultParagraphFont"/>
    <w:uiPriority w:val="32"/>
    <w:qFormat/>
    <w:rsid w:val="001A11EA"/>
    <w:rPr>
      <w:b/>
      <w:bCs/>
      <w:smallCaps/>
      <w:color w:val="0F4761" w:themeColor="accent1" w:themeShade="BF"/>
      <w:spacing w:val="5"/>
    </w:rPr>
  </w:style>
  <w:style w:type="paragraph" w:customStyle="1" w:styleId="Title2">
    <w:name w:val="Title2"/>
    <w:basedOn w:val="Normal"/>
    <w:next w:val="Normal"/>
    <w:rsid w:val="001A11EA"/>
    <w:pPr>
      <w:tabs>
        <w:tab w:val="left" w:pos="648"/>
        <w:tab w:val="right" w:pos="7776"/>
        <w:tab w:val="left" w:pos="7848"/>
      </w:tabs>
    </w:pPr>
  </w:style>
  <w:style w:type="paragraph" w:styleId="Header">
    <w:name w:val="header"/>
    <w:basedOn w:val="Normal"/>
    <w:link w:val="HeaderChar"/>
    <w:rsid w:val="001A11EA"/>
    <w:pPr>
      <w:tabs>
        <w:tab w:val="center" w:pos="4320"/>
        <w:tab w:val="right" w:pos="8640"/>
      </w:tabs>
    </w:pPr>
  </w:style>
  <w:style w:type="character" w:customStyle="1" w:styleId="HeaderChar">
    <w:name w:val="Header Char"/>
    <w:basedOn w:val="DefaultParagraphFont"/>
    <w:link w:val="Header"/>
    <w:rsid w:val="001A11EA"/>
    <w:rPr>
      <w:rFonts w:ascii="Times New Roman" w:eastAsia="Batang" w:hAnsi="Times New Roman" w:cs="Times New Roman"/>
      <w:kern w:val="0"/>
      <w:sz w:val="24"/>
      <w:szCs w:val="20"/>
      <w14:ligatures w14:val="none"/>
    </w:rPr>
  </w:style>
  <w:style w:type="character" w:styleId="PageNumber">
    <w:name w:val="page number"/>
    <w:basedOn w:val="DefaultParagraphFont"/>
    <w:rsid w:val="001A11EA"/>
  </w:style>
  <w:style w:type="character" w:styleId="LineNumber">
    <w:name w:val="line number"/>
    <w:basedOn w:val="DefaultParagraphFont"/>
    <w:uiPriority w:val="99"/>
    <w:semiHidden/>
    <w:unhideWhenUsed/>
    <w:rsid w:val="001A11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7941">
      <w:bodyDiv w:val="1"/>
      <w:marLeft w:val="0"/>
      <w:marRight w:val="0"/>
      <w:marTop w:val="0"/>
      <w:marBottom w:val="0"/>
      <w:divBdr>
        <w:top w:val="none" w:sz="0" w:space="0" w:color="auto"/>
        <w:left w:val="none" w:sz="0" w:space="0" w:color="auto"/>
        <w:bottom w:val="none" w:sz="0" w:space="0" w:color="auto"/>
        <w:right w:val="none" w:sz="0" w:space="0" w:color="auto"/>
      </w:divBdr>
    </w:div>
    <w:div w:id="785005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1144</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Amnerys Alvarado</dc:creator>
  <cp:keywords/>
  <dc:description/>
  <cp:lastModifiedBy>Victor E. Vélez Cucuta</cp:lastModifiedBy>
  <cp:revision>2</cp:revision>
  <cp:lastPrinted>2025-06-25T02:03:00Z</cp:lastPrinted>
  <dcterms:created xsi:type="dcterms:W3CDTF">2025-06-25T02:03:00Z</dcterms:created>
  <dcterms:modified xsi:type="dcterms:W3CDTF">2025-06-25T02:03:00Z</dcterms:modified>
</cp:coreProperties>
</file>