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2ACCC" w14:textId="7AE6108E" w:rsidR="00E9594C" w:rsidRPr="00852226" w:rsidRDefault="00D647C5" w:rsidP="00524672">
      <w:pPr>
        <w:suppressLineNumbers/>
        <w:tabs>
          <w:tab w:val="left" w:pos="180"/>
          <w:tab w:val="center" w:pos="4680"/>
        </w:tabs>
        <w:jc w:val="center"/>
        <w:rPr>
          <w:rFonts w:ascii="Book Antiqua" w:hAnsi="Book Antiqua"/>
          <w:sz w:val="28"/>
          <w:szCs w:val="28"/>
        </w:rPr>
      </w:pPr>
      <w:r>
        <w:rPr>
          <w:rFonts w:ascii="Book Antiqua" w:hAnsi="Book Antiqua"/>
          <w:sz w:val="28"/>
          <w:szCs w:val="28"/>
        </w:rPr>
        <w:t>GOBIERNO</w:t>
      </w:r>
      <w:r w:rsidR="00E9594C" w:rsidRPr="00852226">
        <w:rPr>
          <w:rFonts w:ascii="Book Antiqua" w:hAnsi="Book Antiqua"/>
          <w:sz w:val="28"/>
          <w:szCs w:val="28"/>
        </w:rPr>
        <w:t xml:space="preserve"> DE PUERTO RICO</w:t>
      </w:r>
    </w:p>
    <w:p w14:paraId="2C9BDBE3" w14:textId="77777777" w:rsidR="00E9594C" w:rsidRPr="00852226" w:rsidRDefault="00E9594C" w:rsidP="00F91156">
      <w:pPr>
        <w:suppressLineNumbers/>
        <w:jc w:val="center"/>
        <w:rPr>
          <w:rFonts w:ascii="Book Antiqua" w:hAnsi="Book Antiqua"/>
        </w:rPr>
      </w:pPr>
    </w:p>
    <w:p w14:paraId="724F5BC5" w14:textId="12B19FCA" w:rsidR="00E9594C" w:rsidRPr="00852226" w:rsidRDefault="00D647C5" w:rsidP="00E9594C">
      <w:pPr>
        <w:suppressLineNumbers/>
        <w:tabs>
          <w:tab w:val="left" w:pos="7560"/>
        </w:tabs>
        <w:rPr>
          <w:rFonts w:ascii="Book Antiqua" w:hAnsi="Book Antiqua"/>
        </w:rPr>
      </w:pPr>
      <w:r>
        <w:rPr>
          <w:rFonts w:ascii="Book Antiqua" w:hAnsi="Book Antiqua"/>
        </w:rPr>
        <w:t>20m</w:t>
      </w:r>
      <w:r w:rsidR="00E9594C" w:rsidRPr="00852226">
        <w:rPr>
          <w:rFonts w:ascii="Book Antiqua" w:hAnsi="Book Antiqua"/>
        </w:rPr>
        <w:t>a. Asamblea</w:t>
      </w:r>
      <w:r w:rsidR="00E9594C" w:rsidRPr="00852226">
        <w:rPr>
          <w:rFonts w:ascii="Book Antiqua" w:hAnsi="Book Antiqua"/>
        </w:rPr>
        <w:tab/>
        <w:t xml:space="preserve">   </w:t>
      </w:r>
      <w:r>
        <w:rPr>
          <w:rFonts w:ascii="Book Antiqua" w:hAnsi="Book Antiqua"/>
        </w:rPr>
        <w:t>1</w:t>
      </w:r>
      <w:r w:rsidR="00E9594C" w:rsidRPr="00852226">
        <w:rPr>
          <w:rFonts w:ascii="Book Antiqua" w:hAnsi="Book Antiqua"/>
        </w:rPr>
        <w:t xml:space="preserve">ra. Sesión </w:t>
      </w:r>
    </w:p>
    <w:p w14:paraId="69807945" w14:textId="77777777" w:rsidR="00E9594C" w:rsidRPr="00852226" w:rsidRDefault="00E9594C" w:rsidP="00E9594C">
      <w:pPr>
        <w:suppressLineNumbers/>
        <w:tabs>
          <w:tab w:val="left" w:pos="8100"/>
        </w:tabs>
        <w:rPr>
          <w:rFonts w:ascii="Book Antiqua" w:hAnsi="Book Antiqua"/>
        </w:rPr>
      </w:pPr>
      <w:r w:rsidRPr="00852226">
        <w:rPr>
          <w:rFonts w:ascii="Book Antiqua" w:hAnsi="Book Antiqua"/>
        </w:rPr>
        <w:t xml:space="preserve">          Legislativa</w:t>
      </w:r>
      <w:r w:rsidRPr="00852226">
        <w:rPr>
          <w:rFonts w:ascii="Book Antiqua" w:hAnsi="Book Antiqua"/>
        </w:rPr>
        <w:tab/>
        <w:t xml:space="preserve">   Ordinaria</w:t>
      </w:r>
    </w:p>
    <w:p w14:paraId="00B92AB4" w14:textId="7EB279CB" w:rsidR="00E9594C" w:rsidRPr="00852226" w:rsidRDefault="00E9594C" w:rsidP="00E9594C">
      <w:pPr>
        <w:suppressLineNumbers/>
        <w:rPr>
          <w:rFonts w:ascii="Book Antiqua" w:hAnsi="Book Antiqua"/>
        </w:rPr>
      </w:pPr>
      <w:r w:rsidRPr="00852226">
        <w:rPr>
          <w:rFonts w:ascii="Book Antiqua" w:hAnsi="Book Antiqua"/>
        </w:rPr>
        <w:t xml:space="preserve">       </w:t>
      </w:r>
    </w:p>
    <w:p w14:paraId="5AA7FEAD" w14:textId="2BFE5838" w:rsidR="00E9594C" w:rsidRPr="00852226" w:rsidRDefault="00E9594C" w:rsidP="00E9594C">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25759793" w14:textId="4AFF7FA1" w:rsidR="00F91156" w:rsidRDefault="00F91156" w:rsidP="00E9594C">
      <w:pPr>
        <w:pStyle w:val="NoSpacing"/>
        <w:suppressLineNumbers/>
        <w:jc w:val="center"/>
        <w:rPr>
          <w:rFonts w:ascii="Book Antiqua" w:hAnsi="Book Antiqua"/>
          <w:sz w:val="24"/>
          <w:szCs w:val="24"/>
        </w:rPr>
      </w:pPr>
    </w:p>
    <w:p w14:paraId="70B45192" w14:textId="3EE11C4A" w:rsidR="00E9594C" w:rsidRPr="00852226" w:rsidRDefault="00E9594C" w:rsidP="00E9594C">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9F7250">
        <w:rPr>
          <w:rFonts w:ascii="Book Antiqua" w:hAnsi="Book Antiqua"/>
          <w:b/>
          <w:sz w:val="52"/>
          <w:szCs w:val="52"/>
        </w:rPr>
        <w:t>271</w:t>
      </w:r>
    </w:p>
    <w:p w14:paraId="50AA3D02" w14:textId="530D9D7D" w:rsidR="00E9594C" w:rsidRPr="00852226" w:rsidRDefault="00E9594C" w:rsidP="00E9594C">
      <w:pPr>
        <w:pStyle w:val="NoSpacing"/>
        <w:suppressLineNumbers/>
        <w:jc w:val="center"/>
        <w:rPr>
          <w:rFonts w:ascii="Book Antiqua" w:hAnsi="Book Antiqua"/>
          <w:sz w:val="24"/>
          <w:szCs w:val="24"/>
        </w:rPr>
      </w:pPr>
    </w:p>
    <w:p w14:paraId="2DF35004" w14:textId="5D9E5528" w:rsidR="00E9594C" w:rsidRPr="00852226" w:rsidRDefault="009F7250" w:rsidP="00E9594C">
      <w:pPr>
        <w:pStyle w:val="NoSpacing"/>
        <w:suppressLineNumbers/>
        <w:jc w:val="center"/>
        <w:rPr>
          <w:rFonts w:ascii="Book Antiqua" w:hAnsi="Book Antiqua"/>
          <w:sz w:val="24"/>
          <w:szCs w:val="24"/>
        </w:rPr>
      </w:pPr>
      <w:r>
        <w:rPr>
          <w:rFonts w:ascii="Book Antiqua" w:hAnsi="Book Antiqua"/>
          <w:sz w:val="24"/>
          <w:szCs w:val="24"/>
        </w:rPr>
        <w:t>24</w:t>
      </w:r>
      <w:r w:rsidR="00E9594C" w:rsidRPr="00852226">
        <w:rPr>
          <w:rFonts w:ascii="Book Antiqua" w:hAnsi="Book Antiqua"/>
          <w:sz w:val="24"/>
          <w:szCs w:val="24"/>
        </w:rPr>
        <w:t xml:space="preserve"> DE </w:t>
      </w:r>
      <w:r w:rsidR="00D647C5">
        <w:rPr>
          <w:rFonts w:ascii="Book Antiqua" w:hAnsi="Book Antiqua"/>
          <w:sz w:val="24"/>
          <w:szCs w:val="24"/>
        </w:rPr>
        <w:t xml:space="preserve">ENERO </w:t>
      </w:r>
      <w:r w:rsidR="00E9594C" w:rsidRPr="00852226">
        <w:rPr>
          <w:rFonts w:ascii="Book Antiqua" w:hAnsi="Book Antiqua"/>
          <w:sz w:val="24"/>
          <w:szCs w:val="24"/>
        </w:rPr>
        <w:t>DE 202</w:t>
      </w:r>
      <w:r w:rsidR="00D647C5">
        <w:rPr>
          <w:rFonts w:ascii="Book Antiqua" w:hAnsi="Book Antiqua"/>
          <w:sz w:val="24"/>
          <w:szCs w:val="24"/>
        </w:rPr>
        <w:t>5</w:t>
      </w:r>
    </w:p>
    <w:p w14:paraId="6A517E92" w14:textId="3AC1F2E2" w:rsidR="00E9594C" w:rsidRPr="00852226" w:rsidRDefault="00E9594C" w:rsidP="00E9594C">
      <w:pPr>
        <w:pStyle w:val="NoSpacing"/>
        <w:suppressLineNumbers/>
        <w:jc w:val="center"/>
        <w:rPr>
          <w:rFonts w:ascii="Book Antiqua" w:hAnsi="Book Antiqua"/>
          <w:i/>
          <w:sz w:val="24"/>
          <w:szCs w:val="24"/>
        </w:rPr>
      </w:pPr>
    </w:p>
    <w:p w14:paraId="53718E11" w14:textId="3FE7342D" w:rsidR="00E9594C" w:rsidRPr="00852226" w:rsidRDefault="00E9594C" w:rsidP="00E9594C">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663F2A6" w14:textId="77777777" w:rsidR="00E9594C" w:rsidRPr="00852226" w:rsidRDefault="00E9594C" w:rsidP="00E9594C">
      <w:pPr>
        <w:pStyle w:val="NoSpacing"/>
        <w:suppressLineNumbers/>
        <w:ind w:left="360" w:hanging="360"/>
        <w:jc w:val="both"/>
        <w:rPr>
          <w:rFonts w:ascii="Book Antiqua" w:hAnsi="Book Antiqua"/>
          <w:sz w:val="24"/>
          <w:szCs w:val="24"/>
        </w:rPr>
      </w:pPr>
    </w:p>
    <w:p w14:paraId="0360A74B" w14:textId="6037D896" w:rsidR="00E9594C" w:rsidRPr="00852226" w:rsidRDefault="00E9594C" w:rsidP="00E9594C">
      <w:pPr>
        <w:pStyle w:val="NoSpacing"/>
        <w:suppressLineNumbers/>
        <w:jc w:val="center"/>
        <w:rPr>
          <w:rFonts w:ascii="Book Antiqua" w:hAnsi="Book Antiqua"/>
          <w:i/>
          <w:sz w:val="24"/>
        </w:rPr>
      </w:pPr>
      <w:r w:rsidRPr="00852226">
        <w:rPr>
          <w:rFonts w:ascii="Book Antiqua" w:hAnsi="Book Antiqua"/>
          <w:sz w:val="24"/>
          <w:szCs w:val="24"/>
        </w:rPr>
        <w:t>Referido a la Comisi</w:t>
      </w:r>
      <w:r>
        <w:rPr>
          <w:rFonts w:ascii="Book Antiqua" w:hAnsi="Book Antiqua"/>
          <w:sz w:val="24"/>
          <w:szCs w:val="24"/>
        </w:rPr>
        <w:t>ón</w:t>
      </w:r>
      <w:r w:rsidRPr="00852226">
        <w:rPr>
          <w:rFonts w:ascii="Book Antiqua" w:hAnsi="Book Antiqua"/>
          <w:sz w:val="24"/>
          <w:szCs w:val="24"/>
        </w:rPr>
        <w:t xml:space="preserve"> de </w:t>
      </w:r>
      <w:r w:rsidR="00B425DC">
        <w:rPr>
          <w:rFonts w:ascii="Book Antiqua" w:hAnsi="Book Antiqua"/>
          <w:sz w:val="24"/>
          <w:szCs w:val="24"/>
        </w:rPr>
        <w:t>lo Jurídico</w:t>
      </w:r>
    </w:p>
    <w:p w14:paraId="2DFEABAF" w14:textId="77777777" w:rsidR="00E9594C" w:rsidRPr="00852226" w:rsidRDefault="00E9594C" w:rsidP="00E9594C">
      <w:pPr>
        <w:pStyle w:val="NoSpacing"/>
        <w:suppressLineNumbers/>
        <w:jc w:val="center"/>
        <w:rPr>
          <w:rFonts w:ascii="Book Antiqua" w:hAnsi="Book Antiqua"/>
          <w:sz w:val="24"/>
          <w:szCs w:val="24"/>
        </w:rPr>
      </w:pPr>
    </w:p>
    <w:p w14:paraId="1E0D1E56" w14:textId="688DDF39" w:rsidR="00E9594C" w:rsidRPr="00852226" w:rsidRDefault="00E9594C" w:rsidP="00E9594C">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785180D6" w14:textId="77777777" w:rsidR="00E9594C" w:rsidRPr="00852226" w:rsidRDefault="00E9594C" w:rsidP="00E9594C">
      <w:pPr>
        <w:jc w:val="both"/>
        <w:rPr>
          <w:rFonts w:ascii="Book Antiqua" w:hAnsi="Book Antiqua"/>
        </w:rPr>
      </w:pPr>
    </w:p>
    <w:p w14:paraId="69C88967" w14:textId="4BA89DAB" w:rsidR="00E9594C" w:rsidRPr="00852226" w:rsidRDefault="00E9594C" w:rsidP="00F91156">
      <w:pPr>
        <w:ind w:left="567" w:hanging="567"/>
        <w:jc w:val="both"/>
        <w:rPr>
          <w:rFonts w:ascii="Book Antiqua" w:hAnsi="Book Antiqua" w:cs="Book Antiqua"/>
        </w:rPr>
      </w:pPr>
      <w:r w:rsidRPr="00852226">
        <w:rPr>
          <w:rFonts w:ascii="Book Antiqua" w:hAnsi="Book Antiqua"/>
        </w:rPr>
        <w:t xml:space="preserve">Para </w:t>
      </w:r>
      <w:r w:rsidR="00D13F1C">
        <w:rPr>
          <w:rFonts w:ascii="Book Antiqua" w:hAnsi="Book Antiqua"/>
        </w:rPr>
        <w:t xml:space="preserve">añadir un nuevo </w:t>
      </w:r>
      <w:r w:rsidRPr="00852226">
        <w:rPr>
          <w:rFonts w:ascii="Book Antiqua" w:hAnsi="Book Antiqua"/>
        </w:rPr>
        <w:t xml:space="preserve">Artículo </w:t>
      </w:r>
      <w:r w:rsidR="00D13F1C">
        <w:rPr>
          <w:rFonts w:ascii="Book Antiqua" w:hAnsi="Book Antiqua"/>
        </w:rPr>
        <w:t>247A a</w:t>
      </w:r>
      <w:r w:rsidRPr="00852226">
        <w:rPr>
          <w:rFonts w:ascii="Book Antiqua" w:hAnsi="Book Antiqua"/>
        </w:rPr>
        <w:t xml:space="preserve"> la Ley Núm. </w:t>
      </w:r>
      <w:r w:rsidR="00D13F1C">
        <w:rPr>
          <w:rFonts w:ascii="Book Antiqua" w:hAnsi="Book Antiqua"/>
        </w:rPr>
        <w:t>146</w:t>
      </w:r>
      <w:r w:rsidRPr="00852226">
        <w:rPr>
          <w:rFonts w:ascii="Book Antiqua" w:hAnsi="Book Antiqua"/>
        </w:rPr>
        <w:t>-20</w:t>
      </w:r>
      <w:r w:rsidR="00D13F1C">
        <w:rPr>
          <w:rFonts w:ascii="Book Antiqua" w:hAnsi="Book Antiqua"/>
        </w:rPr>
        <w:t>12</w:t>
      </w:r>
      <w:r w:rsidRPr="00852226">
        <w:rPr>
          <w:rFonts w:ascii="Book Antiqua" w:hAnsi="Book Antiqua"/>
        </w:rPr>
        <w:t>, según enmendada, conocida como “</w:t>
      </w:r>
      <w:r w:rsidR="00D13F1C">
        <w:rPr>
          <w:rFonts w:ascii="Book Antiqua" w:hAnsi="Book Antiqua"/>
        </w:rPr>
        <w:t>Código Penal de Puerto Rico</w:t>
      </w:r>
      <w:r w:rsidRPr="00852226">
        <w:rPr>
          <w:rFonts w:ascii="Book Antiqua" w:hAnsi="Book Antiqua"/>
        </w:rPr>
        <w:t xml:space="preserve">”, </w:t>
      </w:r>
      <w:r w:rsidRPr="00852226">
        <w:rPr>
          <w:rFonts w:ascii="Book Antiqua" w:hAnsi="Book Antiqua" w:cs="AngsanaUPC"/>
        </w:rPr>
        <w:t xml:space="preserve">a </w:t>
      </w:r>
      <w:r w:rsidRPr="00890007">
        <w:rPr>
          <w:rFonts w:ascii="Book Antiqua" w:hAnsi="Book Antiqua" w:cs="AngsanaUPC"/>
          <w:strike/>
        </w:rPr>
        <w:t>los fines</w:t>
      </w:r>
      <w:r w:rsidRPr="00852226">
        <w:rPr>
          <w:rFonts w:ascii="Book Antiqua" w:hAnsi="Book Antiqua" w:cs="AngsanaUPC"/>
        </w:rPr>
        <w:t xml:space="preserve"> </w:t>
      </w:r>
      <w:r w:rsidR="00890007" w:rsidRPr="00890007">
        <w:rPr>
          <w:rFonts w:ascii="Book Antiqua" w:hAnsi="Book Antiqua" w:cs="AngsanaUPC"/>
          <w:i/>
          <w:iCs/>
          <w:u w:val="single"/>
        </w:rPr>
        <w:t>fin</w:t>
      </w:r>
      <w:r w:rsidR="00890007">
        <w:rPr>
          <w:rFonts w:ascii="Book Antiqua" w:hAnsi="Book Antiqua" w:cs="AngsanaUPC"/>
        </w:rPr>
        <w:t xml:space="preserve"> </w:t>
      </w:r>
      <w:r w:rsidRPr="00890007">
        <w:rPr>
          <w:rFonts w:ascii="Book Antiqua" w:hAnsi="Book Antiqua" w:cs="AngsanaUPC"/>
        </w:rPr>
        <w:t>de</w:t>
      </w:r>
      <w:r w:rsidRPr="00852226">
        <w:rPr>
          <w:rFonts w:ascii="Book Antiqua" w:hAnsi="Book Antiqua" w:cs="AngsanaUPC"/>
        </w:rPr>
        <w:t xml:space="preserve"> </w:t>
      </w:r>
      <w:r w:rsidR="008F692D">
        <w:rPr>
          <w:rFonts w:ascii="Book Antiqua" w:hAnsi="Book Antiqua" w:cs="AngsanaUPC"/>
        </w:rPr>
        <w:t>tipificar como delito la obstrucción</w:t>
      </w:r>
      <w:r w:rsidR="00890007" w:rsidRPr="000A2BF4">
        <w:rPr>
          <w:rFonts w:ascii="Book Antiqua" w:hAnsi="Book Antiqua" w:cs="AngsanaUPC"/>
          <w:i/>
          <w:iCs/>
          <w:u w:val="single"/>
        </w:rPr>
        <w:t xml:space="preserve"> intencional y deliberada</w:t>
      </w:r>
      <w:r w:rsidR="000A2BF4" w:rsidRPr="000A2BF4">
        <w:rPr>
          <w:rFonts w:ascii="Book Antiqua" w:hAnsi="Book Antiqua" w:cs="AngsanaUPC"/>
          <w:i/>
          <w:iCs/>
          <w:u w:val="single"/>
        </w:rPr>
        <w:t xml:space="preserve"> del tránsito vehicular o el</w:t>
      </w:r>
      <w:r w:rsidR="00276CD8">
        <w:rPr>
          <w:rFonts w:ascii="Book Antiqua" w:hAnsi="Book Antiqua" w:cs="AngsanaUPC"/>
          <w:i/>
          <w:iCs/>
          <w:u w:val="single"/>
        </w:rPr>
        <w:t xml:space="preserve"> libre</w:t>
      </w:r>
      <w:r w:rsidR="000A2BF4" w:rsidRPr="000A2BF4">
        <w:rPr>
          <w:rFonts w:ascii="Book Antiqua" w:hAnsi="Book Antiqua" w:cs="AngsanaUPC"/>
          <w:i/>
          <w:iCs/>
          <w:u w:val="single"/>
        </w:rPr>
        <w:t xml:space="preserve"> movimiento de transeúntes</w:t>
      </w:r>
      <w:r w:rsidR="008F692D">
        <w:rPr>
          <w:rFonts w:ascii="Book Antiqua" w:hAnsi="Book Antiqua" w:cs="AngsanaUPC"/>
        </w:rPr>
        <w:t xml:space="preserve"> </w:t>
      </w:r>
      <w:r w:rsidR="008F692D" w:rsidRPr="000A2BF4">
        <w:rPr>
          <w:rFonts w:ascii="Book Antiqua" w:hAnsi="Book Antiqua" w:cs="AngsanaUPC"/>
          <w:strike/>
        </w:rPr>
        <w:t>a</w:t>
      </w:r>
      <w:r w:rsidR="008F692D">
        <w:rPr>
          <w:rFonts w:ascii="Book Antiqua" w:hAnsi="Book Antiqua" w:cs="AngsanaUPC"/>
        </w:rPr>
        <w:t xml:space="preserve"> </w:t>
      </w:r>
      <w:r w:rsidR="000A2BF4" w:rsidRPr="000A2BF4">
        <w:rPr>
          <w:rFonts w:ascii="Book Antiqua" w:hAnsi="Book Antiqua" w:cs="AngsanaUPC"/>
          <w:i/>
          <w:iCs/>
          <w:u w:val="single"/>
        </w:rPr>
        <w:t>por las</w:t>
      </w:r>
      <w:r w:rsidR="000A2BF4">
        <w:rPr>
          <w:rFonts w:ascii="Book Antiqua" w:hAnsi="Book Antiqua" w:cs="AngsanaUPC"/>
        </w:rPr>
        <w:t xml:space="preserve"> </w:t>
      </w:r>
      <w:r w:rsidR="008F692D">
        <w:rPr>
          <w:rFonts w:ascii="Book Antiqua" w:hAnsi="Book Antiqua" w:cs="AngsanaUPC"/>
        </w:rPr>
        <w:t>vías públicas</w:t>
      </w:r>
      <w:r w:rsidR="00137B99">
        <w:rPr>
          <w:rFonts w:ascii="Book Antiqua" w:hAnsi="Book Antiqua" w:cs="AngsanaUPC"/>
          <w:i/>
          <w:iCs/>
          <w:u w:val="single"/>
        </w:rPr>
        <w:t>,</w:t>
      </w:r>
      <w:r w:rsidR="008F692D">
        <w:rPr>
          <w:rFonts w:ascii="Book Antiqua" w:hAnsi="Book Antiqua" w:cs="AngsanaUPC"/>
        </w:rPr>
        <w:t xml:space="preserve"> </w:t>
      </w:r>
      <w:r w:rsidR="008F692D" w:rsidRPr="00137B99">
        <w:rPr>
          <w:rFonts w:ascii="Book Antiqua" w:hAnsi="Book Antiqua" w:cs="AngsanaUPC"/>
          <w:strike/>
        </w:rPr>
        <w:t>que afecten</w:t>
      </w:r>
      <w:r w:rsidR="008F692D">
        <w:rPr>
          <w:rFonts w:ascii="Book Antiqua" w:hAnsi="Book Antiqua" w:cs="AngsanaUPC"/>
        </w:rPr>
        <w:t xml:space="preserve"> </w:t>
      </w:r>
      <w:r w:rsidR="00137B99" w:rsidRPr="00137B99">
        <w:rPr>
          <w:rFonts w:ascii="Book Antiqua" w:hAnsi="Book Antiqua" w:cs="AngsanaUPC"/>
          <w:i/>
          <w:iCs/>
          <w:u w:val="single"/>
        </w:rPr>
        <w:t>cuando con ello se afecte</w:t>
      </w:r>
      <w:r w:rsidR="00137B99">
        <w:rPr>
          <w:rFonts w:ascii="Book Antiqua" w:hAnsi="Book Antiqua" w:cs="AngsanaUPC"/>
        </w:rPr>
        <w:t xml:space="preserve"> </w:t>
      </w:r>
      <w:r w:rsidR="008F692D">
        <w:rPr>
          <w:rFonts w:ascii="Book Antiqua" w:hAnsi="Book Antiqua" w:cs="AngsanaUPC"/>
        </w:rPr>
        <w:t>el orden público</w:t>
      </w:r>
      <w:r w:rsidRPr="00F02C9D">
        <w:rPr>
          <w:rFonts w:ascii="Book Antiqua" w:hAnsi="Book Antiqua" w:cs="AngsanaUPC"/>
          <w:strike/>
        </w:rPr>
        <w:t xml:space="preserve">; y, </w:t>
      </w:r>
      <w:r w:rsidRPr="00F02C9D">
        <w:rPr>
          <w:rFonts w:ascii="Book Antiqua" w:hAnsi="Book Antiqua"/>
          <w:strike/>
          <w:spacing w:val="2"/>
        </w:rPr>
        <w:t>para otros fines relacionados</w:t>
      </w:r>
      <w:r w:rsidRPr="00852226">
        <w:rPr>
          <w:rFonts w:ascii="Book Antiqua" w:hAnsi="Book Antiqua"/>
          <w:spacing w:val="2"/>
        </w:rPr>
        <w:t>.</w:t>
      </w:r>
    </w:p>
    <w:p w14:paraId="4D4C1167" w14:textId="37470388" w:rsidR="00E9594C" w:rsidRPr="00852226" w:rsidRDefault="00E9594C" w:rsidP="00E9594C">
      <w:pPr>
        <w:ind w:left="540" w:hanging="540"/>
        <w:jc w:val="both"/>
        <w:rPr>
          <w:rFonts w:ascii="Book Antiqua" w:hAnsi="Book Antiqua"/>
        </w:rPr>
      </w:pPr>
    </w:p>
    <w:p w14:paraId="7A448637" w14:textId="77777777" w:rsidR="00E9594C" w:rsidRPr="00852226" w:rsidRDefault="00E9594C" w:rsidP="00E9594C">
      <w:pPr>
        <w:jc w:val="center"/>
        <w:rPr>
          <w:rFonts w:ascii="Book Antiqua" w:hAnsi="Book Antiqua"/>
        </w:rPr>
      </w:pPr>
      <w:r w:rsidRPr="00852226">
        <w:rPr>
          <w:rFonts w:ascii="Book Antiqua" w:hAnsi="Book Antiqua"/>
        </w:rPr>
        <w:t>EXPOSICIÓN DE MOTIVOS</w:t>
      </w:r>
    </w:p>
    <w:p w14:paraId="31DDD81A" w14:textId="77777777" w:rsidR="00E9594C" w:rsidRPr="00852226" w:rsidRDefault="00E9594C" w:rsidP="00E9594C">
      <w:pPr>
        <w:jc w:val="center"/>
        <w:rPr>
          <w:rFonts w:ascii="Book Antiqua" w:hAnsi="Book Antiqua"/>
        </w:rPr>
      </w:pPr>
    </w:p>
    <w:p w14:paraId="3ED25E71" w14:textId="62FBB1E2" w:rsidR="006820DD" w:rsidRDefault="003F41F8" w:rsidP="00F91156">
      <w:pPr>
        <w:ind w:firstLine="567"/>
        <w:jc w:val="both"/>
        <w:rPr>
          <w:rFonts w:ascii="Book Antiqua" w:hAnsi="Book Antiqua"/>
        </w:rPr>
      </w:pPr>
      <w:r>
        <w:rPr>
          <w:rFonts w:ascii="Book Antiqua" w:hAnsi="Book Antiqua"/>
        </w:rPr>
        <w:t>Finalizando el mes</w:t>
      </w:r>
      <w:r w:rsidR="006820DD" w:rsidRPr="00B770A6">
        <w:rPr>
          <w:rFonts w:ascii="Book Antiqua" w:hAnsi="Book Antiqua"/>
        </w:rPr>
        <w:t xml:space="preserve"> de enero de 2022, fuimos testigos de cómo un grupo de manifestantes estacionó una grúa con un carretón de arrastre en medio del Expreso Las Américas bloqueando el libre tránsito en todos los carriles en dirección de Caguas a San Juan.</w:t>
      </w:r>
      <w:r w:rsidR="006820DD" w:rsidRPr="00B770A6">
        <w:rPr>
          <w:rStyle w:val="FootnoteReference"/>
          <w:rFonts w:ascii="Book Antiqua" w:hAnsi="Book Antiqua"/>
        </w:rPr>
        <w:footnoteReference w:id="1"/>
      </w:r>
      <w:r w:rsidR="006820DD" w:rsidRPr="00B770A6">
        <w:rPr>
          <w:rFonts w:ascii="Book Antiqua" w:hAnsi="Book Antiqua"/>
        </w:rPr>
        <w:t xml:space="preserve">  Ello, en protesta por la directriz del uso de la mascarilla en espacios cerrados implementada como medida preventiva de contagios contra el coronavirus ante la emergencia por la pandemia del Covid-19.  La barricada paralizó por horas la libre circulación vehicular de una de las arterias principales de la zona metropolitana, dejando desprovistos de alternativas de paso a los ciudadanos que discurrían por la zona.  </w:t>
      </w:r>
      <w:r w:rsidR="00733B1C" w:rsidRPr="00733B1C">
        <w:rPr>
          <w:rFonts w:ascii="Book Antiqua" w:hAnsi="Book Antiqua"/>
          <w:i/>
          <w:iCs/>
          <w:u w:val="single"/>
        </w:rPr>
        <w:t xml:space="preserve">Esta </w:t>
      </w:r>
      <w:r w:rsidR="006820DD" w:rsidRPr="00733B1C">
        <w:rPr>
          <w:rFonts w:ascii="Book Antiqua" w:hAnsi="Book Antiqua"/>
          <w:strike/>
        </w:rPr>
        <w:t xml:space="preserve">No es </w:t>
      </w:r>
      <w:r w:rsidR="00733B1C" w:rsidRPr="00184C4A">
        <w:rPr>
          <w:rFonts w:ascii="Book Antiqua" w:hAnsi="Book Antiqua"/>
          <w:i/>
          <w:iCs/>
          <w:u w:val="single"/>
        </w:rPr>
        <w:t>no fue</w:t>
      </w:r>
      <w:r w:rsidR="00733B1C" w:rsidRPr="00184C4A">
        <w:rPr>
          <w:rFonts w:ascii="Book Antiqua" w:hAnsi="Book Antiqua"/>
        </w:rPr>
        <w:t xml:space="preserve"> </w:t>
      </w:r>
      <w:r w:rsidR="006820DD" w:rsidRPr="00B770A6">
        <w:rPr>
          <w:rFonts w:ascii="Book Antiqua" w:hAnsi="Book Antiqua"/>
        </w:rPr>
        <w:t>la primera vez en</w:t>
      </w:r>
      <w:r w:rsidR="00184C4A">
        <w:rPr>
          <w:rFonts w:ascii="Book Antiqua" w:hAnsi="Book Antiqua"/>
        </w:rPr>
        <w:t xml:space="preserve"> </w:t>
      </w:r>
      <w:r w:rsidR="00184C4A" w:rsidRPr="00184C4A">
        <w:rPr>
          <w:rFonts w:ascii="Book Antiqua" w:hAnsi="Book Antiqua"/>
          <w:i/>
          <w:iCs/>
          <w:u w:val="single"/>
        </w:rPr>
        <w:t>la</w:t>
      </w:r>
      <w:r w:rsidR="006820DD" w:rsidRPr="00B770A6">
        <w:rPr>
          <w:rFonts w:ascii="Book Antiqua" w:hAnsi="Book Antiqua"/>
        </w:rPr>
        <w:t xml:space="preserve"> </w:t>
      </w:r>
      <w:r w:rsidR="006820DD" w:rsidRPr="00184C4A">
        <w:rPr>
          <w:rFonts w:ascii="Book Antiqua" w:hAnsi="Book Antiqua"/>
          <w:strike/>
        </w:rPr>
        <w:t xml:space="preserve">los </w:t>
      </w:r>
      <w:r w:rsidR="006820DD" w:rsidRPr="00B770A6">
        <w:rPr>
          <w:rFonts w:ascii="Book Antiqua" w:hAnsi="Book Antiqua"/>
        </w:rPr>
        <w:t>que un individuo o grupo obstruye deliberadamente la vía pública, mientras los efectos de tal acción se dejan sentir al obstaculizar e impedir el libre movimiento de nuestros ciudadanos.</w:t>
      </w:r>
      <w:r w:rsidR="006820DD" w:rsidRPr="00B770A6">
        <w:rPr>
          <w:rStyle w:val="FootnoteReference"/>
          <w:rFonts w:ascii="Book Antiqua" w:hAnsi="Book Antiqua"/>
        </w:rPr>
        <w:footnoteReference w:id="2"/>
      </w:r>
    </w:p>
    <w:p w14:paraId="6A87DC04" w14:textId="77777777" w:rsidR="00F02C9D" w:rsidRPr="00B770A6" w:rsidRDefault="00F02C9D" w:rsidP="00F91156">
      <w:pPr>
        <w:ind w:firstLine="567"/>
        <w:jc w:val="both"/>
        <w:rPr>
          <w:rFonts w:ascii="Book Antiqua" w:hAnsi="Book Antiqua"/>
        </w:rPr>
      </w:pPr>
    </w:p>
    <w:p w14:paraId="277DF09D" w14:textId="1EB58523" w:rsidR="006820DD" w:rsidRPr="00B770A6" w:rsidRDefault="006820DD" w:rsidP="00F91156">
      <w:pPr>
        <w:ind w:firstLine="567"/>
        <w:jc w:val="both"/>
        <w:rPr>
          <w:rFonts w:ascii="Book Antiqua" w:hAnsi="Book Antiqua"/>
        </w:rPr>
      </w:pPr>
      <w:r w:rsidRPr="00F02C9D">
        <w:rPr>
          <w:rFonts w:ascii="Book Antiqua" w:hAnsi="Book Antiqua"/>
          <w:strike/>
        </w:rPr>
        <w:t xml:space="preserve">Como se sabe, </w:t>
      </w:r>
      <w:proofErr w:type="spellStart"/>
      <w:r w:rsidRPr="00F02C9D">
        <w:rPr>
          <w:rFonts w:ascii="Book Antiqua" w:hAnsi="Book Antiqua"/>
          <w:strike/>
        </w:rPr>
        <w:t>el</w:t>
      </w:r>
      <w:proofErr w:type="spellEnd"/>
      <w:r w:rsidRPr="00B770A6">
        <w:rPr>
          <w:rFonts w:ascii="Book Antiqua" w:hAnsi="Book Antiqua"/>
        </w:rPr>
        <w:t xml:space="preserve"> </w:t>
      </w:r>
      <w:proofErr w:type="spellStart"/>
      <w:r w:rsidR="00F02C9D" w:rsidRPr="00F02C9D">
        <w:rPr>
          <w:rFonts w:ascii="Book Antiqua" w:hAnsi="Book Antiqua"/>
          <w:i/>
          <w:iCs/>
          <w:u w:val="single"/>
        </w:rPr>
        <w:t>El</w:t>
      </w:r>
      <w:proofErr w:type="spellEnd"/>
      <w:r w:rsidR="00F02C9D">
        <w:rPr>
          <w:rFonts w:ascii="Book Antiqua" w:hAnsi="Book Antiqua"/>
        </w:rPr>
        <w:t xml:space="preserve"> </w:t>
      </w:r>
      <w:r w:rsidRPr="00B770A6">
        <w:rPr>
          <w:rFonts w:ascii="Book Antiqua" w:hAnsi="Book Antiqua"/>
        </w:rPr>
        <w:t xml:space="preserve">Artículo II, Sección 4, de la Constitución de Puerto Rico y la Primera Enmienda de la Constitución de los Estados Unidos </w:t>
      </w:r>
      <w:r w:rsidR="00F65948" w:rsidRPr="003116B8">
        <w:rPr>
          <w:rFonts w:ascii="Book Antiqua" w:hAnsi="Book Antiqua"/>
        </w:rPr>
        <w:t>de América</w:t>
      </w:r>
      <w:r w:rsidR="00F65948">
        <w:rPr>
          <w:rFonts w:ascii="Book Antiqua" w:hAnsi="Book Antiqua"/>
        </w:rPr>
        <w:t xml:space="preserve"> </w:t>
      </w:r>
      <w:r w:rsidRPr="00B770A6">
        <w:rPr>
          <w:rFonts w:ascii="Book Antiqua" w:hAnsi="Book Antiqua"/>
        </w:rPr>
        <w:t>consagran el derecho fundamental de todo ciudadano a la libertad de expresión como uno de los valores de más alta jerarquía y preeminencia en nuestro ordenamiento constitucional.</w:t>
      </w:r>
      <w:r w:rsidRPr="00B770A6">
        <w:rPr>
          <w:rStyle w:val="FootnoteReference"/>
          <w:rFonts w:ascii="Book Antiqua" w:hAnsi="Book Antiqua"/>
        </w:rPr>
        <w:footnoteReference w:id="3"/>
      </w:r>
      <w:r w:rsidRPr="00B770A6">
        <w:rPr>
          <w:rFonts w:ascii="Book Antiqua" w:hAnsi="Book Antiqua"/>
        </w:rPr>
        <w:t xml:space="preserve">  Ello, puesto que uno de sus objetivos principales es proteger la libre discusión de los asuntos del Gobierno.</w:t>
      </w:r>
      <w:r w:rsidRPr="00B770A6">
        <w:rPr>
          <w:rStyle w:val="FootnoteReference"/>
          <w:rFonts w:ascii="Book Antiqua" w:hAnsi="Book Antiqua"/>
        </w:rPr>
        <w:footnoteReference w:id="4"/>
      </w:r>
      <w:r w:rsidRPr="00B770A6">
        <w:rPr>
          <w:rFonts w:ascii="Book Antiqua" w:hAnsi="Book Antiqua"/>
        </w:rPr>
        <w:t xml:space="preserve">  La expresión política o discusión de asuntos públicos es uno de los fundamentos de la Primera Enmienda.</w:t>
      </w:r>
    </w:p>
    <w:p w14:paraId="25848F87" w14:textId="78EDC5A7" w:rsidR="006820DD" w:rsidRPr="00B770A6" w:rsidRDefault="006820DD" w:rsidP="00F91156">
      <w:pPr>
        <w:ind w:firstLine="567"/>
        <w:jc w:val="both"/>
        <w:rPr>
          <w:rFonts w:ascii="Book Antiqua" w:hAnsi="Book Antiqua"/>
        </w:rPr>
      </w:pPr>
    </w:p>
    <w:p w14:paraId="6982F55F" w14:textId="2ED03814" w:rsidR="006820DD" w:rsidRPr="00B770A6" w:rsidRDefault="006820DD" w:rsidP="00F91156">
      <w:pPr>
        <w:ind w:firstLine="567"/>
        <w:jc w:val="both"/>
        <w:rPr>
          <w:rFonts w:ascii="Book Antiqua" w:hAnsi="Book Antiqua"/>
        </w:rPr>
      </w:pPr>
      <w:r w:rsidRPr="00B770A6">
        <w:rPr>
          <w:rFonts w:ascii="Book Antiqua" w:hAnsi="Book Antiqua"/>
        </w:rPr>
        <w:t>Ahora bien, a pesar del valor e importancia que le precede, el derecho a la libertad de expresión no es absoluto ni ilimitado, ya que cede ante otros intereses cuando la necesidad y conveniencia pública lo requieran, por lo que debe enmarcarse dentro de los parámetros constitucionales y los principios de razonabilidad y proporcionalidad.</w:t>
      </w:r>
      <w:r w:rsidRPr="00B770A6">
        <w:rPr>
          <w:rStyle w:val="FootnoteReference"/>
          <w:rFonts w:ascii="Book Antiqua" w:hAnsi="Book Antiqua"/>
        </w:rPr>
        <w:footnoteReference w:id="5"/>
      </w:r>
      <w:r w:rsidRPr="00B770A6">
        <w:rPr>
          <w:rFonts w:ascii="Book Antiqua" w:hAnsi="Book Antiqua"/>
        </w:rPr>
        <w:t xml:space="preserve">  Nuestro Tribunal Supremo ha establecido reiteradamente que dicho derecho está sujeto a la imposición de limitaciones, siempre y cuando las mismas sean interpretadas restrictivamente, de manera que no abarquen más de lo necesario.</w:t>
      </w:r>
      <w:r w:rsidRPr="00B770A6">
        <w:rPr>
          <w:rStyle w:val="FootnoteReference"/>
          <w:rFonts w:ascii="Book Antiqua" w:hAnsi="Book Antiqua"/>
        </w:rPr>
        <w:footnoteReference w:id="6"/>
      </w:r>
      <w:r w:rsidRPr="00B770A6">
        <w:rPr>
          <w:rFonts w:ascii="Book Antiqua" w:hAnsi="Book Antiqua"/>
        </w:rPr>
        <w:t xml:space="preserve">  Ello, pues como quedó antes dicho, este derecho, al igual que los demás derechos fundamentales, no es irrestricto.</w:t>
      </w:r>
    </w:p>
    <w:p w14:paraId="600C3AB7" w14:textId="77777777" w:rsidR="006820DD" w:rsidRPr="00B770A6" w:rsidRDefault="006820DD" w:rsidP="00F91156">
      <w:pPr>
        <w:ind w:firstLine="567"/>
        <w:jc w:val="both"/>
        <w:rPr>
          <w:rFonts w:ascii="Book Antiqua" w:hAnsi="Book Antiqua"/>
        </w:rPr>
      </w:pPr>
    </w:p>
    <w:p w14:paraId="50356C53" w14:textId="58A4CE12" w:rsidR="006820DD" w:rsidRPr="0006628F" w:rsidRDefault="006820DD" w:rsidP="00F91156">
      <w:pPr>
        <w:ind w:firstLine="567"/>
        <w:jc w:val="both"/>
        <w:rPr>
          <w:rFonts w:ascii="Book Antiqua" w:hAnsi="Book Antiqua"/>
          <w:i/>
          <w:iCs/>
          <w:color w:val="000000"/>
          <w:u w:val="single"/>
          <w:shd w:val="clear" w:color="auto" w:fill="FFFFFF"/>
          <w:lang w:val="es-ES_tradnl"/>
        </w:rPr>
      </w:pPr>
      <w:r w:rsidRPr="00B770A6">
        <w:rPr>
          <w:rFonts w:ascii="Book Antiqua" w:hAnsi="Book Antiqua"/>
          <w:color w:val="423A38"/>
        </w:rPr>
        <w:t>Queda claro que e</w:t>
      </w:r>
      <w:r w:rsidRPr="00B770A6">
        <w:rPr>
          <w:rFonts w:ascii="Book Antiqua" w:hAnsi="Book Antiqua"/>
        </w:rPr>
        <w:t xml:space="preserve">l Estado </w:t>
      </w:r>
      <w:r w:rsidRPr="00B770A6">
        <w:rPr>
          <w:rFonts w:ascii="Book Antiqua" w:hAnsi="Book Antiqua"/>
          <w:lang w:val="es-ES_tradnl"/>
        </w:rPr>
        <w:t xml:space="preserve">no está facultado a restringir el contenido de una expresión, pero sí </w:t>
      </w:r>
      <w:r w:rsidRPr="00B770A6">
        <w:rPr>
          <w:rFonts w:ascii="Book Antiqua" w:hAnsi="Book Antiqua"/>
        </w:rPr>
        <w:t>puede limitar el tiempo, lugar y manera en que un ciudadano ejerce su derecho a la libre expresión</w:t>
      </w:r>
      <w:r w:rsidRPr="00B770A6">
        <w:rPr>
          <w:rFonts w:ascii="Book Antiqua" w:hAnsi="Book Antiqua"/>
          <w:lang w:val="es-ES_tradnl"/>
        </w:rPr>
        <w:t>, aun cuando se trate de un foro público tradicional como lo son las calles</w:t>
      </w:r>
      <w:r w:rsidRPr="00B770A6">
        <w:rPr>
          <w:rFonts w:ascii="Book Antiqua" w:hAnsi="Book Antiqua"/>
        </w:rPr>
        <w:t>.  Esto con el objetivo de lograr algún grado sensato de orden público</w:t>
      </w:r>
      <w:r w:rsidRPr="00B770A6">
        <w:rPr>
          <w:rFonts w:ascii="Book Antiqua" w:hAnsi="Book Antiqua"/>
          <w:lang w:val="es-ES_tradnl"/>
        </w:rPr>
        <w:t>, para que se garantice el derecho a la expresión libre al tiempo que se puedan adoptar medidas necesarias y proporcionales que permitan el libre acceso y movimiento de terceros.  Ello</w:t>
      </w:r>
      <w:r w:rsidRPr="00B770A6">
        <w:rPr>
          <w:rFonts w:ascii="Book Antiqua" w:hAnsi="Book Antiqua"/>
          <w:color w:val="000000"/>
          <w:shd w:val="clear" w:color="auto" w:fill="FFFFFF"/>
          <w:lang w:val="es-ES_tradnl"/>
        </w:rPr>
        <w:t xml:space="preserve">, puesto que existe el derecho a la libertad de palabra y a reunirse </w:t>
      </w:r>
      <w:r w:rsidRPr="00B770A6">
        <w:rPr>
          <w:rFonts w:ascii="Book Antiqua" w:hAnsi="Book Antiqua"/>
          <w:color w:val="000000"/>
          <w:shd w:val="clear" w:color="auto" w:fill="FFFFFF"/>
        </w:rPr>
        <w:t xml:space="preserve">en asamblea pacífica, pero no existe el derecho </w:t>
      </w:r>
      <w:r w:rsidRPr="00B770A6">
        <w:rPr>
          <w:rFonts w:ascii="Book Antiqua" w:hAnsi="Book Antiqua"/>
          <w:color w:val="000000"/>
          <w:shd w:val="clear" w:color="auto" w:fill="FFFFFF"/>
          <w:lang w:val="es-ES_tradnl"/>
        </w:rPr>
        <w:t>de bloquear la vía pública ni a quebrantarle</w:t>
      </w:r>
      <w:r w:rsidRPr="00B770A6">
        <w:rPr>
          <w:rFonts w:ascii="Book Antiqua" w:hAnsi="Book Antiqua"/>
          <w:color w:val="000000"/>
          <w:shd w:val="clear" w:color="auto" w:fill="FFFFFF"/>
        </w:rPr>
        <w:t xml:space="preserve"> a tercer</w:t>
      </w:r>
      <w:r w:rsidRPr="00B770A6">
        <w:rPr>
          <w:rFonts w:ascii="Book Antiqua" w:hAnsi="Book Antiqua"/>
          <w:color w:val="000000"/>
          <w:shd w:val="clear" w:color="auto" w:fill="FFFFFF"/>
          <w:lang w:val="es-ES_tradnl"/>
        </w:rPr>
        <w:t>o</w:t>
      </w:r>
      <w:r w:rsidRPr="00B770A6">
        <w:rPr>
          <w:rFonts w:ascii="Book Antiqua" w:hAnsi="Book Antiqua"/>
          <w:color w:val="000000"/>
          <w:shd w:val="clear" w:color="auto" w:fill="FFFFFF"/>
        </w:rPr>
        <w:t xml:space="preserve">s el derecho que tienen de </w:t>
      </w:r>
      <w:r w:rsidRPr="00B770A6">
        <w:rPr>
          <w:rFonts w:ascii="Book Antiqua" w:hAnsi="Book Antiqua"/>
          <w:color w:val="000000"/>
          <w:shd w:val="clear" w:color="auto" w:fill="FFFFFF"/>
          <w:lang w:val="es-ES_tradnl"/>
        </w:rPr>
        <w:t xml:space="preserve">circular </w:t>
      </w:r>
      <w:r w:rsidRPr="00B770A6">
        <w:rPr>
          <w:rFonts w:ascii="Book Antiqua" w:hAnsi="Book Antiqua"/>
          <w:color w:val="000000"/>
          <w:shd w:val="clear" w:color="auto" w:fill="FFFFFF"/>
        </w:rPr>
        <w:t>libremente</w:t>
      </w:r>
      <w:r w:rsidRPr="00B770A6">
        <w:rPr>
          <w:rFonts w:ascii="Book Antiqua" w:hAnsi="Book Antiqua"/>
          <w:color w:val="000000"/>
          <w:shd w:val="clear" w:color="auto" w:fill="FFFFFF"/>
          <w:lang w:val="es-ES_tradnl"/>
        </w:rPr>
        <w:t>.</w:t>
      </w:r>
      <w:r w:rsidR="0006628F">
        <w:rPr>
          <w:rFonts w:ascii="Book Antiqua" w:hAnsi="Book Antiqua"/>
          <w:color w:val="000000"/>
          <w:shd w:val="clear" w:color="auto" w:fill="FFFFFF"/>
          <w:lang w:val="es-ES_tradnl"/>
        </w:rPr>
        <w:t xml:space="preserve"> </w:t>
      </w:r>
      <w:r w:rsidR="0006628F">
        <w:rPr>
          <w:rFonts w:ascii="Book Antiqua" w:hAnsi="Book Antiqua"/>
          <w:i/>
          <w:iCs/>
          <w:color w:val="000000"/>
          <w:u w:val="single"/>
          <w:shd w:val="clear" w:color="auto" w:fill="FFFFFF"/>
          <w:lang w:val="es-ES_tradnl"/>
        </w:rPr>
        <w:t xml:space="preserve">Dicha libertad de movimiento incluye que los ciudadanos puedan lograr acceder a un hospital a recibir asistencia médica cuando lo necesitan, llegar a tiempo a un aeropuerto para no perder su vuelo, asistir a sus empleos o centros educativos a la hora correspondiente, y lograr regresar a su hogar cuando así lo deseen sin demoras innecesarias, entre otros. </w:t>
      </w:r>
    </w:p>
    <w:p w14:paraId="2C8990EF" w14:textId="6412C7A2" w:rsidR="006820DD" w:rsidRPr="00B770A6" w:rsidRDefault="006820DD" w:rsidP="00F91156">
      <w:pPr>
        <w:ind w:firstLine="567"/>
        <w:jc w:val="both"/>
        <w:rPr>
          <w:rFonts w:ascii="Book Antiqua" w:hAnsi="Book Antiqua"/>
          <w:color w:val="000000"/>
          <w:shd w:val="clear" w:color="auto" w:fill="FFFFFF"/>
          <w:lang w:val="es-ES_tradnl"/>
        </w:rPr>
      </w:pPr>
    </w:p>
    <w:p w14:paraId="3489E011" w14:textId="7C1D8CCA" w:rsidR="006820DD" w:rsidRPr="00B770A6" w:rsidRDefault="006820DD" w:rsidP="00F91156">
      <w:pPr>
        <w:ind w:firstLine="567"/>
        <w:jc w:val="both"/>
        <w:rPr>
          <w:rFonts w:ascii="Book Antiqua" w:hAnsi="Book Antiqua"/>
        </w:rPr>
      </w:pPr>
      <w:r w:rsidRPr="00B770A6">
        <w:rPr>
          <w:rFonts w:ascii="Book Antiqua" w:hAnsi="Book Antiqua"/>
        </w:rPr>
        <w:t xml:space="preserve">Conforme la normativa jurídica antes esbozada, esta Asamblea Legislativa considera necesario enmendar la Ley Núm. 146-2012, según enmendada, </w:t>
      </w:r>
      <w:r w:rsidRPr="00B770A6">
        <w:rPr>
          <w:rFonts w:ascii="Book Antiqua" w:hAnsi="Book Antiqua"/>
          <w:color w:val="000000"/>
          <w:shd w:val="clear" w:color="auto" w:fill="FFFFFF"/>
          <w:lang w:val="es-ES_tradnl"/>
        </w:rPr>
        <w:t xml:space="preserve">para tipificar como delito menos grave la acción </w:t>
      </w:r>
      <w:r w:rsidR="00EF784B" w:rsidRPr="00EF784B">
        <w:rPr>
          <w:rFonts w:ascii="Book Antiqua" w:hAnsi="Book Antiqua"/>
          <w:i/>
          <w:iCs/>
          <w:color w:val="000000"/>
          <w:u w:val="single"/>
          <w:shd w:val="clear" w:color="auto" w:fill="FFFFFF"/>
          <w:lang w:val="es-ES_tradnl"/>
        </w:rPr>
        <w:t>intencional y</w:t>
      </w:r>
      <w:r w:rsidR="00EF784B">
        <w:rPr>
          <w:rFonts w:ascii="Book Antiqua" w:hAnsi="Book Antiqua"/>
          <w:color w:val="000000"/>
          <w:shd w:val="clear" w:color="auto" w:fill="FFFFFF"/>
          <w:lang w:val="es-ES_tradnl"/>
        </w:rPr>
        <w:t xml:space="preserve"> </w:t>
      </w:r>
      <w:r w:rsidRPr="00B770A6">
        <w:rPr>
          <w:rFonts w:ascii="Book Antiqua" w:hAnsi="Book Antiqua"/>
          <w:color w:val="000000"/>
          <w:shd w:val="clear" w:color="auto" w:fill="FFFFFF"/>
          <w:lang w:val="es-ES_tradnl"/>
        </w:rPr>
        <w:t xml:space="preserve">deliberada de obstruir o impedir </w:t>
      </w:r>
      <w:r w:rsidRPr="00B770A6">
        <w:rPr>
          <w:rStyle w:val="Emphasis"/>
          <w:rFonts w:ascii="Book Antiqua" w:hAnsi="Book Antiqua"/>
          <w:i w:val="0"/>
          <w:iCs w:val="0"/>
          <w:color w:val="000000"/>
          <w:shd w:val="clear" w:color="auto" w:fill="FFFFFF"/>
        </w:rPr>
        <w:t xml:space="preserve">el libre </w:t>
      </w:r>
      <w:r w:rsidRPr="00B770A6">
        <w:rPr>
          <w:rStyle w:val="Emphasis"/>
          <w:rFonts w:ascii="Book Antiqua" w:hAnsi="Book Antiqua"/>
          <w:i w:val="0"/>
          <w:iCs w:val="0"/>
          <w:color w:val="000000"/>
          <w:shd w:val="clear" w:color="auto" w:fill="FFFFFF"/>
        </w:rPr>
        <w:lastRenderedPageBreak/>
        <w:t>tránsito vehicular o el movimiento de transeúntes</w:t>
      </w:r>
      <w:r w:rsidRPr="00B770A6">
        <w:rPr>
          <w:rFonts w:ascii="Book Antiqua" w:hAnsi="Book Antiqua"/>
          <w:color w:val="000000"/>
          <w:shd w:val="clear" w:color="auto" w:fill="FFFFFF"/>
          <w:lang w:val="es-ES_tradnl"/>
        </w:rPr>
        <w:t xml:space="preserve"> por la vía pública.  </w:t>
      </w:r>
      <w:r w:rsidRPr="00B770A6">
        <w:rPr>
          <w:rFonts w:ascii="Book Antiqua" w:hAnsi="Book Antiqua"/>
        </w:rPr>
        <w:t>La acción legislativa que aquí ejercemos en modo alguno implica o tiene el efecto de restringir, menoscabar o acallar la expresión</w:t>
      </w:r>
      <w:r w:rsidRPr="0006628F">
        <w:rPr>
          <w:rFonts w:ascii="Book Antiqua" w:hAnsi="Book Antiqua"/>
          <w:strike/>
        </w:rPr>
        <w:t>;</w:t>
      </w:r>
      <w:r w:rsidRPr="0006628F">
        <w:rPr>
          <w:rFonts w:ascii="Book Antiqua" w:hAnsi="Book Antiqua"/>
        </w:rPr>
        <w:t xml:space="preserve"> y, menos aún,</w:t>
      </w:r>
      <w:r w:rsidR="0006628F">
        <w:rPr>
          <w:rFonts w:ascii="Book Antiqua" w:hAnsi="Book Antiqua"/>
        </w:rPr>
        <w:t xml:space="preserve"> </w:t>
      </w:r>
      <w:r w:rsidRPr="00B770A6">
        <w:rPr>
          <w:rFonts w:ascii="Book Antiqua" w:hAnsi="Book Antiqua"/>
        </w:rPr>
        <w:t xml:space="preserve">desalentar a los individuos de participar en actividades protegidas por la Primera Enmienda, puesto que lo que se busca aquí es atender la obstrucción a la libertad de acceso y movimiento de los ciudadanos en las vías púbicas, un asunto que está fuera del amparo de la expresión y que no está cobijado por las protecciones constitucionales a la libertad de palabra. </w:t>
      </w:r>
    </w:p>
    <w:p w14:paraId="373632FD" w14:textId="77777777" w:rsidR="00E9594C" w:rsidRPr="00852226" w:rsidRDefault="00E9594C" w:rsidP="00E9594C">
      <w:pPr>
        <w:rPr>
          <w:rFonts w:ascii="Book Antiqua" w:hAnsi="Book Antiqua"/>
        </w:rPr>
      </w:pPr>
    </w:p>
    <w:p w14:paraId="354EF2D8" w14:textId="77777777" w:rsidR="00E9594C" w:rsidRPr="00852226" w:rsidRDefault="00E9594C" w:rsidP="00E9594C">
      <w:pPr>
        <w:jc w:val="both"/>
        <w:rPr>
          <w:rFonts w:ascii="Book Antiqua" w:hAnsi="Book Antiqua"/>
          <w:i/>
        </w:rPr>
      </w:pPr>
      <w:r w:rsidRPr="00852226">
        <w:rPr>
          <w:rFonts w:ascii="Book Antiqua" w:hAnsi="Book Antiqua"/>
          <w:i/>
        </w:rPr>
        <w:t>DECRÉTASE POR LA ASAMBLEA LEGISLATIVA DE PUERTO RICO:</w:t>
      </w:r>
    </w:p>
    <w:p w14:paraId="30C727A1" w14:textId="77777777" w:rsidR="00E9594C" w:rsidRPr="00852226" w:rsidRDefault="00E9594C" w:rsidP="00E9594C">
      <w:pPr>
        <w:pStyle w:val="BodyTextIndent"/>
        <w:ind w:left="0" w:firstLine="720"/>
        <w:rPr>
          <w:rFonts w:ascii="Book Antiqua" w:hAnsi="Book Antiqua"/>
        </w:rPr>
      </w:pPr>
    </w:p>
    <w:p w14:paraId="63481930" w14:textId="77777777" w:rsidR="00E9594C" w:rsidRPr="00852226" w:rsidRDefault="00E9594C" w:rsidP="00E9594C">
      <w:pPr>
        <w:pStyle w:val="BodyTextIndent"/>
        <w:ind w:left="0"/>
        <w:rPr>
          <w:rFonts w:ascii="Book Antiqua" w:hAnsi="Book Antiqua"/>
        </w:rPr>
        <w:sectPr w:rsidR="00E9594C" w:rsidRPr="00852226" w:rsidSect="00E9594C">
          <w:headerReference w:type="even" r:id="rId10"/>
          <w:headerReference w:type="default" r:id="rId11"/>
          <w:headerReference w:type="first" r:id="rId12"/>
          <w:pgSz w:w="12240" w:h="15840" w:code="1"/>
          <w:pgMar w:top="1440" w:right="1440" w:bottom="1440" w:left="1440" w:header="720" w:footer="720" w:gutter="0"/>
          <w:cols w:space="720"/>
          <w:titlePg/>
          <w:docGrid w:linePitch="360"/>
        </w:sectPr>
      </w:pPr>
    </w:p>
    <w:p w14:paraId="5FFB2E23" w14:textId="5BEA1C6C" w:rsidR="00E9594C" w:rsidRPr="00852226" w:rsidRDefault="00EC333A" w:rsidP="00F91156">
      <w:pPr>
        <w:pStyle w:val="BodyTextIndent"/>
        <w:spacing w:line="480" w:lineRule="auto"/>
        <w:ind w:left="0" w:firstLine="567"/>
        <w:rPr>
          <w:rFonts w:ascii="Book Antiqua" w:hAnsi="Book Antiqua"/>
        </w:rPr>
      </w:pPr>
      <w:r>
        <w:rPr>
          <w:rFonts w:ascii="Book Antiqua" w:hAnsi="Book Antiqua"/>
        </w:rPr>
        <w:t>Artículo</w:t>
      </w:r>
      <w:r w:rsidR="00E9594C" w:rsidRPr="00852226">
        <w:rPr>
          <w:rFonts w:ascii="Book Antiqua" w:hAnsi="Book Antiqua"/>
        </w:rPr>
        <w:t xml:space="preserve"> 1.-Se </w:t>
      </w:r>
      <w:r>
        <w:rPr>
          <w:rFonts w:ascii="Book Antiqua" w:hAnsi="Book Antiqua"/>
        </w:rPr>
        <w:t>añade</w:t>
      </w:r>
      <w:r w:rsidR="00E9594C" w:rsidRPr="00852226">
        <w:rPr>
          <w:rFonts w:ascii="Book Antiqua" w:hAnsi="Book Antiqua"/>
        </w:rPr>
        <w:t xml:space="preserve"> </w:t>
      </w:r>
      <w:r w:rsidR="00705626">
        <w:rPr>
          <w:rFonts w:ascii="Book Antiqua" w:hAnsi="Book Antiqua"/>
        </w:rPr>
        <w:t>un nuevo</w:t>
      </w:r>
      <w:r w:rsidR="00E9594C" w:rsidRPr="00852226">
        <w:rPr>
          <w:rFonts w:ascii="Book Antiqua" w:hAnsi="Book Antiqua"/>
        </w:rPr>
        <w:t xml:space="preserve"> Artículo </w:t>
      </w:r>
      <w:r w:rsidR="00705626">
        <w:rPr>
          <w:rFonts w:ascii="Book Antiqua" w:hAnsi="Book Antiqua"/>
        </w:rPr>
        <w:t>247A</w:t>
      </w:r>
      <w:r w:rsidR="00E9594C" w:rsidRPr="00852226">
        <w:rPr>
          <w:rFonts w:ascii="Book Antiqua" w:hAnsi="Book Antiqua"/>
        </w:rPr>
        <w:t xml:space="preserve"> </w:t>
      </w:r>
      <w:r w:rsidR="00FE0808">
        <w:rPr>
          <w:rFonts w:ascii="Book Antiqua" w:hAnsi="Book Antiqua"/>
        </w:rPr>
        <w:t>a</w:t>
      </w:r>
      <w:r w:rsidR="00E9594C" w:rsidRPr="00852226">
        <w:rPr>
          <w:rFonts w:ascii="Book Antiqua" w:hAnsi="Book Antiqua"/>
        </w:rPr>
        <w:t xml:space="preserve"> la Ley Núm. </w:t>
      </w:r>
      <w:r w:rsidR="00FE0808">
        <w:rPr>
          <w:rFonts w:ascii="Book Antiqua" w:hAnsi="Book Antiqua"/>
        </w:rPr>
        <w:t>146</w:t>
      </w:r>
      <w:r w:rsidR="00FE0808" w:rsidRPr="00852226">
        <w:rPr>
          <w:rFonts w:ascii="Book Antiqua" w:hAnsi="Book Antiqua"/>
        </w:rPr>
        <w:t>-20</w:t>
      </w:r>
      <w:r w:rsidR="00FE0808">
        <w:rPr>
          <w:rFonts w:ascii="Book Antiqua" w:hAnsi="Book Antiqua"/>
        </w:rPr>
        <w:t>12</w:t>
      </w:r>
      <w:r w:rsidR="00FE0808" w:rsidRPr="00852226">
        <w:rPr>
          <w:rFonts w:ascii="Book Antiqua" w:hAnsi="Book Antiqua"/>
        </w:rPr>
        <w:t xml:space="preserve">, según enmendada, </w:t>
      </w:r>
      <w:r w:rsidR="00FE0808" w:rsidRPr="007A0015">
        <w:rPr>
          <w:rFonts w:ascii="Book Antiqua" w:hAnsi="Book Antiqua"/>
          <w:strike/>
        </w:rPr>
        <w:t>conocida como “Código Penal de Puerto Rico”</w:t>
      </w:r>
      <w:r w:rsidR="00E9594C" w:rsidRPr="007A0015">
        <w:rPr>
          <w:rFonts w:ascii="Book Antiqua" w:hAnsi="Book Antiqua"/>
          <w:strike/>
        </w:rPr>
        <w:t>,</w:t>
      </w:r>
      <w:r w:rsidR="00E9594C" w:rsidRPr="00852226">
        <w:rPr>
          <w:rFonts w:ascii="Book Antiqua" w:hAnsi="Book Antiqua"/>
        </w:rPr>
        <w:t xml:space="preserve"> para que se lea como sigue:</w:t>
      </w:r>
    </w:p>
    <w:p w14:paraId="4225DD8A" w14:textId="54F3BF49" w:rsidR="00E9594C" w:rsidRPr="000123D9" w:rsidRDefault="00E9594C" w:rsidP="00F91156">
      <w:pPr>
        <w:pStyle w:val="BodyTextIndent"/>
        <w:spacing w:line="480" w:lineRule="auto"/>
        <w:ind w:firstLine="567"/>
        <w:rPr>
          <w:rFonts w:ascii="Book Antiqua" w:hAnsi="Book Antiqua"/>
          <w:i/>
          <w:iCs/>
        </w:rPr>
      </w:pPr>
      <w:r w:rsidRPr="00852226">
        <w:rPr>
          <w:rFonts w:ascii="Book Antiqua" w:hAnsi="Book Antiqua"/>
        </w:rPr>
        <w:t>“</w:t>
      </w:r>
      <w:r w:rsidRPr="000123D9">
        <w:rPr>
          <w:rFonts w:ascii="Book Antiqua" w:hAnsi="Book Antiqua"/>
          <w:i/>
          <w:iCs/>
        </w:rPr>
        <w:t xml:space="preserve">Artículo </w:t>
      </w:r>
      <w:r w:rsidR="00FE0808" w:rsidRPr="000123D9">
        <w:rPr>
          <w:rFonts w:ascii="Book Antiqua" w:hAnsi="Book Antiqua"/>
          <w:i/>
          <w:iCs/>
        </w:rPr>
        <w:t>247A</w:t>
      </w:r>
      <w:r w:rsidRPr="000123D9">
        <w:rPr>
          <w:rFonts w:ascii="Book Antiqua" w:hAnsi="Book Antiqua"/>
          <w:i/>
          <w:iCs/>
        </w:rPr>
        <w:t>.—</w:t>
      </w:r>
      <w:r w:rsidR="005C2EF7" w:rsidRPr="000123D9">
        <w:rPr>
          <w:rFonts w:ascii="Book Antiqua" w:hAnsi="Book Antiqua"/>
          <w:i/>
          <w:iCs/>
        </w:rPr>
        <w:t>Obstrucción a vías públicas que afecten el orden público</w:t>
      </w:r>
      <w:r w:rsidR="00414843" w:rsidRPr="000123D9">
        <w:rPr>
          <w:rFonts w:ascii="Book Antiqua" w:hAnsi="Book Antiqua"/>
          <w:i/>
          <w:iCs/>
        </w:rPr>
        <w:t>.</w:t>
      </w:r>
    </w:p>
    <w:p w14:paraId="3C9E3FA4" w14:textId="1C2937D7" w:rsidR="000C07AA" w:rsidRPr="00C4323F" w:rsidRDefault="00C4323F" w:rsidP="00F91156">
      <w:pPr>
        <w:spacing w:line="480" w:lineRule="auto"/>
        <w:ind w:left="720" w:firstLine="567"/>
        <w:jc w:val="both"/>
        <w:rPr>
          <w:rFonts w:ascii="Book Antiqua" w:hAnsi="Book Antiqua"/>
          <w:lang w:val="es-ES_tradnl"/>
        </w:rPr>
      </w:pPr>
      <w:r w:rsidRPr="008D40DF">
        <w:rPr>
          <w:rFonts w:ascii="Book Antiqua" w:hAnsi="Book Antiqua"/>
          <w:i/>
          <w:iCs/>
        </w:rPr>
        <w:t xml:space="preserve">Toda persona que, sin autoridad en ley, </w:t>
      </w:r>
      <w:r w:rsidR="00E42B5E" w:rsidRPr="00E42B5E">
        <w:rPr>
          <w:rFonts w:ascii="Book Antiqua" w:hAnsi="Book Antiqua"/>
          <w:i/>
          <w:iCs/>
          <w:u w:val="single"/>
        </w:rPr>
        <w:t>intencional y deliberadamente,</w:t>
      </w:r>
      <w:r w:rsidR="00E42B5E">
        <w:rPr>
          <w:rFonts w:ascii="Book Antiqua" w:hAnsi="Book Antiqua"/>
          <w:i/>
          <w:iCs/>
        </w:rPr>
        <w:t xml:space="preserve"> </w:t>
      </w:r>
      <w:r w:rsidRPr="008D40DF">
        <w:rPr>
          <w:rFonts w:ascii="Book Antiqua" w:hAnsi="Book Antiqua"/>
          <w:i/>
          <w:iCs/>
        </w:rPr>
        <w:t>obstruya o impida</w:t>
      </w:r>
      <w:r>
        <w:rPr>
          <w:rFonts w:ascii="Book Antiqua" w:hAnsi="Book Antiqua"/>
          <w:i/>
          <w:iCs/>
        </w:rPr>
        <w:t>,</w:t>
      </w:r>
      <w:r w:rsidRPr="008D40DF">
        <w:rPr>
          <w:rFonts w:ascii="Book Antiqua" w:hAnsi="Book Antiqua"/>
          <w:i/>
          <w:iCs/>
        </w:rPr>
        <w:t xml:space="preserve"> de manera temporal o permanente</w:t>
      </w:r>
      <w:r>
        <w:rPr>
          <w:rFonts w:ascii="Book Antiqua" w:hAnsi="Book Antiqua"/>
          <w:i/>
          <w:iCs/>
        </w:rPr>
        <w:t>,</w:t>
      </w:r>
      <w:r w:rsidRPr="008D40DF">
        <w:rPr>
          <w:rStyle w:val="Emphasis"/>
          <w:rFonts w:ascii="Book Antiqua" w:hAnsi="Book Antiqua"/>
          <w:shd w:val="clear" w:color="auto" w:fill="FFFFFF"/>
        </w:rPr>
        <w:t xml:space="preserve"> el tránsito vehicular o el movimiento de transeúntes por las vías públicas, </w:t>
      </w:r>
      <w:r w:rsidR="0055722A" w:rsidRPr="0055722A">
        <w:rPr>
          <w:rStyle w:val="Emphasis"/>
          <w:rFonts w:ascii="Book Antiqua" w:hAnsi="Book Antiqua"/>
          <w:u w:val="single"/>
          <w:shd w:val="clear" w:color="auto" w:fill="FFFFFF"/>
        </w:rPr>
        <w:t>y con ello afecte el orden público,</w:t>
      </w:r>
      <w:r w:rsidR="0055722A">
        <w:rPr>
          <w:rStyle w:val="Emphasis"/>
          <w:rFonts w:ascii="Book Antiqua" w:hAnsi="Book Antiqua"/>
          <w:shd w:val="clear" w:color="auto" w:fill="FFFFFF"/>
        </w:rPr>
        <w:t xml:space="preserve"> </w:t>
      </w:r>
      <w:r w:rsidRPr="008D40DF">
        <w:rPr>
          <w:rStyle w:val="Emphasis"/>
          <w:rFonts w:ascii="Book Antiqua" w:hAnsi="Book Antiqua"/>
          <w:shd w:val="clear" w:color="auto" w:fill="FFFFFF"/>
        </w:rPr>
        <w:t>incurrirá en delito menos grave.</w:t>
      </w:r>
      <w:r w:rsidR="00E9594C" w:rsidRPr="00852226">
        <w:rPr>
          <w:rFonts w:ascii="Book Antiqua" w:hAnsi="Book Antiqua"/>
        </w:rPr>
        <w:t>”</w:t>
      </w:r>
    </w:p>
    <w:p w14:paraId="27A11BA8" w14:textId="5F81C99B" w:rsidR="00E9594C" w:rsidRPr="00852226" w:rsidRDefault="00C61056" w:rsidP="00F91156">
      <w:pPr>
        <w:spacing w:line="480" w:lineRule="auto"/>
        <w:ind w:firstLine="567"/>
        <w:jc w:val="both"/>
        <w:rPr>
          <w:rFonts w:ascii="Book Antiqua" w:hAnsi="Book Antiqua"/>
          <w:bCs/>
        </w:rPr>
      </w:pPr>
      <w:r>
        <w:rPr>
          <w:rFonts w:ascii="Book Antiqua" w:hAnsi="Book Antiqua"/>
          <w:bCs/>
        </w:rPr>
        <w:t>Artículo 2</w:t>
      </w:r>
      <w:r w:rsidR="00E9594C" w:rsidRPr="00852226">
        <w:rPr>
          <w:rFonts w:ascii="Book Antiqua" w:hAnsi="Book Antiqua"/>
          <w:bCs/>
        </w:rPr>
        <w:t>.-Separabilidad.</w:t>
      </w:r>
    </w:p>
    <w:p w14:paraId="6AAEB713" w14:textId="77777777" w:rsidR="00E9594C" w:rsidRPr="00852226" w:rsidRDefault="00E9594C" w:rsidP="00F91156">
      <w:pPr>
        <w:spacing w:line="480" w:lineRule="auto"/>
        <w:ind w:firstLine="567"/>
        <w:jc w:val="both"/>
        <w:outlineLvl w:val="0"/>
        <w:rPr>
          <w:rFonts w:ascii="Book Antiqua" w:hAnsi="Book Antiqua"/>
          <w:color w:val="000000"/>
          <w:shd w:val="clear" w:color="auto" w:fill="FFFFFF"/>
          <w:lang w:val="es-ES_tradnl"/>
        </w:rPr>
      </w:pPr>
      <w:bookmarkStart w:id="0" w:name="_Hlk487472645"/>
      <w:r w:rsidRPr="00852226">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852226">
        <w:rPr>
          <w:rFonts w:ascii="Book Antiqua" w:hAnsi="Book Antiqua"/>
          <w:color w:val="000000"/>
          <w:lang w:eastAsia="es-PR"/>
        </w:rPr>
        <w:t xml:space="preserve"> por un Tribunal con jurisdicción</w:t>
      </w:r>
      <w:r w:rsidRPr="00852226">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852226">
        <w:rPr>
          <w:rFonts w:ascii="Book Antiqua" w:hAnsi="Book Antiqua"/>
          <w:color w:val="000000"/>
          <w:lang w:eastAsia="es-PR"/>
        </w:rPr>
        <w:t xml:space="preserve">cuya nulidad o </w:t>
      </w:r>
      <w:r w:rsidRPr="00852226">
        <w:rPr>
          <w:rFonts w:ascii="Book Antiqua" w:hAnsi="Book Antiqua"/>
          <w:color w:val="000000"/>
          <w:shd w:val="clear" w:color="auto" w:fill="FFFFFF"/>
          <w:lang w:val="es-ES_tradnl"/>
        </w:rPr>
        <w:t xml:space="preserve">inconstitucionalidad </w:t>
      </w:r>
      <w:r w:rsidRPr="00852226">
        <w:rPr>
          <w:rFonts w:ascii="Book Antiqua" w:hAnsi="Book Antiqua"/>
          <w:color w:val="000000"/>
          <w:lang w:eastAsia="es-PR"/>
        </w:rPr>
        <w:t>haya sido declarada</w:t>
      </w:r>
      <w:r w:rsidRPr="00852226">
        <w:rPr>
          <w:rFonts w:ascii="Book Antiqua" w:hAnsi="Book Antiqua"/>
          <w:color w:val="000000"/>
          <w:shd w:val="clear" w:color="auto" w:fill="FFFFFF"/>
          <w:lang w:val="es-ES_tradnl"/>
        </w:rPr>
        <w:t xml:space="preserve">.  </w:t>
      </w:r>
    </w:p>
    <w:bookmarkEnd w:id="0"/>
    <w:p w14:paraId="4BB232D6" w14:textId="78C62BEA" w:rsidR="00E9594C" w:rsidRPr="00852226" w:rsidRDefault="00C61056" w:rsidP="00F91156">
      <w:pPr>
        <w:shd w:val="clear" w:color="auto" w:fill="FFFFFF"/>
        <w:spacing w:line="480" w:lineRule="auto"/>
        <w:ind w:firstLine="567"/>
        <w:jc w:val="both"/>
        <w:rPr>
          <w:rFonts w:ascii="Book Antiqua" w:hAnsi="Book Antiqua"/>
        </w:rPr>
      </w:pPr>
      <w:r>
        <w:rPr>
          <w:rFonts w:ascii="Book Antiqua" w:hAnsi="Book Antiqua"/>
        </w:rPr>
        <w:t>Artículo 3</w:t>
      </w:r>
      <w:r w:rsidR="00E9594C" w:rsidRPr="00852226">
        <w:rPr>
          <w:rFonts w:ascii="Book Antiqua" w:hAnsi="Book Antiqua"/>
        </w:rPr>
        <w:t>.</w:t>
      </w:r>
      <w:r w:rsidR="00F91156">
        <w:rPr>
          <w:rFonts w:ascii="Book Antiqua" w:hAnsi="Book Antiqua"/>
        </w:rPr>
        <w:t>-</w:t>
      </w:r>
      <w:r w:rsidR="00E9594C" w:rsidRPr="00852226">
        <w:rPr>
          <w:rFonts w:ascii="Book Antiqua" w:hAnsi="Book Antiqua"/>
        </w:rPr>
        <w:t>Vigencia.</w:t>
      </w:r>
    </w:p>
    <w:p w14:paraId="10BC8CCE" w14:textId="6F6358CF" w:rsidR="00901FB5" w:rsidRPr="00E9594C" w:rsidRDefault="00E9594C" w:rsidP="00F91156">
      <w:pPr>
        <w:shd w:val="clear" w:color="auto" w:fill="FFFFFF"/>
        <w:spacing w:line="480" w:lineRule="auto"/>
        <w:ind w:firstLine="567"/>
        <w:jc w:val="both"/>
        <w:rPr>
          <w:rFonts w:ascii="Book Antiqua" w:hAnsi="Book Antiqua"/>
        </w:rPr>
      </w:pPr>
      <w:r w:rsidRPr="00852226">
        <w:rPr>
          <w:rFonts w:ascii="Book Antiqua" w:hAnsi="Book Antiqua"/>
        </w:rPr>
        <w:t>Esta Ley comenzará a regir inmediatamente después de su aprobación.</w:t>
      </w:r>
    </w:p>
    <w:sectPr w:rsidR="00901FB5" w:rsidRPr="00E9594C"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80E56" w14:textId="77777777" w:rsidR="00C00A69" w:rsidRDefault="00C00A69" w:rsidP="00E9594C">
      <w:r>
        <w:separator/>
      </w:r>
    </w:p>
  </w:endnote>
  <w:endnote w:type="continuationSeparator" w:id="0">
    <w:p w14:paraId="124EDE73" w14:textId="77777777" w:rsidR="00C00A69" w:rsidRDefault="00C00A69" w:rsidP="00E9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BA11" w14:textId="77777777" w:rsidR="00C00A69" w:rsidRDefault="00C00A69" w:rsidP="00E9594C">
      <w:r>
        <w:separator/>
      </w:r>
    </w:p>
  </w:footnote>
  <w:footnote w:type="continuationSeparator" w:id="0">
    <w:p w14:paraId="3C0A6F5B" w14:textId="77777777" w:rsidR="00C00A69" w:rsidRDefault="00C00A69" w:rsidP="00E9594C">
      <w:r>
        <w:continuationSeparator/>
      </w:r>
    </w:p>
  </w:footnote>
  <w:footnote w:id="1">
    <w:p w14:paraId="2865AB58" w14:textId="1360A044" w:rsidR="006820DD" w:rsidRPr="009D4C74" w:rsidRDefault="006820DD" w:rsidP="006820DD">
      <w:pPr>
        <w:pStyle w:val="FootnoteText"/>
        <w:jc w:val="both"/>
        <w:rPr>
          <w:rFonts w:ascii="Book Antiqua" w:hAnsi="Book Antiqua"/>
          <w:sz w:val="18"/>
          <w:szCs w:val="18"/>
        </w:rPr>
      </w:pPr>
      <w:r w:rsidRPr="009D4C74">
        <w:rPr>
          <w:rStyle w:val="FootnoteReference"/>
          <w:rFonts w:ascii="Book Antiqua" w:hAnsi="Book Antiqua"/>
          <w:sz w:val="18"/>
          <w:szCs w:val="18"/>
        </w:rPr>
        <w:footnoteRef/>
      </w:r>
      <w:r w:rsidRPr="009D4C74">
        <w:rPr>
          <w:rFonts w:ascii="Book Antiqua" w:hAnsi="Book Antiqua"/>
          <w:sz w:val="18"/>
          <w:szCs w:val="18"/>
        </w:rPr>
        <w:t xml:space="preserve"> </w:t>
      </w:r>
      <w:proofErr w:type="spellStart"/>
      <w:r w:rsidRPr="009D4C74">
        <w:rPr>
          <w:rFonts w:ascii="Book Antiqua" w:hAnsi="Book Antiqua"/>
          <w:sz w:val="18"/>
          <w:szCs w:val="18"/>
        </w:rPr>
        <w:t>Noticel</w:t>
      </w:r>
      <w:proofErr w:type="spellEnd"/>
      <w:r w:rsidRPr="009D4C74">
        <w:rPr>
          <w:rFonts w:ascii="Book Antiqua" w:hAnsi="Book Antiqua"/>
          <w:sz w:val="18"/>
          <w:szCs w:val="18"/>
        </w:rPr>
        <w:t xml:space="preserve">, </w:t>
      </w:r>
      <w:r w:rsidRPr="009D4C74">
        <w:rPr>
          <w:rFonts w:ascii="Book Antiqua" w:hAnsi="Book Antiqua"/>
          <w:i/>
          <w:iCs/>
          <w:sz w:val="18"/>
          <w:szCs w:val="18"/>
        </w:rPr>
        <w:t>Remueven carretón que bloqueaba Expreso Las Américas</w:t>
      </w:r>
      <w:r w:rsidRPr="009D4C74">
        <w:rPr>
          <w:rFonts w:ascii="Book Antiqua" w:hAnsi="Book Antiqua"/>
          <w:sz w:val="18"/>
          <w:szCs w:val="18"/>
        </w:rPr>
        <w:t xml:space="preserve"> (2022),</w:t>
      </w:r>
      <w:r w:rsidRPr="009D4C74">
        <w:rPr>
          <w:rFonts w:ascii="Book Antiqua" w:hAnsi="Book Antiqua"/>
          <w:sz w:val="18"/>
          <w:szCs w:val="18"/>
          <w:lang w:val="es-ES_tradnl"/>
        </w:rPr>
        <w:t xml:space="preserve"> </w:t>
      </w:r>
      <w:r w:rsidRPr="009D4C74">
        <w:rPr>
          <w:rFonts w:ascii="Book Antiqua" w:hAnsi="Book Antiqua"/>
          <w:sz w:val="18"/>
          <w:szCs w:val="18"/>
        </w:rPr>
        <w:t>recuperado</w:t>
      </w:r>
      <w:r w:rsidRPr="009D4C74">
        <w:rPr>
          <w:rFonts w:ascii="Book Antiqua" w:hAnsi="Book Antiqua"/>
          <w:sz w:val="18"/>
          <w:szCs w:val="18"/>
          <w:lang w:val="es-ES_tradnl"/>
        </w:rPr>
        <w:t xml:space="preserve"> en: </w:t>
      </w:r>
      <w:r w:rsidRPr="0011589D">
        <w:rPr>
          <w:rFonts w:ascii="Book Antiqua" w:hAnsi="Book Antiqua"/>
          <w:sz w:val="18"/>
          <w:szCs w:val="18"/>
          <w:lang w:val="es-ES_tradnl"/>
        </w:rPr>
        <w:t>https://www.noticel.com/ahora/20220131/remueven-carreton-que-bloqueaba-el-expreso-las-americas/</w:t>
      </w:r>
      <w:r w:rsidRPr="009D4C74">
        <w:rPr>
          <w:rFonts w:ascii="Book Antiqua" w:hAnsi="Book Antiqua"/>
          <w:sz w:val="18"/>
          <w:szCs w:val="18"/>
        </w:rPr>
        <w:t xml:space="preserve">. </w:t>
      </w:r>
    </w:p>
    <w:p w14:paraId="5F6B072A" w14:textId="77777777" w:rsidR="006820DD" w:rsidRPr="009D4C74" w:rsidRDefault="006820DD" w:rsidP="006820DD">
      <w:pPr>
        <w:pStyle w:val="FootnoteText"/>
        <w:jc w:val="both"/>
        <w:rPr>
          <w:rFonts w:ascii="Book Antiqua" w:hAnsi="Book Antiqua"/>
          <w:sz w:val="18"/>
          <w:szCs w:val="18"/>
          <w:lang w:val="es-ES_tradnl"/>
        </w:rPr>
      </w:pPr>
    </w:p>
  </w:footnote>
  <w:footnote w:id="2">
    <w:p w14:paraId="27FEB8F1" w14:textId="1C34DF88" w:rsidR="006820DD" w:rsidRDefault="006820DD" w:rsidP="006820DD">
      <w:pPr>
        <w:pStyle w:val="FootnoteText"/>
        <w:jc w:val="both"/>
      </w:pPr>
      <w:r w:rsidRPr="009D4C74">
        <w:rPr>
          <w:rStyle w:val="FootnoteReference"/>
          <w:rFonts w:ascii="Book Antiqua" w:hAnsi="Book Antiqua"/>
          <w:sz w:val="18"/>
          <w:szCs w:val="18"/>
        </w:rPr>
        <w:footnoteRef/>
      </w:r>
      <w:r w:rsidRPr="009D4C74">
        <w:rPr>
          <w:rFonts w:ascii="Book Antiqua" w:hAnsi="Book Antiqua"/>
          <w:sz w:val="18"/>
          <w:szCs w:val="18"/>
        </w:rPr>
        <w:t xml:space="preserve"> El Nuevo Día, </w:t>
      </w:r>
      <w:r w:rsidRPr="009D4C74">
        <w:rPr>
          <w:rFonts w:ascii="Book Antiqua" w:hAnsi="Book Antiqua"/>
          <w:i/>
          <w:iCs/>
          <w:sz w:val="18"/>
          <w:szCs w:val="18"/>
        </w:rPr>
        <w:t>Capturan en vídeo a motoristas paralizando el expreso Las Américas</w:t>
      </w:r>
      <w:r w:rsidRPr="009D4C74">
        <w:rPr>
          <w:rFonts w:ascii="Book Antiqua" w:hAnsi="Book Antiqua"/>
          <w:sz w:val="18"/>
          <w:szCs w:val="18"/>
        </w:rPr>
        <w:t xml:space="preserve"> (2021), recuperado en: </w:t>
      </w:r>
      <w:r w:rsidRPr="0011589D">
        <w:rPr>
          <w:rFonts w:ascii="Book Antiqua" w:hAnsi="Book Antiqua"/>
          <w:sz w:val="18"/>
          <w:szCs w:val="18"/>
        </w:rPr>
        <w:t>https://www.elnuevodia.com/noticias/seguridad/notas/capturan-en-video-a-motoristas-paralizando-el-expreso-las-americas/</w:t>
      </w:r>
      <w:r w:rsidRPr="009D4C74">
        <w:rPr>
          <w:rFonts w:ascii="Book Antiqua" w:hAnsi="Book Antiqua"/>
          <w:sz w:val="18"/>
          <w:szCs w:val="18"/>
        </w:rPr>
        <w:t>.</w:t>
      </w:r>
      <w:r>
        <w:t xml:space="preserve"> </w:t>
      </w:r>
    </w:p>
    <w:p w14:paraId="7209B17E" w14:textId="77777777" w:rsidR="006820DD" w:rsidRPr="009D4C74" w:rsidRDefault="006820DD" w:rsidP="006820DD">
      <w:pPr>
        <w:pStyle w:val="FootnoteText"/>
        <w:jc w:val="both"/>
        <w:rPr>
          <w:lang w:val="es-ES_tradnl"/>
        </w:rPr>
      </w:pPr>
    </w:p>
  </w:footnote>
  <w:footnote w:id="3">
    <w:p w14:paraId="78EB1499" w14:textId="59C362B9" w:rsidR="006820DD" w:rsidRPr="00CD7987" w:rsidRDefault="006820DD" w:rsidP="006820DD">
      <w:pPr>
        <w:pStyle w:val="FootnoteText"/>
        <w:jc w:val="both"/>
        <w:rPr>
          <w:rFonts w:ascii="Book Antiqua" w:hAnsi="Book Antiqua"/>
          <w:sz w:val="18"/>
          <w:szCs w:val="18"/>
          <w:lang w:val="es-ES_tradnl"/>
        </w:rPr>
      </w:pPr>
      <w:r w:rsidRPr="005B639A">
        <w:rPr>
          <w:rStyle w:val="FootnoteReference"/>
          <w:rFonts w:ascii="Book Antiqua" w:hAnsi="Book Antiqua"/>
          <w:sz w:val="18"/>
          <w:szCs w:val="18"/>
        </w:rPr>
        <w:footnoteRef/>
      </w:r>
      <w:r w:rsidRPr="00FA0A19">
        <w:rPr>
          <w:rFonts w:ascii="Book Antiqua" w:hAnsi="Book Antiqua"/>
          <w:sz w:val="18"/>
          <w:szCs w:val="18"/>
          <w:lang w:val="en-US"/>
        </w:rPr>
        <w:t xml:space="preserve"> CONST. ELA </w:t>
      </w:r>
      <w:r w:rsidRPr="00565655">
        <w:rPr>
          <w:rFonts w:ascii="Book Antiqua" w:hAnsi="Book Antiqua"/>
          <w:strike/>
          <w:sz w:val="18"/>
          <w:szCs w:val="18"/>
          <w:lang w:val="en-US"/>
        </w:rPr>
        <w:t>art.</w:t>
      </w:r>
      <w:r w:rsidRPr="00FA0A19">
        <w:rPr>
          <w:rFonts w:ascii="Book Antiqua" w:hAnsi="Book Antiqua"/>
          <w:sz w:val="18"/>
          <w:szCs w:val="18"/>
          <w:lang w:val="en-US"/>
        </w:rPr>
        <w:t xml:space="preserve"> </w:t>
      </w:r>
      <w:r w:rsidR="00565655" w:rsidRPr="00565655">
        <w:rPr>
          <w:rFonts w:ascii="Book Antiqua" w:hAnsi="Book Antiqua"/>
          <w:i/>
          <w:iCs/>
          <w:sz w:val="18"/>
          <w:szCs w:val="18"/>
          <w:u w:val="single"/>
          <w:lang w:val="en-US"/>
        </w:rPr>
        <w:t>Art.</w:t>
      </w:r>
      <w:r w:rsidR="00565655">
        <w:rPr>
          <w:rFonts w:ascii="Book Antiqua" w:hAnsi="Book Antiqua"/>
          <w:sz w:val="18"/>
          <w:szCs w:val="18"/>
          <w:lang w:val="en-US"/>
        </w:rPr>
        <w:t xml:space="preserve"> </w:t>
      </w:r>
      <w:r w:rsidRPr="00FA0A19">
        <w:rPr>
          <w:rFonts w:ascii="Book Antiqua" w:hAnsi="Book Antiqua"/>
          <w:sz w:val="18"/>
          <w:szCs w:val="18"/>
          <w:lang w:val="en-US"/>
        </w:rPr>
        <w:t xml:space="preserve">II, </w:t>
      </w:r>
      <w:r w:rsidRPr="001E1204">
        <w:rPr>
          <w:rFonts w:ascii="Book Antiqua" w:hAnsi="Book Antiqua"/>
          <w:strike/>
          <w:sz w:val="18"/>
          <w:szCs w:val="18"/>
          <w:lang w:val="en-US"/>
        </w:rPr>
        <w:t xml:space="preserve">§ 4, LPRA, </w:t>
      </w:r>
      <w:proofErr w:type="spellStart"/>
      <w:r w:rsidRPr="001E1204">
        <w:rPr>
          <w:rFonts w:ascii="Book Antiqua" w:hAnsi="Book Antiqua"/>
          <w:strike/>
          <w:sz w:val="18"/>
          <w:szCs w:val="18"/>
          <w:lang w:val="en-US"/>
        </w:rPr>
        <w:t>Tomo</w:t>
      </w:r>
      <w:proofErr w:type="spellEnd"/>
      <w:r w:rsidRPr="001E1204">
        <w:rPr>
          <w:rFonts w:ascii="Book Antiqua" w:hAnsi="Book Antiqua"/>
          <w:strike/>
          <w:sz w:val="18"/>
          <w:szCs w:val="18"/>
          <w:lang w:val="en-US"/>
        </w:rPr>
        <w:t xml:space="preserve"> 1 y U.S. </w:t>
      </w:r>
      <w:r w:rsidR="008F7419">
        <w:rPr>
          <w:rFonts w:ascii="Book Antiqua" w:hAnsi="Book Antiqua"/>
          <w:sz w:val="18"/>
          <w:szCs w:val="18"/>
          <w:lang w:val="en-US"/>
        </w:rPr>
        <w:t xml:space="preserve"> </w:t>
      </w:r>
      <w:r w:rsidR="008F7419" w:rsidRPr="003116B8">
        <w:rPr>
          <w:rFonts w:ascii="Book Antiqua" w:hAnsi="Book Antiqua"/>
          <w:i/>
          <w:iCs/>
          <w:sz w:val="18"/>
          <w:szCs w:val="18"/>
          <w:u w:val="single"/>
        </w:rPr>
        <w:t>Emda.1,</w:t>
      </w:r>
      <w:r w:rsidR="008F7419" w:rsidRPr="003116B8">
        <w:rPr>
          <w:rFonts w:ascii="Book Antiqua" w:hAnsi="Book Antiqua"/>
          <w:sz w:val="18"/>
          <w:szCs w:val="18"/>
        </w:rPr>
        <w:t xml:space="preserve"> </w:t>
      </w:r>
      <w:r w:rsidRPr="003116B8">
        <w:rPr>
          <w:rFonts w:ascii="Book Antiqua" w:hAnsi="Book Antiqua"/>
          <w:sz w:val="18"/>
          <w:szCs w:val="18"/>
        </w:rPr>
        <w:t xml:space="preserve">CONST. </w:t>
      </w:r>
      <w:proofErr w:type="spellStart"/>
      <w:r w:rsidRPr="003116B8">
        <w:rPr>
          <w:rFonts w:ascii="Book Antiqua" w:hAnsi="Book Antiqua"/>
          <w:strike/>
          <w:sz w:val="18"/>
          <w:szCs w:val="18"/>
        </w:rPr>
        <w:t>amend</w:t>
      </w:r>
      <w:proofErr w:type="spellEnd"/>
      <w:r w:rsidRPr="003116B8">
        <w:rPr>
          <w:rFonts w:ascii="Book Antiqua" w:hAnsi="Book Antiqua"/>
          <w:strike/>
          <w:sz w:val="18"/>
          <w:szCs w:val="18"/>
        </w:rPr>
        <w:t xml:space="preserve">. </w:t>
      </w:r>
      <w:r w:rsidRPr="008F7419">
        <w:rPr>
          <w:rFonts w:ascii="Book Antiqua" w:hAnsi="Book Antiqua"/>
          <w:strike/>
          <w:sz w:val="18"/>
          <w:szCs w:val="18"/>
          <w:lang w:val="es-ES_tradnl"/>
        </w:rPr>
        <w:t>1</w:t>
      </w:r>
      <w:r w:rsidRPr="00CD7987">
        <w:rPr>
          <w:rFonts w:ascii="Book Antiqua" w:hAnsi="Book Antiqua"/>
          <w:sz w:val="18"/>
          <w:szCs w:val="18"/>
          <w:lang w:val="es-ES_tradnl"/>
        </w:rPr>
        <w:t xml:space="preserve">, </w:t>
      </w:r>
      <w:proofErr w:type="gramStart"/>
      <w:r w:rsidR="006A6DF3" w:rsidRPr="0046431C">
        <w:rPr>
          <w:rFonts w:ascii="Book Antiqua" w:hAnsi="Book Antiqua"/>
          <w:i/>
          <w:iCs/>
          <w:sz w:val="18"/>
          <w:szCs w:val="18"/>
          <w:u w:val="single"/>
          <w:lang w:val="es-ES_tradnl"/>
        </w:rPr>
        <w:t>EE</w:t>
      </w:r>
      <w:r w:rsidR="0046431C" w:rsidRPr="0046431C">
        <w:rPr>
          <w:rFonts w:ascii="Book Antiqua" w:hAnsi="Book Antiqua"/>
          <w:i/>
          <w:iCs/>
          <w:sz w:val="18"/>
          <w:szCs w:val="18"/>
          <w:u w:val="single"/>
          <w:lang w:val="es-ES_tradnl"/>
        </w:rPr>
        <w:t>.UU.</w:t>
      </w:r>
      <w:proofErr w:type="gramEnd"/>
      <w:r w:rsidR="0046431C" w:rsidRPr="0046431C">
        <w:rPr>
          <w:rFonts w:ascii="Book Antiqua" w:hAnsi="Book Antiqua"/>
          <w:i/>
          <w:iCs/>
          <w:sz w:val="18"/>
          <w:szCs w:val="18"/>
          <w:u w:val="single"/>
          <w:lang w:val="es-ES_tradnl"/>
        </w:rPr>
        <w:t>, LPRA, Tomo 1,</w:t>
      </w:r>
      <w:r w:rsidR="0046431C">
        <w:rPr>
          <w:rFonts w:ascii="Book Antiqua" w:hAnsi="Book Antiqua"/>
          <w:sz w:val="18"/>
          <w:szCs w:val="18"/>
          <w:lang w:val="es-ES_tradnl"/>
        </w:rPr>
        <w:t xml:space="preserve"> </w:t>
      </w:r>
      <w:r w:rsidRPr="00CD7987">
        <w:rPr>
          <w:rFonts w:ascii="Book Antiqua" w:hAnsi="Book Antiqua"/>
          <w:sz w:val="18"/>
          <w:szCs w:val="18"/>
          <w:lang w:val="es-ES_tradnl"/>
        </w:rPr>
        <w:t>respectivamente.</w:t>
      </w:r>
    </w:p>
    <w:p w14:paraId="6D822C16" w14:textId="77777777" w:rsidR="006820DD" w:rsidRPr="00CD7987" w:rsidRDefault="006820DD" w:rsidP="006820DD">
      <w:pPr>
        <w:pStyle w:val="FootnoteText"/>
        <w:jc w:val="both"/>
        <w:rPr>
          <w:rFonts w:ascii="Book Antiqua" w:hAnsi="Book Antiqua"/>
          <w:sz w:val="18"/>
          <w:szCs w:val="18"/>
          <w:lang w:val="es-ES_tradnl"/>
        </w:rPr>
      </w:pPr>
    </w:p>
  </w:footnote>
  <w:footnote w:id="4">
    <w:p w14:paraId="35E24799" w14:textId="77777777" w:rsidR="006820DD" w:rsidRPr="003116B8" w:rsidRDefault="006820DD" w:rsidP="006820DD">
      <w:pPr>
        <w:jc w:val="both"/>
        <w:rPr>
          <w:rFonts w:ascii="Book Antiqua" w:hAnsi="Book Antiqua"/>
          <w:sz w:val="18"/>
          <w:szCs w:val="18"/>
          <w:lang w:val="en-US"/>
        </w:rPr>
      </w:pPr>
      <w:r w:rsidRPr="005B639A">
        <w:rPr>
          <w:rStyle w:val="FootnoteReference"/>
          <w:rFonts w:ascii="Book Antiqua" w:hAnsi="Book Antiqua"/>
          <w:sz w:val="18"/>
          <w:szCs w:val="18"/>
        </w:rPr>
        <w:footnoteRef/>
      </w:r>
      <w:r w:rsidRPr="003116B8">
        <w:rPr>
          <w:rFonts w:ascii="Book Antiqua" w:hAnsi="Book Antiqua"/>
          <w:sz w:val="18"/>
          <w:szCs w:val="18"/>
          <w:lang w:val="en-US"/>
        </w:rPr>
        <w:t xml:space="preserve"> </w:t>
      </w:r>
      <w:r w:rsidRPr="003116B8">
        <w:rPr>
          <w:rFonts w:ascii="Book Antiqua" w:hAnsi="Book Antiqua"/>
          <w:i/>
          <w:iCs/>
          <w:sz w:val="18"/>
          <w:szCs w:val="18"/>
          <w:lang w:val="en-US"/>
        </w:rPr>
        <w:t xml:space="preserve">Landmark </w:t>
      </w:r>
      <w:proofErr w:type="spellStart"/>
      <w:r w:rsidRPr="003116B8">
        <w:rPr>
          <w:rFonts w:ascii="Book Antiqua" w:hAnsi="Book Antiqua"/>
          <w:i/>
          <w:iCs/>
          <w:sz w:val="18"/>
          <w:szCs w:val="18"/>
          <w:lang w:val="en-US"/>
        </w:rPr>
        <w:t>Commc’nc</w:t>
      </w:r>
      <w:proofErr w:type="spellEnd"/>
      <w:r w:rsidRPr="003116B8">
        <w:rPr>
          <w:rFonts w:ascii="Book Antiqua" w:hAnsi="Book Antiqua"/>
          <w:i/>
          <w:iCs/>
          <w:sz w:val="18"/>
          <w:szCs w:val="18"/>
          <w:lang w:val="en-US"/>
        </w:rPr>
        <w:t>, Inc. v. Virginia</w:t>
      </w:r>
      <w:r w:rsidRPr="003116B8">
        <w:rPr>
          <w:rFonts w:ascii="Book Antiqua" w:hAnsi="Book Antiqua"/>
          <w:sz w:val="18"/>
          <w:szCs w:val="18"/>
          <w:lang w:val="en-US"/>
        </w:rPr>
        <w:t>, 435 U.S. 829, 838 (1978).</w:t>
      </w:r>
    </w:p>
    <w:p w14:paraId="44E178F2" w14:textId="77777777" w:rsidR="006820DD" w:rsidRPr="003116B8" w:rsidRDefault="006820DD" w:rsidP="006820DD">
      <w:pPr>
        <w:pStyle w:val="FootnoteText"/>
        <w:jc w:val="both"/>
        <w:rPr>
          <w:rFonts w:ascii="Book Antiqua" w:hAnsi="Book Antiqua"/>
          <w:sz w:val="18"/>
          <w:szCs w:val="18"/>
          <w:lang w:val="en-US"/>
        </w:rPr>
      </w:pPr>
    </w:p>
  </w:footnote>
  <w:footnote w:id="5">
    <w:p w14:paraId="18E9B6E1" w14:textId="77777777" w:rsidR="006820DD" w:rsidRPr="00A510C3" w:rsidRDefault="006820DD" w:rsidP="006820DD">
      <w:pPr>
        <w:pStyle w:val="FootnoteText"/>
        <w:jc w:val="both"/>
        <w:rPr>
          <w:rFonts w:ascii="Book Antiqua" w:hAnsi="Book Antiqua"/>
          <w:sz w:val="18"/>
          <w:szCs w:val="18"/>
        </w:rPr>
      </w:pPr>
      <w:r w:rsidRPr="00A510C3">
        <w:rPr>
          <w:rStyle w:val="FootnoteReference"/>
          <w:rFonts w:ascii="Book Antiqua" w:hAnsi="Book Antiqua"/>
          <w:sz w:val="18"/>
          <w:szCs w:val="18"/>
        </w:rPr>
        <w:footnoteRef/>
      </w:r>
      <w:r w:rsidRPr="00A510C3">
        <w:rPr>
          <w:rFonts w:ascii="Book Antiqua" w:hAnsi="Book Antiqua"/>
          <w:sz w:val="18"/>
          <w:szCs w:val="18"/>
        </w:rPr>
        <w:t xml:space="preserve"> </w:t>
      </w:r>
      <w:r w:rsidRPr="00A510C3">
        <w:rPr>
          <w:rFonts w:ascii="Book Antiqua" w:hAnsi="Book Antiqua"/>
          <w:i/>
          <w:iCs/>
          <w:sz w:val="18"/>
          <w:szCs w:val="18"/>
        </w:rPr>
        <w:t>U.P.R. v. Laborde Torres et als</w:t>
      </w:r>
      <w:r w:rsidRPr="00A510C3">
        <w:rPr>
          <w:rFonts w:ascii="Book Antiqua" w:hAnsi="Book Antiqua"/>
          <w:sz w:val="18"/>
          <w:szCs w:val="18"/>
        </w:rPr>
        <w:t>.,</w:t>
      </w:r>
      <w:r w:rsidRPr="00A510C3">
        <w:rPr>
          <w:rFonts w:ascii="Book Antiqua" w:hAnsi="Book Antiqua" w:cs="Arial"/>
          <w:color w:val="4D5156"/>
          <w:sz w:val="18"/>
          <w:szCs w:val="18"/>
          <w:shd w:val="clear" w:color="auto" w:fill="FFFFFF"/>
        </w:rPr>
        <w:t>180 DPR 253 (2010</w:t>
      </w:r>
      <w:r w:rsidRPr="00A510C3">
        <w:rPr>
          <w:rFonts w:ascii="Book Antiqua" w:hAnsi="Book Antiqua"/>
          <w:sz w:val="18"/>
          <w:szCs w:val="18"/>
        </w:rPr>
        <w:t xml:space="preserve">); </w:t>
      </w:r>
      <w:proofErr w:type="spellStart"/>
      <w:r w:rsidRPr="00A510C3">
        <w:rPr>
          <w:rFonts w:ascii="Book Antiqua" w:hAnsi="Book Antiqua"/>
          <w:i/>
          <w:iCs/>
          <w:sz w:val="18"/>
          <w:szCs w:val="18"/>
        </w:rPr>
        <w:t>Asoc</w:t>
      </w:r>
      <w:proofErr w:type="spellEnd"/>
      <w:r w:rsidRPr="00A510C3">
        <w:rPr>
          <w:rFonts w:ascii="Book Antiqua" w:hAnsi="Book Antiqua"/>
          <w:i/>
          <w:iCs/>
          <w:sz w:val="18"/>
          <w:szCs w:val="18"/>
        </w:rPr>
        <w:t xml:space="preserve">. de Maestros v. </w:t>
      </w:r>
      <w:proofErr w:type="spellStart"/>
      <w:r w:rsidRPr="00A510C3">
        <w:rPr>
          <w:rFonts w:ascii="Book Antiqua" w:hAnsi="Book Antiqua"/>
          <w:i/>
          <w:iCs/>
          <w:sz w:val="18"/>
          <w:szCs w:val="18"/>
        </w:rPr>
        <w:t>Srio</w:t>
      </w:r>
      <w:proofErr w:type="spellEnd"/>
      <w:r w:rsidRPr="00A510C3">
        <w:rPr>
          <w:rFonts w:ascii="Book Antiqua" w:hAnsi="Book Antiqua"/>
          <w:i/>
          <w:iCs/>
          <w:sz w:val="18"/>
          <w:szCs w:val="18"/>
        </w:rPr>
        <w:t>. de Educación</w:t>
      </w:r>
      <w:r w:rsidRPr="00A510C3">
        <w:rPr>
          <w:rFonts w:ascii="Book Antiqua" w:hAnsi="Book Antiqua"/>
          <w:sz w:val="18"/>
          <w:szCs w:val="18"/>
        </w:rPr>
        <w:t>, 156 DPR 754, 768 (2002).</w:t>
      </w:r>
    </w:p>
    <w:p w14:paraId="59199CD8" w14:textId="77777777" w:rsidR="006820DD" w:rsidRPr="00A510C3" w:rsidRDefault="006820DD" w:rsidP="006820DD">
      <w:pPr>
        <w:pStyle w:val="FootnoteText"/>
        <w:jc w:val="both"/>
        <w:rPr>
          <w:rFonts w:ascii="Book Antiqua" w:hAnsi="Book Antiqua"/>
          <w:sz w:val="18"/>
          <w:szCs w:val="18"/>
          <w:lang w:val="es-ES_tradnl"/>
        </w:rPr>
      </w:pPr>
    </w:p>
  </w:footnote>
  <w:footnote w:id="6">
    <w:p w14:paraId="46A2F2C5" w14:textId="77777777" w:rsidR="006820DD" w:rsidRPr="00A510C3" w:rsidRDefault="006820DD" w:rsidP="006820DD">
      <w:pPr>
        <w:pStyle w:val="FootnoteText"/>
        <w:jc w:val="both"/>
        <w:rPr>
          <w:lang w:val="en-US"/>
        </w:rPr>
      </w:pPr>
      <w:r w:rsidRPr="00A510C3">
        <w:rPr>
          <w:rStyle w:val="FootnoteReference"/>
          <w:rFonts w:ascii="Book Antiqua" w:hAnsi="Book Antiqua"/>
          <w:sz w:val="18"/>
          <w:szCs w:val="18"/>
        </w:rPr>
        <w:footnoteRef/>
      </w:r>
      <w:r w:rsidRPr="00A510C3">
        <w:rPr>
          <w:rFonts w:ascii="Book Antiqua" w:hAnsi="Book Antiqua"/>
          <w:sz w:val="18"/>
          <w:szCs w:val="18"/>
        </w:rPr>
        <w:t xml:space="preserve"> </w:t>
      </w:r>
      <w:r w:rsidRPr="00A510C3">
        <w:rPr>
          <w:rFonts w:ascii="Book Antiqua" w:hAnsi="Book Antiqua"/>
          <w:i/>
          <w:iCs/>
          <w:sz w:val="18"/>
          <w:szCs w:val="18"/>
        </w:rPr>
        <w:t>Ibid</w:t>
      </w:r>
      <w:r w:rsidRPr="00A510C3">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B6EF"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9FB6AF" w14:textId="77777777" w:rsidR="00E9594C" w:rsidRDefault="00E9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5697"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4A3C654" w14:textId="77777777" w:rsidR="00E9594C" w:rsidRDefault="00E959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6A02F" w14:textId="77777777" w:rsidR="003116B8" w:rsidRPr="003116B8" w:rsidRDefault="003116B8" w:rsidP="003116B8">
    <w:pPr>
      <w:pStyle w:val="Header"/>
      <w:jc w:val="center"/>
      <w:rPr>
        <w:sz w:val="28"/>
        <w:szCs w:val="28"/>
      </w:rPr>
    </w:pPr>
    <w:r w:rsidRPr="003116B8">
      <w:rPr>
        <w:sz w:val="28"/>
        <w:szCs w:val="28"/>
      </w:rPr>
      <w:t>ENTIRILLADO ELECTRÓNICO</w:t>
    </w:r>
  </w:p>
  <w:p w14:paraId="1B06B03D" w14:textId="77777777" w:rsidR="003116B8" w:rsidRDefault="003116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4C"/>
    <w:rsid w:val="000123D9"/>
    <w:rsid w:val="00016920"/>
    <w:rsid w:val="000312FC"/>
    <w:rsid w:val="00060FBC"/>
    <w:rsid w:val="0006628F"/>
    <w:rsid w:val="00077EA3"/>
    <w:rsid w:val="00096AFE"/>
    <w:rsid w:val="000A2BF4"/>
    <w:rsid w:val="000C07AA"/>
    <w:rsid w:val="000D72B7"/>
    <w:rsid w:val="0011589D"/>
    <w:rsid w:val="00137B99"/>
    <w:rsid w:val="00167D2A"/>
    <w:rsid w:val="00184C4A"/>
    <w:rsid w:val="001D3483"/>
    <w:rsid w:val="001E1204"/>
    <w:rsid w:val="002043B0"/>
    <w:rsid w:val="00220458"/>
    <w:rsid w:val="0022084A"/>
    <w:rsid w:val="00221344"/>
    <w:rsid w:val="00255A6C"/>
    <w:rsid w:val="00276CD8"/>
    <w:rsid w:val="00285133"/>
    <w:rsid w:val="002C7347"/>
    <w:rsid w:val="002E44BC"/>
    <w:rsid w:val="003116B8"/>
    <w:rsid w:val="00320F6C"/>
    <w:rsid w:val="00327FD2"/>
    <w:rsid w:val="00395990"/>
    <w:rsid w:val="003B20DD"/>
    <w:rsid w:val="003D2FA5"/>
    <w:rsid w:val="003E02F8"/>
    <w:rsid w:val="003F41F8"/>
    <w:rsid w:val="00414843"/>
    <w:rsid w:val="0046431C"/>
    <w:rsid w:val="004646D5"/>
    <w:rsid w:val="00484462"/>
    <w:rsid w:val="0048520C"/>
    <w:rsid w:val="00487B34"/>
    <w:rsid w:val="004B1D1E"/>
    <w:rsid w:val="004D2291"/>
    <w:rsid w:val="00505F86"/>
    <w:rsid w:val="00524672"/>
    <w:rsid w:val="0055722A"/>
    <w:rsid w:val="00565655"/>
    <w:rsid w:val="005B639A"/>
    <w:rsid w:val="005C2EF7"/>
    <w:rsid w:val="00621A12"/>
    <w:rsid w:val="006276ED"/>
    <w:rsid w:val="006423E4"/>
    <w:rsid w:val="006820DD"/>
    <w:rsid w:val="0068273C"/>
    <w:rsid w:val="00695D3C"/>
    <w:rsid w:val="006A3876"/>
    <w:rsid w:val="006A6DF3"/>
    <w:rsid w:val="0070011E"/>
    <w:rsid w:val="00705626"/>
    <w:rsid w:val="00722C7D"/>
    <w:rsid w:val="00733B1C"/>
    <w:rsid w:val="007636E2"/>
    <w:rsid w:val="00763A5F"/>
    <w:rsid w:val="007A0015"/>
    <w:rsid w:val="007C4774"/>
    <w:rsid w:val="007F4FBC"/>
    <w:rsid w:val="008015C2"/>
    <w:rsid w:val="0083138B"/>
    <w:rsid w:val="00880BC8"/>
    <w:rsid w:val="00890007"/>
    <w:rsid w:val="0089392C"/>
    <w:rsid w:val="008A3346"/>
    <w:rsid w:val="008B0F67"/>
    <w:rsid w:val="008F692D"/>
    <w:rsid w:val="008F7419"/>
    <w:rsid w:val="00901FB5"/>
    <w:rsid w:val="0092347F"/>
    <w:rsid w:val="00925BD5"/>
    <w:rsid w:val="0095159C"/>
    <w:rsid w:val="00963115"/>
    <w:rsid w:val="009807DB"/>
    <w:rsid w:val="009C466E"/>
    <w:rsid w:val="009F7250"/>
    <w:rsid w:val="00A05F95"/>
    <w:rsid w:val="00A46398"/>
    <w:rsid w:val="00A54F88"/>
    <w:rsid w:val="00AA38B2"/>
    <w:rsid w:val="00AF21FE"/>
    <w:rsid w:val="00AF29CE"/>
    <w:rsid w:val="00B22245"/>
    <w:rsid w:val="00B356B1"/>
    <w:rsid w:val="00B425DC"/>
    <w:rsid w:val="00B45273"/>
    <w:rsid w:val="00B61E69"/>
    <w:rsid w:val="00BD11EE"/>
    <w:rsid w:val="00C00A69"/>
    <w:rsid w:val="00C16436"/>
    <w:rsid w:val="00C26CE7"/>
    <w:rsid w:val="00C4323F"/>
    <w:rsid w:val="00C56EE2"/>
    <w:rsid w:val="00C571AD"/>
    <w:rsid w:val="00C61056"/>
    <w:rsid w:val="00C82433"/>
    <w:rsid w:val="00CB735E"/>
    <w:rsid w:val="00CC126F"/>
    <w:rsid w:val="00CD1A2A"/>
    <w:rsid w:val="00CD7987"/>
    <w:rsid w:val="00CE3F31"/>
    <w:rsid w:val="00CE5D7E"/>
    <w:rsid w:val="00CF35D4"/>
    <w:rsid w:val="00D02CA1"/>
    <w:rsid w:val="00D13F1C"/>
    <w:rsid w:val="00D435F5"/>
    <w:rsid w:val="00D647C5"/>
    <w:rsid w:val="00D705A5"/>
    <w:rsid w:val="00D72C1A"/>
    <w:rsid w:val="00D838AF"/>
    <w:rsid w:val="00DA152A"/>
    <w:rsid w:val="00DA1698"/>
    <w:rsid w:val="00DA3F21"/>
    <w:rsid w:val="00DD621A"/>
    <w:rsid w:val="00DE4704"/>
    <w:rsid w:val="00E42B5E"/>
    <w:rsid w:val="00E464DB"/>
    <w:rsid w:val="00E74A81"/>
    <w:rsid w:val="00E9594C"/>
    <w:rsid w:val="00EC333A"/>
    <w:rsid w:val="00EE2651"/>
    <w:rsid w:val="00EE736B"/>
    <w:rsid w:val="00EF4519"/>
    <w:rsid w:val="00EF784B"/>
    <w:rsid w:val="00F02C9D"/>
    <w:rsid w:val="00F02EC2"/>
    <w:rsid w:val="00F230C9"/>
    <w:rsid w:val="00F65948"/>
    <w:rsid w:val="00F711ED"/>
    <w:rsid w:val="00F91156"/>
    <w:rsid w:val="00FB56B6"/>
    <w:rsid w:val="00FC7B71"/>
    <w:rsid w:val="00FE0808"/>
    <w:rsid w:val="00FF0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99060"/>
  <w15:chartTrackingRefBased/>
  <w15:docId w15:val="{D330D443-1313-453A-86FC-1CA9BF70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94C"/>
    <w:pPr>
      <w:spacing w:after="0" w:line="240" w:lineRule="auto"/>
    </w:pPr>
    <w:rPr>
      <w:rFonts w:ascii="Times New Roman" w:eastAsia="Times New Roman" w:hAnsi="Times New Roman" w:cs="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9594C"/>
    <w:pPr>
      <w:ind w:left="720"/>
      <w:jc w:val="both"/>
    </w:pPr>
  </w:style>
  <w:style w:type="character" w:customStyle="1" w:styleId="BodyTextIndentChar">
    <w:name w:val="Body Text Indent Char"/>
    <w:basedOn w:val="DefaultParagraphFont"/>
    <w:link w:val="BodyTextIndent"/>
    <w:rsid w:val="00E9594C"/>
    <w:rPr>
      <w:rFonts w:ascii="Times New Roman" w:eastAsia="Times New Roman" w:hAnsi="Times New Roman" w:cs="Times New Roman"/>
      <w:sz w:val="24"/>
      <w:szCs w:val="24"/>
      <w:lang w:val="es-PR"/>
    </w:rPr>
  </w:style>
  <w:style w:type="paragraph" w:styleId="Header">
    <w:name w:val="header"/>
    <w:basedOn w:val="Normal"/>
    <w:link w:val="HeaderChar"/>
    <w:rsid w:val="00E9594C"/>
    <w:pPr>
      <w:tabs>
        <w:tab w:val="center" w:pos="4320"/>
        <w:tab w:val="right" w:pos="8640"/>
      </w:tabs>
    </w:pPr>
  </w:style>
  <w:style w:type="character" w:customStyle="1" w:styleId="HeaderChar">
    <w:name w:val="Header Char"/>
    <w:basedOn w:val="DefaultParagraphFont"/>
    <w:link w:val="Header"/>
    <w:rsid w:val="00E9594C"/>
    <w:rPr>
      <w:rFonts w:ascii="Times New Roman" w:eastAsia="Times New Roman" w:hAnsi="Times New Roman" w:cs="Times New Roman"/>
      <w:sz w:val="24"/>
      <w:szCs w:val="24"/>
      <w:lang w:val="es-PR"/>
    </w:rPr>
  </w:style>
  <w:style w:type="character" w:styleId="PageNumber">
    <w:name w:val="page number"/>
    <w:basedOn w:val="DefaultParagraphFont"/>
    <w:rsid w:val="00E9594C"/>
  </w:style>
  <w:style w:type="character" w:styleId="Hyperlink">
    <w:name w:val="Hyperlink"/>
    <w:uiPriority w:val="99"/>
    <w:unhideWhenUsed/>
    <w:rsid w:val="00E9594C"/>
    <w:rPr>
      <w:color w:val="0000FF"/>
      <w:u w:val="single"/>
    </w:rPr>
  </w:style>
  <w:style w:type="paragraph" w:styleId="FootnoteText">
    <w:name w:val="footnote text"/>
    <w:basedOn w:val="Normal"/>
    <w:link w:val="FootnoteTextChar"/>
    <w:uiPriority w:val="99"/>
    <w:unhideWhenUsed/>
    <w:rsid w:val="00E9594C"/>
    <w:rPr>
      <w:sz w:val="20"/>
      <w:szCs w:val="20"/>
    </w:rPr>
  </w:style>
  <w:style w:type="character" w:customStyle="1" w:styleId="FootnoteTextChar">
    <w:name w:val="Footnote Text Char"/>
    <w:basedOn w:val="DefaultParagraphFont"/>
    <w:link w:val="FootnoteText"/>
    <w:uiPriority w:val="99"/>
    <w:rsid w:val="00E9594C"/>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9594C"/>
    <w:rPr>
      <w:vertAlign w:val="superscript"/>
    </w:rPr>
  </w:style>
  <w:style w:type="paragraph" w:styleId="NoSpacing">
    <w:name w:val="No Spacing"/>
    <w:uiPriority w:val="99"/>
    <w:qFormat/>
    <w:rsid w:val="00E9594C"/>
    <w:pPr>
      <w:spacing w:after="0" w:line="240" w:lineRule="auto"/>
    </w:pPr>
    <w:rPr>
      <w:rFonts w:ascii="Calibri" w:eastAsia="Times New Roman" w:hAnsi="Calibri" w:cs="Times New Roman"/>
      <w:lang w:val="es-PR"/>
    </w:rPr>
  </w:style>
  <w:style w:type="character" w:styleId="LineNumber">
    <w:name w:val="line number"/>
    <w:basedOn w:val="DefaultParagraphFont"/>
    <w:uiPriority w:val="99"/>
    <w:semiHidden/>
    <w:unhideWhenUsed/>
    <w:rsid w:val="00E9594C"/>
  </w:style>
  <w:style w:type="character" w:styleId="Emphasis">
    <w:name w:val="Emphasis"/>
    <w:basedOn w:val="DefaultParagraphFont"/>
    <w:uiPriority w:val="20"/>
    <w:qFormat/>
    <w:rsid w:val="0089392C"/>
    <w:rPr>
      <w:i/>
      <w:iCs/>
    </w:rPr>
  </w:style>
  <w:style w:type="paragraph" w:styleId="NormalWeb">
    <w:name w:val="Normal (Web)"/>
    <w:basedOn w:val="Normal"/>
    <w:uiPriority w:val="99"/>
    <w:semiHidden/>
    <w:unhideWhenUsed/>
    <w:rsid w:val="00695D3C"/>
    <w:pPr>
      <w:spacing w:before="100" w:beforeAutospacing="1" w:after="100" w:afterAutospacing="1"/>
    </w:pPr>
  </w:style>
  <w:style w:type="paragraph" w:styleId="Footer">
    <w:name w:val="footer"/>
    <w:basedOn w:val="Normal"/>
    <w:link w:val="FooterChar"/>
    <w:uiPriority w:val="99"/>
    <w:unhideWhenUsed/>
    <w:rsid w:val="00CC126F"/>
    <w:pPr>
      <w:tabs>
        <w:tab w:val="center" w:pos="4680"/>
        <w:tab w:val="right" w:pos="9360"/>
      </w:tabs>
    </w:pPr>
  </w:style>
  <w:style w:type="character" w:customStyle="1" w:styleId="FooterChar">
    <w:name w:val="Footer Char"/>
    <w:basedOn w:val="DefaultParagraphFont"/>
    <w:link w:val="Footer"/>
    <w:uiPriority w:val="99"/>
    <w:rsid w:val="00CC126F"/>
    <w:rPr>
      <w:rFonts w:ascii="Times New Roman" w:eastAsia="Times New Roman" w:hAnsi="Times New Roman" w:cs="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87B5E-9630-4BD6-8589-4025F363625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4F871B0F-6778-4732-A457-79843E5F3B9D}">
  <ds:schemaRefs>
    <ds:schemaRef ds:uri="http://schemas.openxmlformats.org/officeDocument/2006/bibliography"/>
  </ds:schemaRefs>
</ds:datastoreItem>
</file>

<file path=customXml/itemProps3.xml><?xml version="1.0" encoding="utf-8"?>
<ds:datastoreItem xmlns:ds="http://schemas.openxmlformats.org/officeDocument/2006/customXml" ds:itemID="{AB29B733-7903-4602-B1B6-84987BB1B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CD213E-D1FD-42B7-947F-4E651B6D1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909</Words>
  <Characters>5004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Gloria de Jesús Maldonado</cp:lastModifiedBy>
  <cp:revision>2</cp:revision>
  <cp:lastPrinted>2022-03-21T17:53:00Z</cp:lastPrinted>
  <dcterms:created xsi:type="dcterms:W3CDTF">2025-06-23T16:16:00Z</dcterms:created>
  <dcterms:modified xsi:type="dcterms:W3CDTF">2025-06-23T16:16:00Z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