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1BCB0" w14:textId="77777777" w:rsidR="007134B2" w:rsidRDefault="007134B2" w:rsidP="007134B2">
      <w:pPr>
        <w:suppressLineNumbers/>
        <w:spacing w:after="0" w:line="240" w:lineRule="auto"/>
        <w:rPr>
          <w:rFonts w:ascii="Book Antiqua" w:hAnsi="Book Antiqua"/>
          <w:b/>
          <w:bCs/>
          <w:color w:val="000000" w:themeColor="text1"/>
          <w:sz w:val="24"/>
          <w:szCs w:val="24"/>
          <w:lang w:val="es-PR"/>
        </w:rPr>
      </w:pPr>
      <w:r w:rsidRPr="007134B2">
        <w:rPr>
          <w:rFonts w:ascii="Book Antiqua" w:hAnsi="Book Antiqua"/>
          <w:b/>
          <w:bCs/>
          <w:color w:val="000000" w:themeColor="text1"/>
          <w:sz w:val="24"/>
          <w:szCs w:val="24"/>
          <w:lang w:val="es-PR"/>
        </w:rPr>
        <w:t>(</w:t>
      </w:r>
      <w:r w:rsidR="003960E1" w:rsidRPr="007134B2">
        <w:rPr>
          <w:rFonts w:ascii="Book Antiqua" w:hAnsi="Book Antiqua"/>
          <w:b/>
          <w:bCs/>
          <w:color w:val="000000" w:themeColor="text1"/>
          <w:sz w:val="24"/>
          <w:szCs w:val="24"/>
          <w:lang w:val="es-PR"/>
        </w:rPr>
        <w:t>P. de la C.</w:t>
      </w:r>
      <w:r w:rsidR="0026470B" w:rsidRPr="007134B2">
        <w:rPr>
          <w:rFonts w:ascii="Book Antiqua" w:hAnsi="Book Antiqua"/>
          <w:b/>
          <w:bCs/>
          <w:color w:val="000000" w:themeColor="text1"/>
          <w:sz w:val="24"/>
          <w:szCs w:val="24"/>
          <w:lang w:val="es-PR"/>
        </w:rPr>
        <w:t xml:space="preserve"> 272</w:t>
      </w:r>
      <w:r w:rsidRPr="007134B2">
        <w:rPr>
          <w:rFonts w:ascii="Book Antiqua" w:hAnsi="Book Antiqua"/>
          <w:b/>
          <w:bCs/>
          <w:color w:val="000000" w:themeColor="text1"/>
          <w:sz w:val="24"/>
          <w:szCs w:val="24"/>
          <w:lang w:val="es-PR"/>
        </w:rPr>
        <w:t>)</w:t>
      </w:r>
    </w:p>
    <w:p w14:paraId="2E546522" w14:textId="77777777" w:rsidR="007134B2" w:rsidRDefault="007134B2" w:rsidP="007134B2">
      <w:pPr>
        <w:suppressLineNumbers/>
        <w:spacing w:after="0" w:line="240" w:lineRule="auto"/>
        <w:rPr>
          <w:rFonts w:ascii="Book Antiqua" w:hAnsi="Book Antiqua"/>
          <w:b/>
          <w:bCs/>
          <w:color w:val="000000" w:themeColor="text1"/>
          <w:sz w:val="24"/>
          <w:szCs w:val="24"/>
          <w:lang w:val="es-PR"/>
        </w:rPr>
      </w:pPr>
    </w:p>
    <w:p w14:paraId="3B3972DD" w14:textId="7928D3DB" w:rsidR="003960E1" w:rsidRDefault="003960E1" w:rsidP="007134B2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 w:themeColor="text1"/>
          <w:sz w:val="28"/>
          <w:szCs w:val="28"/>
          <w:lang w:val="es-PR"/>
        </w:rPr>
      </w:pPr>
      <w:r w:rsidRPr="003D281C">
        <w:rPr>
          <w:rFonts w:ascii="Book Antiqua" w:hAnsi="Book Antiqua"/>
          <w:b/>
          <w:bCs/>
          <w:color w:val="000000" w:themeColor="text1"/>
          <w:sz w:val="28"/>
          <w:szCs w:val="28"/>
          <w:lang w:val="es-PR"/>
        </w:rPr>
        <w:t>LEY</w:t>
      </w:r>
    </w:p>
    <w:p w14:paraId="09375A42" w14:textId="77777777" w:rsidR="001F3B94" w:rsidRPr="007134B2" w:rsidRDefault="001F3B94" w:rsidP="007134B2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 w:themeColor="text1"/>
          <w:sz w:val="24"/>
          <w:szCs w:val="24"/>
          <w:lang w:val="es-PR"/>
        </w:rPr>
      </w:pPr>
    </w:p>
    <w:p w14:paraId="54FA94B3" w14:textId="77777777" w:rsidR="003D281C" w:rsidRPr="003D281C" w:rsidRDefault="003D281C" w:rsidP="003D281C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 w:themeColor="text1"/>
          <w:sz w:val="24"/>
          <w:szCs w:val="24"/>
          <w:lang w:val="es-PR"/>
        </w:rPr>
      </w:pPr>
    </w:p>
    <w:p w14:paraId="25F8517E" w14:textId="0A18BD36" w:rsidR="003960E1" w:rsidRDefault="003960E1" w:rsidP="007134B2">
      <w:pPr>
        <w:suppressLineNumbers/>
        <w:spacing w:after="0" w:line="240" w:lineRule="auto"/>
        <w:ind w:left="720" w:hanging="720"/>
        <w:jc w:val="both"/>
        <w:rPr>
          <w:rFonts w:ascii="Book Antiqua" w:hAnsi="Book Antiqua"/>
          <w:color w:val="000000" w:themeColor="text1"/>
          <w:sz w:val="24"/>
          <w:szCs w:val="24"/>
          <w:lang w:val="es-ES"/>
        </w:rPr>
      </w:pPr>
      <w:r w:rsidRPr="003960E1">
        <w:rPr>
          <w:rFonts w:ascii="Book Antiqua" w:hAnsi="Book Antiqua"/>
          <w:color w:val="000000" w:themeColor="text1"/>
          <w:sz w:val="24"/>
          <w:szCs w:val="24"/>
          <w:lang w:val="es-PR"/>
        </w:rPr>
        <w:t>P</w:t>
      </w:r>
      <w:r w:rsidRPr="003960E1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ara enmendar </w:t>
      </w:r>
      <w:r w:rsidR="00970127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el </w:t>
      </w:r>
      <w:r w:rsidRPr="003960E1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inciso (b) de la Sección 4030.20 de la Ley Núm. 1-2011, según enmendada, conocida como “Código de Rentas Internas para un Nuevo Puerto Rico” </w:t>
      </w:r>
      <w:r w:rsidR="00481C3C">
        <w:rPr>
          <w:rFonts w:ascii="Book Antiqua" w:hAnsi="Book Antiqua"/>
          <w:color w:val="000000" w:themeColor="text1"/>
          <w:sz w:val="24"/>
          <w:szCs w:val="24"/>
          <w:lang w:val="es-ES"/>
        </w:rPr>
        <w:t>a los fines</w:t>
      </w:r>
      <w:r w:rsidRPr="003960E1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 de ampliar el período de exención del pago del impuesto sobre </w:t>
      </w:r>
      <w:r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la </w:t>
      </w:r>
      <w:r w:rsidRPr="003960E1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venta y uso en la compra de uniformes y materiales escolares a </w:t>
      </w:r>
      <w:r w:rsidR="00521916">
        <w:rPr>
          <w:rFonts w:ascii="Book Antiqua" w:hAnsi="Book Antiqua"/>
          <w:color w:val="000000" w:themeColor="text1"/>
          <w:sz w:val="24"/>
          <w:szCs w:val="24"/>
          <w:lang w:val="es-ES"/>
        </w:rPr>
        <w:t>catorce (14) días</w:t>
      </w:r>
      <w:r w:rsidRPr="003960E1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 al año; y para otros fines relacionados.</w:t>
      </w:r>
    </w:p>
    <w:p w14:paraId="7F32FA70" w14:textId="77777777" w:rsidR="003D281C" w:rsidRPr="003960E1" w:rsidRDefault="003D281C" w:rsidP="003D281C">
      <w:pPr>
        <w:suppressLineNumbers/>
        <w:spacing w:after="0" w:line="240" w:lineRule="auto"/>
        <w:ind w:left="446" w:hanging="360"/>
        <w:jc w:val="both"/>
        <w:rPr>
          <w:rFonts w:ascii="Book Antiqua" w:hAnsi="Book Antiqua"/>
          <w:color w:val="000000" w:themeColor="text1"/>
          <w:sz w:val="24"/>
          <w:szCs w:val="24"/>
          <w:lang w:val="es-PR"/>
        </w:rPr>
      </w:pPr>
    </w:p>
    <w:p w14:paraId="75704766" w14:textId="0E85A699" w:rsidR="003960E1" w:rsidRDefault="003960E1" w:rsidP="001F2D73">
      <w:pPr>
        <w:suppressLineNumbers/>
        <w:spacing w:after="0" w:line="240" w:lineRule="auto"/>
        <w:jc w:val="center"/>
        <w:rPr>
          <w:rFonts w:ascii="Book Antiqua" w:hAnsi="Book Antiqua"/>
          <w:color w:val="000000" w:themeColor="text1"/>
          <w:sz w:val="24"/>
          <w:szCs w:val="24"/>
          <w:lang w:val="es-PR"/>
        </w:rPr>
      </w:pPr>
      <w:r w:rsidRPr="0041081F">
        <w:rPr>
          <w:rFonts w:ascii="Book Antiqua" w:hAnsi="Book Antiqua"/>
          <w:color w:val="000000" w:themeColor="text1"/>
          <w:sz w:val="24"/>
          <w:szCs w:val="24"/>
          <w:lang w:val="es-PR"/>
        </w:rPr>
        <w:t>EXPOSICIÓN DE MOTIVOS</w:t>
      </w:r>
    </w:p>
    <w:p w14:paraId="266E361B" w14:textId="77777777" w:rsidR="001F2D73" w:rsidRPr="001F2D73" w:rsidRDefault="001F2D73" w:rsidP="001F2D73">
      <w:pPr>
        <w:suppressLineNumbers/>
        <w:spacing w:after="0" w:line="240" w:lineRule="auto"/>
        <w:jc w:val="center"/>
        <w:rPr>
          <w:rFonts w:ascii="Book Antiqua" w:hAnsi="Book Antiqua"/>
          <w:color w:val="000000" w:themeColor="text1"/>
          <w:sz w:val="24"/>
          <w:szCs w:val="24"/>
          <w:lang w:val="es-PR"/>
        </w:rPr>
      </w:pPr>
    </w:p>
    <w:p w14:paraId="29D1F5A9" w14:textId="77777777" w:rsidR="00EF66B6" w:rsidRPr="007134B2" w:rsidRDefault="00EF66B6" w:rsidP="00EF66B6">
      <w:pPr>
        <w:suppressLineNumbers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</w:pPr>
      <w:r w:rsidRPr="007134B2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>El inicio de cada semestre escolar representa un reto económico significativo para miles de familias puertorriqueñas. La adquisición de uniformes y materiales escolares constituye un gasto recurrente e inevitable, particularmente concentrado en los meses previos al comienzo de clases en julio y enero.</w:t>
      </w:r>
    </w:p>
    <w:p w14:paraId="122FC7C7" w14:textId="77777777" w:rsidR="00EF66B6" w:rsidRPr="007134B2" w:rsidRDefault="00EF66B6" w:rsidP="00EF66B6">
      <w:pPr>
        <w:suppressLineNumbers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</w:pPr>
    </w:p>
    <w:p w14:paraId="76CA2145" w14:textId="0EB9A70F" w:rsidR="00EF66B6" w:rsidRPr="007134B2" w:rsidRDefault="00EF66B6" w:rsidP="00EF66B6">
      <w:pPr>
        <w:suppressLineNumbers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</w:pPr>
      <w:r w:rsidRPr="007134B2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 xml:space="preserve">El “Código de Rentas Internas para un Nuevo Puerto Rico” actualmente establece un período específico de exención del impuesto sobre </w:t>
      </w:r>
      <w:r w:rsidR="00481C3C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 xml:space="preserve">la </w:t>
      </w:r>
      <w:r w:rsidRPr="007134B2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 xml:space="preserve">venta y uso (IVU) para la compra de uniformes y materiales escolares. Esta política pública ha servido como un mecanismo de alivio contributivo dirigido a las familias, facilitando la adquisición de artículos necesarios para </w:t>
      </w:r>
      <w:r w:rsidR="00023DD9" w:rsidRPr="007134B2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>preparación d</w:t>
      </w:r>
      <w:r w:rsidRPr="007134B2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>el proceso educativo.</w:t>
      </w:r>
    </w:p>
    <w:p w14:paraId="50390232" w14:textId="77777777" w:rsidR="00EF66B6" w:rsidRPr="007134B2" w:rsidRDefault="00EF66B6" w:rsidP="00EF66B6">
      <w:pPr>
        <w:suppressLineNumbers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</w:pPr>
    </w:p>
    <w:p w14:paraId="436B3BD8" w14:textId="02A4A5BE" w:rsidR="00EF66B6" w:rsidRPr="007134B2" w:rsidRDefault="00EF66B6" w:rsidP="00EF66B6">
      <w:pPr>
        <w:suppressLineNumbers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</w:pPr>
      <w:r w:rsidRPr="007134B2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 xml:space="preserve">No obstante, el término actualmente dispuesto en ley resulta limitado para muchas familias trabajadoras que organizan sus compras </w:t>
      </w:r>
      <w:r w:rsidR="00755438" w:rsidRPr="007134B2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>sujeto a sus compromisos laborales</w:t>
      </w:r>
      <w:r w:rsidRPr="007134B2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 xml:space="preserve">. </w:t>
      </w:r>
      <w:r w:rsidR="00481C3C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>Por lo que, esta Legislación</w:t>
      </w:r>
      <w:r w:rsidRPr="007134B2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 xml:space="preserve"> extiende el tiempo disponible para realizar las mismas compras que tradicionalmente se efectúan durante esos días.</w:t>
      </w:r>
    </w:p>
    <w:p w14:paraId="06956F5C" w14:textId="77777777" w:rsidR="00EF66B6" w:rsidRPr="007134B2" w:rsidRDefault="00EF66B6" w:rsidP="00EF66B6">
      <w:pPr>
        <w:suppressLineNumbers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</w:pPr>
    </w:p>
    <w:p w14:paraId="03E396FA" w14:textId="5E6B7C30" w:rsidR="00EF66B6" w:rsidRPr="007134B2" w:rsidRDefault="00EF66B6" w:rsidP="00EF66B6">
      <w:pPr>
        <w:suppressLineNumbers/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</w:pPr>
      <w:r w:rsidRPr="007134B2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 xml:space="preserve">Mediante esta Ley, la Asamblea Legislativa reafirma su compromiso de ofrecer un alivio </w:t>
      </w:r>
      <w:r w:rsidR="00755438" w:rsidRPr="007134B2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>necesario</w:t>
      </w:r>
      <w:r w:rsidRPr="007134B2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>, accesible y fiscalmente responsable,</w:t>
      </w:r>
      <w:r w:rsidR="00755438" w:rsidRPr="007134B2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 xml:space="preserve"> mientras se fortalece</w:t>
      </w:r>
      <w:r w:rsidRPr="007134B2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 xml:space="preserve"> </w:t>
      </w:r>
      <w:r w:rsidR="00023DD9" w:rsidRPr="007134B2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>la política</w:t>
      </w:r>
      <w:r w:rsidRPr="007134B2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 xml:space="preserve"> pública existente sin ampliar su costo para el </w:t>
      </w:r>
      <w:proofErr w:type="gramStart"/>
      <w:r w:rsidRPr="007134B2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>erario</w:t>
      </w:r>
      <w:r w:rsidR="00755438" w:rsidRPr="007134B2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 xml:space="preserve"> público</w:t>
      </w:r>
      <w:proofErr w:type="gramEnd"/>
      <w:r w:rsidRPr="007134B2">
        <w:rPr>
          <w:rFonts w:ascii="Book Antiqua" w:hAnsi="Book Antiqua"/>
          <w:color w:val="000000" w:themeColor="text1"/>
          <w:sz w:val="24"/>
          <w:szCs w:val="24"/>
          <w:shd w:val="clear" w:color="auto" w:fill="FFFFFF"/>
          <w:lang w:val="es-ES"/>
        </w:rPr>
        <w:t>.</w:t>
      </w:r>
    </w:p>
    <w:p w14:paraId="14A60A16" w14:textId="77777777" w:rsidR="00EF66B6" w:rsidRPr="00EF66B6" w:rsidRDefault="00EF66B6" w:rsidP="003D281C">
      <w:pPr>
        <w:suppressLineNumbers/>
        <w:spacing w:after="0" w:line="240" w:lineRule="auto"/>
        <w:ind w:firstLine="720"/>
        <w:jc w:val="both"/>
        <w:rPr>
          <w:rFonts w:ascii="Book Antiqua" w:hAnsi="Book Antiqua"/>
          <w:strike/>
          <w:color w:val="000000" w:themeColor="text1"/>
          <w:sz w:val="24"/>
          <w:szCs w:val="24"/>
          <w:shd w:val="clear" w:color="auto" w:fill="FFFFFF"/>
          <w:lang w:val="es-PR"/>
        </w:rPr>
      </w:pPr>
    </w:p>
    <w:p w14:paraId="6F6FFB14" w14:textId="77777777" w:rsidR="003960E1" w:rsidRPr="0049228F" w:rsidRDefault="003960E1" w:rsidP="003D281C">
      <w:pPr>
        <w:suppressLineNumbers/>
        <w:spacing w:after="0" w:line="480" w:lineRule="auto"/>
        <w:rPr>
          <w:rFonts w:ascii="Book Antiqua" w:hAnsi="Book Antiqua"/>
          <w:bCs/>
          <w:i/>
          <w:color w:val="000000" w:themeColor="text1"/>
          <w:sz w:val="24"/>
          <w:szCs w:val="24"/>
          <w:lang w:val="es-PR"/>
        </w:rPr>
      </w:pPr>
      <w:r w:rsidRPr="0049228F">
        <w:rPr>
          <w:rFonts w:ascii="Book Antiqua" w:hAnsi="Book Antiqua"/>
          <w:bCs/>
          <w:i/>
          <w:color w:val="000000" w:themeColor="text1"/>
          <w:sz w:val="24"/>
          <w:szCs w:val="24"/>
          <w:lang w:val="es-PR"/>
        </w:rPr>
        <w:t>DECRÉT</w:t>
      </w:r>
      <w:r>
        <w:rPr>
          <w:rFonts w:ascii="Book Antiqua" w:hAnsi="Book Antiqua"/>
          <w:bCs/>
          <w:i/>
          <w:color w:val="000000" w:themeColor="text1"/>
          <w:sz w:val="24"/>
          <w:szCs w:val="24"/>
          <w:lang w:val="es-PR"/>
        </w:rPr>
        <w:t>ASE</w:t>
      </w:r>
      <w:r w:rsidRPr="0049228F">
        <w:rPr>
          <w:rFonts w:ascii="Book Antiqua" w:hAnsi="Book Antiqua"/>
          <w:bCs/>
          <w:i/>
          <w:color w:val="000000" w:themeColor="text1"/>
          <w:sz w:val="24"/>
          <w:szCs w:val="24"/>
          <w:lang w:val="es-PR"/>
        </w:rPr>
        <w:t xml:space="preserve"> POR LA ASAMBLEA LEGISLATIVA DE </w:t>
      </w:r>
      <w:r>
        <w:rPr>
          <w:rFonts w:ascii="Book Antiqua" w:hAnsi="Book Antiqua"/>
          <w:bCs/>
          <w:i/>
          <w:color w:val="000000" w:themeColor="text1"/>
          <w:sz w:val="24"/>
          <w:szCs w:val="24"/>
          <w:lang w:val="es-PR"/>
        </w:rPr>
        <w:t>P</w:t>
      </w:r>
      <w:r w:rsidRPr="0049228F">
        <w:rPr>
          <w:rFonts w:ascii="Book Antiqua" w:hAnsi="Book Antiqua"/>
          <w:bCs/>
          <w:i/>
          <w:color w:val="000000" w:themeColor="text1"/>
          <w:sz w:val="24"/>
          <w:szCs w:val="24"/>
          <w:lang w:val="es-PR"/>
        </w:rPr>
        <w:t>UERTO RICO</w:t>
      </w:r>
      <w:bookmarkStart w:id="0" w:name="_Hlk75270773"/>
      <w:bookmarkStart w:id="1" w:name="_Hlk75270585"/>
      <w:r>
        <w:rPr>
          <w:rFonts w:ascii="Book Antiqua" w:hAnsi="Book Antiqua"/>
          <w:bCs/>
          <w:i/>
          <w:color w:val="000000" w:themeColor="text1"/>
          <w:sz w:val="24"/>
          <w:szCs w:val="24"/>
          <w:lang w:val="es-PR"/>
        </w:rPr>
        <w:t>:</w:t>
      </w:r>
    </w:p>
    <w:bookmarkEnd w:id="0"/>
    <w:p w14:paraId="3600252E" w14:textId="64C5DA6A" w:rsidR="003960E1" w:rsidRDefault="003960E1" w:rsidP="007134B2">
      <w:pPr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ES"/>
        </w:rPr>
      </w:pPr>
      <w:r w:rsidRPr="007C2155">
        <w:rPr>
          <w:rFonts w:ascii="Book Antiqua" w:hAnsi="Book Antiqua"/>
          <w:color w:val="000000" w:themeColor="text1"/>
          <w:sz w:val="24"/>
          <w:szCs w:val="24"/>
          <w:lang w:val="es-ES"/>
        </w:rPr>
        <w:t>Artículo 1.-Se enmienda</w:t>
      </w:r>
      <w:r w:rsidR="00D74F0E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 el inciso (b) de</w:t>
      </w:r>
      <w:r w:rsidRPr="007C2155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 la Sección 4030.20 de la Ley Núm. 1-2011, según enmendada, conocida como “Código de Rentas Internas para un Nuevo Puerto Rico” </w:t>
      </w:r>
      <w:r w:rsidR="00572628">
        <w:rPr>
          <w:rFonts w:ascii="Book Antiqua" w:hAnsi="Book Antiqua"/>
          <w:color w:val="000000" w:themeColor="text1"/>
          <w:sz w:val="24"/>
          <w:szCs w:val="24"/>
          <w:lang w:val="es-ES"/>
        </w:rPr>
        <w:t>p</w:t>
      </w:r>
      <w:r w:rsidRPr="007C2155">
        <w:rPr>
          <w:rFonts w:ascii="Book Antiqua" w:hAnsi="Book Antiqua"/>
          <w:color w:val="000000" w:themeColor="text1"/>
          <w:sz w:val="24"/>
          <w:szCs w:val="24"/>
          <w:lang w:val="es-ES"/>
        </w:rPr>
        <w:t>ara que se lea como sigue:</w:t>
      </w:r>
    </w:p>
    <w:p w14:paraId="7B992FF3" w14:textId="77777777" w:rsidR="007134B2" w:rsidRPr="007C2155" w:rsidRDefault="007134B2" w:rsidP="007134B2">
      <w:pPr>
        <w:spacing w:after="0" w:line="240" w:lineRule="auto"/>
        <w:jc w:val="both"/>
        <w:rPr>
          <w:rFonts w:ascii="Book Antiqua" w:hAnsi="Book Antiqua"/>
          <w:color w:val="000000" w:themeColor="text1"/>
          <w:sz w:val="24"/>
          <w:szCs w:val="24"/>
          <w:lang w:val="es-ES"/>
        </w:rPr>
      </w:pPr>
    </w:p>
    <w:p w14:paraId="77B73685" w14:textId="107BA5B0" w:rsidR="003960E1" w:rsidRDefault="003960E1" w:rsidP="007134B2">
      <w:pPr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ES"/>
        </w:rPr>
      </w:pPr>
      <w:r w:rsidRPr="007C2155">
        <w:rPr>
          <w:rFonts w:ascii="Book Antiqua" w:hAnsi="Book Antiqua"/>
          <w:color w:val="000000" w:themeColor="text1"/>
          <w:sz w:val="24"/>
          <w:szCs w:val="24"/>
          <w:lang w:val="es-ES"/>
        </w:rPr>
        <w:t>“Sección 4030.20. — Exención para Libros Impresos, Uniformes y Materiales</w:t>
      </w:r>
    </w:p>
    <w:p w14:paraId="0340E69C" w14:textId="77777777" w:rsidR="007134B2" w:rsidRPr="007C2155" w:rsidRDefault="007134B2" w:rsidP="007134B2">
      <w:pPr>
        <w:spacing w:after="0" w:line="240" w:lineRule="auto"/>
        <w:ind w:firstLine="547"/>
        <w:jc w:val="both"/>
        <w:rPr>
          <w:rFonts w:ascii="Book Antiqua" w:hAnsi="Book Antiqua"/>
          <w:color w:val="000000" w:themeColor="text1"/>
          <w:sz w:val="24"/>
          <w:szCs w:val="24"/>
          <w:lang w:val="es-ES"/>
        </w:rPr>
      </w:pPr>
    </w:p>
    <w:p w14:paraId="6683881A" w14:textId="46D63C52" w:rsidR="003960E1" w:rsidRDefault="003960E1" w:rsidP="007134B2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ook Antiqua" w:hAnsi="Book Antiqua"/>
          <w:color w:val="000000" w:themeColor="text1"/>
          <w:sz w:val="24"/>
          <w:szCs w:val="24"/>
          <w:lang w:val="es-ES"/>
        </w:rPr>
      </w:pPr>
      <w:r w:rsidRPr="007C2155">
        <w:rPr>
          <w:rFonts w:ascii="Book Antiqua" w:hAnsi="Book Antiqua"/>
          <w:color w:val="000000" w:themeColor="text1"/>
          <w:sz w:val="24"/>
          <w:szCs w:val="24"/>
          <w:lang w:val="es-ES"/>
        </w:rPr>
        <w:t>…</w:t>
      </w:r>
    </w:p>
    <w:p w14:paraId="61281D29" w14:textId="77777777" w:rsidR="007134B2" w:rsidRPr="007C2155" w:rsidRDefault="007134B2" w:rsidP="007134B2">
      <w:pPr>
        <w:pStyle w:val="ListParagraph"/>
        <w:spacing w:after="0" w:line="240" w:lineRule="auto"/>
        <w:ind w:left="907"/>
        <w:jc w:val="both"/>
        <w:rPr>
          <w:rFonts w:ascii="Book Antiqua" w:hAnsi="Book Antiqua"/>
          <w:color w:val="000000" w:themeColor="text1"/>
          <w:sz w:val="24"/>
          <w:szCs w:val="24"/>
          <w:lang w:val="es-ES"/>
        </w:rPr>
      </w:pPr>
    </w:p>
    <w:p w14:paraId="0BCCAF08" w14:textId="5CF5C21C" w:rsidR="003960E1" w:rsidRDefault="003960E1" w:rsidP="007134B2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ook Antiqua" w:hAnsi="Book Antiqua"/>
          <w:color w:val="000000" w:themeColor="text1"/>
          <w:sz w:val="24"/>
          <w:szCs w:val="24"/>
          <w:lang w:val="es-ES"/>
        </w:rPr>
      </w:pPr>
      <w:r w:rsidRPr="007C2155">
        <w:rPr>
          <w:rFonts w:ascii="Book Antiqua" w:hAnsi="Book Antiqua"/>
          <w:color w:val="000000" w:themeColor="text1"/>
          <w:sz w:val="24"/>
          <w:szCs w:val="24"/>
          <w:lang w:val="es-ES"/>
        </w:rPr>
        <w:lastRenderedPageBreak/>
        <w:t xml:space="preserve">Exención para uniformes y materiales – Se exime del pago del impuesto sobre venta y uso, según dispuesto en las Secciones 4020.01 y 4020.02, según aplique, durante un periodo de </w:t>
      </w:r>
      <w:r w:rsidR="00521916" w:rsidRPr="007C2155">
        <w:rPr>
          <w:rFonts w:ascii="Book Antiqua" w:hAnsi="Book Antiqua"/>
          <w:color w:val="000000" w:themeColor="text1"/>
          <w:sz w:val="24"/>
          <w:szCs w:val="24"/>
          <w:lang w:val="es-ES"/>
        </w:rPr>
        <w:t>siete (7) días en</w:t>
      </w:r>
      <w:r w:rsidRPr="007C2155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 el mes de julio y en el mes de enero, sobre la venta al detal de uniformes y materiales según aquí se definen. El </w:t>
      </w:r>
      <w:proofErr w:type="gramStart"/>
      <w:r w:rsidRPr="007C2155">
        <w:rPr>
          <w:rFonts w:ascii="Book Antiqua" w:hAnsi="Book Antiqua"/>
          <w:color w:val="000000" w:themeColor="text1"/>
          <w:sz w:val="24"/>
          <w:szCs w:val="24"/>
          <w:lang w:val="es-ES"/>
        </w:rPr>
        <w:t>Secretario</w:t>
      </w:r>
      <w:proofErr w:type="gramEnd"/>
      <w:r w:rsidRPr="007C2155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 emitirá, no más tarde del 1 de junio de cada año fiscal, una carta circular en la cual especificará el periodo de </w:t>
      </w:r>
      <w:r w:rsidR="00D74F0E">
        <w:rPr>
          <w:rFonts w:ascii="Book Antiqua" w:hAnsi="Book Antiqua"/>
          <w:color w:val="000000" w:themeColor="text1"/>
          <w:sz w:val="24"/>
          <w:szCs w:val="24"/>
          <w:lang w:val="es-ES"/>
        </w:rPr>
        <w:t>siete (7) días</w:t>
      </w:r>
      <w:r w:rsidRPr="007C2155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 en el mes de </w:t>
      </w:r>
      <w:r w:rsidR="00970127" w:rsidRPr="007C2155">
        <w:rPr>
          <w:rFonts w:ascii="Book Antiqua" w:hAnsi="Book Antiqua"/>
          <w:color w:val="000000" w:themeColor="text1"/>
          <w:sz w:val="24"/>
          <w:szCs w:val="24"/>
          <w:lang w:val="es-ES"/>
        </w:rPr>
        <w:t>julio y siete (7) días en el mes de enero</w:t>
      </w:r>
      <w:r w:rsidRPr="007C2155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 en que aplicará es</w:t>
      </w:r>
      <w:r w:rsidR="00D74F0E">
        <w:rPr>
          <w:rFonts w:ascii="Book Antiqua" w:hAnsi="Book Antiqua"/>
          <w:color w:val="000000" w:themeColor="text1"/>
          <w:sz w:val="24"/>
          <w:szCs w:val="24"/>
          <w:lang w:val="es-ES"/>
        </w:rPr>
        <w:t>t</w:t>
      </w:r>
      <w:r w:rsidRPr="007C2155">
        <w:rPr>
          <w:rFonts w:ascii="Book Antiqua" w:hAnsi="Book Antiqua"/>
          <w:color w:val="000000" w:themeColor="text1"/>
          <w:sz w:val="24"/>
          <w:szCs w:val="24"/>
          <w:lang w:val="es-ES"/>
        </w:rPr>
        <w:t>a exención. En aquellos años para los cuales no se emita la carta circular, se entenderá que el período al cual se refiere esta sección comenzará a las 12:01 a.m. del 12 de julio y concluirá a las doce de la medianoche del 1</w:t>
      </w:r>
      <w:r w:rsidR="00521916" w:rsidRPr="007C2155">
        <w:rPr>
          <w:rFonts w:ascii="Book Antiqua" w:hAnsi="Book Antiqua"/>
          <w:color w:val="000000" w:themeColor="text1"/>
          <w:sz w:val="24"/>
          <w:szCs w:val="24"/>
          <w:lang w:val="es-ES"/>
        </w:rPr>
        <w:t>8</w:t>
      </w:r>
      <w:r w:rsidRPr="007C2155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 de julio de cada año, y el correspondiente al periodo de enero comenzará a las 12:01 a.m. del 10 de enero y concluirá a las doce de la medianoche del 1</w:t>
      </w:r>
      <w:r w:rsidR="00521916" w:rsidRPr="007C2155">
        <w:rPr>
          <w:rFonts w:ascii="Book Antiqua" w:hAnsi="Book Antiqua"/>
          <w:color w:val="000000" w:themeColor="text1"/>
          <w:sz w:val="24"/>
          <w:szCs w:val="24"/>
          <w:lang w:val="es-ES"/>
        </w:rPr>
        <w:t>6</w:t>
      </w:r>
      <w:r w:rsidRPr="007C2155">
        <w:rPr>
          <w:rFonts w:ascii="Book Antiqua" w:hAnsi="Book Antiqua"/>
          <w:color w:val="000000" w:themeColor="text1"/>
          <w:sz w:val="24"/>
          <w:szCs w:val="24"/>
          <w:lang w:val="es-ES"/>
        </w:rPr>
        <w:t xml:space="preserve"> de enero de cada año.</w:t>
      </w:r>
    </w:p>
    <w:p w14:paraId="50E0CCF6" w14:textId="77777777" w:rsidR="007134B2" w:rsidRPr="007C2155" w:rsidRDefault="007134B2" w:rsidP="007134B2">
      <w:pPr>
        <w:pStyle w:val="ListParagraph"/>
        <w:spacing w:after="0" w:line="240" w:lineRule="auto"/>
        <w:ind w:left="907"/>
        <w:jc w:val="both"/>
        <w:rPr>
          <w:rFonts w:ascii="Book Antiqua" w:hAnsi="Book Antiqua"/>
          <w:color w:val="000000" w:themeColor="text1"/>
          <w:sz w:val="24"/>
          <w:szCs w:val="24"/>
          <w:lang w:val="es-ES"/>
        </w:rPr>
      </w:pPr>
    </w:p>
    <w:p w14:paraId="6D145324" w14:textId="524D6207" w:rsidR="003960E1" w:rsidRPr="007C2155" w:rsidRDefault="003960E1" w:rsidP="007134B2">
      <w:pPr>
        <w:spacing w:after="0" w:line="240" w:lineRule="auto"/>
        <w:ind w:left="187" w:firstLine="720"/>
        <w:jc w:val="both"/>
        <w:rPr>
          <w:rFonts w:ascii="Book Antiqua" w:hAnsi="Book Antiqua"/>
          <w:bCs/>
          <w:i/>
          <w:iCs/>
          <w:color w:val="000000" w:themeColor="text1"/>
          <w:sz w:val="24"/>
          <w:szCs w:val="24"/>
          <w:lang w:val="es-ES"/>
        </w:rPr>
      </w:pPr>
      <w:r w:rsidRPr="007C2155">
        <w:rPr>
          <w:rFonts w:ascii="Book Antiqua" w:hAnsi="Book Antiqua"/>
          <w:bCs/>
          <w:color w:val="000000" w:themeColor="text1"/>
          <w:sz w:val="24"/>
          <w:szCs w:val="24"/>
          <w:lang w:val="es-ES"/>
        </w:rPr>
        <w:t>…”</w:t>
      </w:r>
    </w:p>
    <w:p w14:paraId="3932CD3E" w14:textId="77777777" w:rsidR="007134B2" w:rsidRDefault="007134B2" w:rsidP="007134B2">
      <w:pPr>
        <w:spacing w:after="0" w:line="240" w:lineRule="auto"/>
        <w:jc w:val="both"/>
        <w:rPr>
          <w:rFonts w:ascii="Book Antiqua" w:hAnsi="Book Antiqua"/>
          <w:color w:val="000000" w:themeColor="text1"/>
          <w:sz w:val="24"/>
          <w:szCs w:val="24"/>
          <w:lang w:val="es-ES"/>
        </w:rPr>
      </w:pPr>
    </w:p>
    <w:p w14:paraId="43B58EFF" w14:textId="259D1716" w:rsidR="003960E1" w:rsidRPr="007C2155" w:rsidRDefault="003960E1" w:rsidP="007134B2">
      <w:pPr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ES"/>
        </w:rPr>
      </w:pPr>
      <w:r w:rsidRPr="007C2155">
        <w:rPr>
          <w:rFonts w:ascii="Book Antiqua" w:hAnsi="Book Antiqua"/>
          <w:color w:val="000000" w:themeColor="text1"/>
          <w:sz w:val="24"/>
          <w:szCs w:val="24"/>
          <w:lang w:val="es-ES"/>
        </w:rPr>
        <w:t>Artículo 2.-</w:t>
      </w:r>
      <w:r w:rsidRPr="007C2155">
        <w:rPr>
          <w:rFonts w:ascii="Book Antiqua" w:hAnsi="Book Antiqua"/>
          <w:color w:val="000000" w:themeColor="text1"/>
          <w:sz w:val="24"/>
          <w:szCs w:val="24"/>
          <w:lang w:val="es-PR"/>
        </w:rPr>
        <w:t>Cl</w:t>
      </w:r>
      <w:r w:rsidR="00D74F0E">
        <w:rPr>
          <w:rFonts w:ascii="Book Antiqua" w:hAnsi="Book Antiqua"/>
          <w:color w:val="000000" w:themeColor="text1"/>
          <w:sz w:val="24"/>
          <w:szCs w:val="24"/>
          <w:lang w:val="es-PR"/>
        </w:rPr>
        <w:t>á</w:t>
      </w:r>
      <w:r w:rsidRPr="007C2155">
        <w:rPr>
          <w:rFonts w:ascii="Book Antiqua" w:hAnsi="Book Antiqua"/>
          <w:color w:val="000000" w:themeColor="text1"/>
          <w:sz w:val="24"/>
          <w:szCs w:val="24"/>
          <w:lang w:val="es-PR"/>
        </w:rPr>
        <w:t>usula de separabilidad.</w:t>
      </w:r>
    </w:p>
    <w:p w14:paraId="1940E462" w14:textId="77777777" w:rsidR="007134B2" w:rsidRDefault="007134B2" w:rsidP="007134B2">
      <w:pPr>
        <w:spacing w:after="0" w:line="240" w:lineRule="auto"/>
        <w:ind w:firstLine="547"/>
        <w:jc w:val="both"/>
        <w:rPr>
          <w:rFonts w:ascii="Book Antiqua" w:hAnsi="Book Antiqua"/>
          <w:color w:val="000000" w:themeColor="text1"/>
          <w:sz w:val="24"/>
          <w:szCs w:val="24"/>
          <w:lang w:val="es-ES"/>
        </w:rPr>
      </w:pPr>
    </w:p>
    <w:p w14:paraId="273BA44E" w14:textId="0CFD449B" w:rsidR="003960E1" w:rsidRPr="007C2155" w:rsidRDefault="007134B2" w:rsidP="007134B2">
      <w:pPr>
        <w:spacing w:after="0" w:line="240" w:lineRule="auto"/>
        <w:ind w:firstLine="547"/>
        <w:jc w:val="both"/>
        <w:rPr>
          <w:rFonts w:ascii="Book Antiqua" w:hAnsi="Book Antiqua"/>
          <w:color w:val="000000" w:themeColor="text1"/>
          <w:sz w:val="24"/>
          <w:szCs w:val="24"/>
          <w:lang w:val="es-ES"/>
        </w:rPr>
      </w:pPr>
      <w:r>
        <w:rPr>
          <w:rFonts w:ascii="Book Antiqua" w:hAnsi="Book Antiqua"/>
          <w:color w:val="000000" w:themeColor="text1"/>
          <w:sz w:val="24"/>
          <w:szCs w:val="24"/>
          <w:lang w:val="es-ES"/>
        </w:rPr>
        <w:tab/>
      </w:r>
      <w:r w:rsidR="003960E1" w:rsidRPr="007C2155">
        <w:rPr>
          <w:rFonts w:ascii="Book Antiqua" w:hAnsi="Book Antiqua"/>
          <w:color w:val="000000" w:themeColor="text1"/>
          <w:sz w:val="24"/>
          <w:szCs w:val="24"/>
          <w:lang w:val="es-ES"/>
        </w:rPr>
        <w:t>Si cualquier cláusula, párrafo, artículo o parte de este capítulo fuese declarada inconstitucional por un tribunal competente, la sentencia a tal efecto dictada no afectará ni invalidará el resto de las disposiciones de este capítulo. El efecto de dicha sentencia quedará limitado a la cláusula, párrafo, artículo o parte de la ley que hubiere sido declarada inconstitucional.</w:t>
      </w:r>
    </w:p>
    <w:p w14:paraId="5CA58FD1" w14:textId="77777777" w:rsidR="007134B2" w:rsidRDefault="007134B2" w:rsidP="007134B2">
      <w:pPr>
        <w:spacing w:after="0" w:line="240" w:lineRule="auto"/>
        <w:ind w:firstLine="547"/>
        <w:jc w:val="both"/>
        <w:rPr>
          <w:rFonts w:ascii="Book Antiqua" w:hAnsi="Book Antiqua"/>
          <w:color w:val="000000" w:themeColor="text1"/>
          <w:sz w:val="24"/>
          <w:szCs w:val="24"/>
          <w:lang w:val="es-PR"/>
        </w:rPr>
      </w:pPr>
    </w:p>
    <w:p w14:paraId="361B0BBE" w14:textId="37D31DEA" w:rsidR="003960E1" w:rsidRPr="007C2155" w:rsidRDefault="003960E1" w:rsidP="007134B2">
      <w:pPr>
        <w:spacing w:after="0" w:line="240" w:lineRule="auto"/>
        <w:ind w:firstLine="720"/>
        <w:jc w:val="both"/>
        <w:rPr>
          <w:rFonts w:ascii="Book Antiqua" w:hAnsi="Book Antiqua"/>
          <w:color w:val="000000" w:themeColor="text1"/>
          <w:sz w:val="24"/>
          <w:szCs w:val="24"/>
          <w:lang w:val="es-PR"/>
        </w:rPr>
      </w:pPr>
      <w:r w:rsidRPr="007C2155">
        <w:rPr>
          <w:rFonts w:ascii="Book Antiqua" w:hAnsi="Book Antiqua"/>
          <w:color w:val="000000" w:themeColor="text1"/>
          <w:sz w:val="24"/>
          <w:szCs w:val="24"/>
          <w:lang w:val="es-PR"/>
        </w:rPr>
        <w:t xml:space="preserve">Artículo </w:t>
      </w:r>
      <w:r w:rsidR="00521916" w:rsidRPr="007C2155">
        <w:rPr>
          <w:rFonts w:ascii="Book Antiqua" w:hAnsi="Book Antiqua"/>
          <w:color w:val="000000" w:themeColor="text1"/>
          <w:sz w:val="24"/>
          <w:szCs w:val="24"/>
          <w:lang w:val="es-PR"/>
        </w:rPr>
        <w:t>3</w:t>
      </w:r>
      <w:r w:rsidRPr="007C2155">
        <w:rPr>
          <w:rFonts w:ascii="Book Antiqua" w:hAnsi="Book Antiqua"/>
          <w:color w:val="000000" w:themeColor="text1"/>
          <w:sz w:val="24"/>
          <w:szCs w:val="24"/>
          <w:lang w:val="es-PR"/>
        </w:rPr>
        <w:t>.-Vigencia.</w:t>
      </w:r>
    </w:p>
    <w:p w14:paraId="335E88E9" w14:textId="77777777" w:rsidR="007134B2" w:rsidRDefault="007134B2" w:rsidP="007134B2">
      <w:pPr>
        <w:spacing w:after="0" w:line="240" w:lineRule="auto"/>
        <w:ind w:firstLine="547"/>
        <w:jc w:val="both"/>
        <w:rPr>
          <w:rFonts w:ascii="Book Antiqua" w:hAnsi="Book Antiqua"/>
          <w:color w:val="000000" w:themeColor="text1"/>
          <w:sz w:val="24"/>
          <w:szCs w:val="24"/>
          <w:lang w:val="es-PR"/>
        </w:rPr>
      </w:pPr>
    </w:p>
    <w:p w14:paraId="3F9FE764" w14:textId="31268519" w:rsidR="000935E5" w:rsidRPr="007C2155" w:rsidRDefault="007134B2" w:rsidP="007134B2">
      <w:pPr>
        <w:spacing w:after="0" w:line="240" w:lineRule="auto"/>
        <w:ind w:firstLine="547"/>
        <w:jc w:val="both"/>
        <w:rPr>
          <w:rFonts w:ascii="Book Antiqua" w:hAnsi="Book Antiqua"/>
          <w:color w:val="000000" w:themeColor="text1"/>
          <w:sz w:val="24"/>
          <w:szCs w:val="24"/>
          <w:lang w:val="es-PR"/>
        </w:rPr>
      </w:pPr>
      <w:r>
        <w:rPr>
          <w:rFonts w:ascii="Book Antiqua" w:hAnsi="Book Antiqua"/>
          <w:color w:val="000000" w:themeColor="text1"/>
          <w:sz w:val="24"/>
          <w:szCs w:val="24"/>
          <w:lang w:val="es-PR"/>
        </w:rPr>
        <w:tab/>
      </w:r>
      <w:r w:rsidR="003960E1" w:rsidRPr="007C2155">
        <w:rPr>
          <w:rFonts w:ascii="Book Antiqua" w:hAnsi="Book Antiqua"/>
          <w:color w:val="000000" w:themeColor="text1"/>
          <w:sz w:val="24"/>
          <w:szCs w:val="24"/>
          <w:lang w:val="es-PR"/>
        </w:rPr>
        <w:t>Esta Ley comenzará a regir inmediatamente después de su aprobación.</w:t>
      </w:r>
      <w:bookmarkEnd w:id="1"/>
    </w:p>
    <w:sectPr w:rsidR="000935E5" w:rsidRPr="007C2155" w:rsidSect="007134B2">
      <w:headerReference w:type="default" r:id="rId8"/>
      <w:headerReference w:type="first" r:id="rId9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042B4" w14:textId="77777777" w:rsidR="005A7F1E" w:rsidRDefault="005A7F1E" w:rsidP="003960E1">
      <w:pPr>
        <w:spacing w:after="0" w:line="240" w:lineRule="auto"/>
      </w:pPr>
      <w:r>
        <w:separator/>
      </w:r>
    </w:p>
  </w:endnote>
  <w:endnote w:type="continuationSeparator" w:id="0">
    <w:p w14:paraId="41C9F15E" w14:textId="77777777" w:rsidR="005A7F1E" w:rsidRDefault="005A7F1E" w:rsidP="00396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881B8" w14:textId="77777777" w:rsidR="005A7F1E" w:rsidRDefault="005A7F1E" w:rsidP="003960E1">
      <w:pPr>
        <w:spacing w:after="0" w:line="240" w:lineRule="auto"/>
      </w:pPr>
      <w:r>
        <w:separator/>
      </w:r>
    </w:p>
  </w:footnote>
  <w:footnote w:type="continuationSeparator" w:id="0">
    <w:p w14:paraId="1D2045D5" w14:textId="77777777" w:rsidR="005A7F1E" w:rsidRDefault="005A7F1E" w:rsidP="003960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845560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7A4CF8C" w14:textId="3A107277" w:rsidR="0057228A" w:rsidRDefault="0057228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E95F03" w14:textId="2FBAE718" w:rsidR="00875461" w:rsidRPr="009D6692" w:rsidRDefault="00875461">
    <w:pPr>
      <w:pStyle w:val="Header"/>
      <w:jc w:val="center"/>
      <w:rPr>
        <w:rFonts w:ascii="Book Antiqua" w:hAnsi="Book Antiq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8F859" w14:textId="41FEBE92" w:rsidR="0057228A" w:rsidRDefault="0057228A">
    <w:pPr>
      <w:pStyle w:val="Header"/>
      <w:jc w:val="center"/>
    </w:pPr>
  </w:p>
  <w:p w14:paraId="7AC26D20" w14:textId="77777777" w:rsidR="0057228A" w:rsidRDefault="005722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203BF1"/>
    <w:multiLevelType w:val="hybridMultilevel"/>
    <w:tmpl w:val="E85CB7BC"/>
    <w:lvl w:ilvl="0" w:tplc="9D7C370A">
      <w:start w:val="1"/>
      <w:numFmt w:val="decimal"/>
      <w:lvlText w:val="(%1)"/>
      <w:lvlJc w:val="left"/>
      <w:pPr>
        <w:ind w:left="12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" w15:restartNumberingAfterBreak="0">
    <w:nsid w:val="2ADF6219"/>
    <w:multiLevelType w:val="hybridMultilevel"/>
    <w:tmpl w:val="8B20F702"/>
    <w:lvl w:ilvl="0" w:tplc="D250E312">
      <w:start w:val="1"/>
      <w:numFmt w:val="upperLetter"/>
      <w:lvlText w:val="(%1)"/>
      <w:lvlJc w:val="left"/>
      <w:pPr>
        <w:ind w:left="1627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347" w:hanging="360"/>
      </w:pPr>
    </w:lvl>
    <w:lvl w:ilvl="2" w:tplc="0409001B" w:tentative="1">
      <w:start w:val="1"/>
      <w:numFmt w:val="lowerRoman"/>
      <w:lvlText w:val="%3."/>
      <w:lvlJc w:val="right"/>
      <w:pPr>
        <w:ind w:left="3067" w:hanging="180"/>
      </w:pPr>
    </w:lvl>
    <w:lvl w:ilvl="3" w:tplc="0409000F" w:tentative="1">
      <w:start w:val="1"/>
      <w:numFmt w:val="decimal"/>
      <w:lvlText w:val="%4."/>
      <w:lvlJc w:val="left"/>
      <w:pPr>
        <w:ind w:left="3787" w:hanging="360"/>
      </w:pPr>
    </w:lvl>
    <w:lvl w:ilvl="4" w:tplc="04090019" w:tentative="1">
      <w:start w:val="1"/>
      <w:numFmt w:val="lowerLetter"/>
      <w:lvlText w:val="%5."/>
      <w:lvlJc w:val="left"/>
      <w:pPr>
        <w:ind w:left="4507" w:hanging="360"/>
      </w:pPr>
    </w:lvl>
    <w:lvl w:ilvl="5" w:tplc="0409001B" w:tentative="1">
      <w:start w:val="1"/>
      <w:numFmt w:val="lowerRoman"/>
      <w:lvlText w:val="%6."/>
      <w:lvlJc w:val="right"/>
      <w:pPr>
        <w:ind w:left="5227" w:hanging="180"/>
      </w:pPr>
    </w:lvl>
    <w:lvl w:ilvl="6" w:tplc="0409000F" w:tentative="1">
      <w:start w:val="1"/>
      <w:numFmt w:val="decimal"/>
      <w:lvlText w:val="%7."/>
      <w:lvlJc w:val="left"/>
      <w:pPr>
        <w:ind w:left="5947" w:hanging="360"/>
      </w:pPr>
    </w:lvl>
    <w:lvl w:ilvl="7" w:tplc="04090019" w:tentative="1">
      <w:start w:val="1"/>
      <w:numFmt w:val="lowerLetter"/>
      <w:lvlText w:val="%8."/>
      <w:lvlJc w:val="left"/>
      <w:pPr>
        <w:ind w:left="6667" w:hanging="360"/>
      </w:pPr>
    </w:lvl>
    <w:lvl w:ilvl="8" w:tplc="0409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2" w15:restartNumberingAfterBreak="0">
    <w:nsid w:val="5D7B7453"/>
    <w:multiLevelType w:val="hybridMultilevel"/>
    <w:tmpl w:val="25FA53FE"/>
    <w:lvl w:ilvl="0" w:tplc="1CFC7378">
      <w:start w:val="1"/>
      <w:numFmt w:val="lowerLetter"/>
      <w:lvlText w:val="(%1)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" w15:restartNumberingAfterBreak="0">
    <w:nsid w:val="5D9D1C5E"/>
    <w:multiLevelType w:val="hybridMultilevel"/>
    <w:tmpl w:val="2FE4AD86"/>
    <w:lvl w:ilvl="0" w:tplc="31EA3802">
      <w:start w:val="1"/>
      <w:numFmt w:val="decimal"/>
      <w:lvlText w:val="(%1)"/>
      <w:lvlJc w:val="left"/>
      <w:pPr>
        <w:ind w:left="126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4" w15:restartNumberingAfterBreak="0">
    <w:nsid w:val="6A947A3F"/>
    <w:multiLevelType w:val="hybridMultilevel"/>
    <w:tmpl w:val="81C4A664"/>
    <w:lvl w:ilvl="0" w:tplc="0256FA4A">
      <w:start w:val="1"/>
      <w:numFmt w:val="decimal"/>
      <w:lvlText w:val="(%1)"/>
      <w:lvlJc w:val="left"/>
      <w:pPr>
        <w:ind w:left="12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5" w15:restartNumberingAfterBreak="0">
    <w:nsid w:val="6C960EA4"/>
    <w:multiLevelType w:val="hybridMultilevel"/>
    <w:tmpl w:val="A504F754"/>
    <w:lvl w:ilvl="0" w:tplc="20526316">
      <w:start w:val="1"/>
      <w:numFmt w:val="lowerLetter"/>
      <w:lvlText w:val="(%1)"/>
      <w:lvlJc w:val="left"/>
      <w:pPr>
        <w:ind w:left="90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6" w15:restartNumberingAfterBreak="0">
    <w:nsid w:val="6FB96763"/>
    <w:multiLevelType w:val="hybridMultilevel"/>
    <w:tmpl w:val="C9AEB37A"/>
    <w:lvl w:ilvl="0" w:tplc="422ABF76">
      <w:start w:val="1"/>
      <w:numFmt w:val="lowerLetter"/>
      <w:lvlText w:val="(%1)"/>
      <w:lvlJc w:val="left"/>
      <w:pPr>
        <w:ind w:left="90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num w:numId="1" w16cid:durableId="827676881">
    <w:abstractNumId w:val="6"/>
  </w:num>
  <w:num w:numId="2" w16cid:durableId="1995333631">
    <w:abstractNumId w:val="5"/>
  </w:num>
  <w:num w:numId="3" w16cid:durableId="1792673591">
    <w:abstractNumId w:val="4"/>
  </w:num>
  <w:num w:numId="4" w16cid:durableId="448857580">
    <w:abstractNumId w:val="0"/>
  </w:num>
  <w:num w:numId="5" w16cid:durableId="1608271356">
    <w:abstractNumId w:val="2"/>
  </w:num>
  <w:num w:numId="6" w16cid:durableId="1174688703">
    <w:abstractNumId w:val="3"/>
  </w:num>
  <w:num w:numId="7" w16cid:durableId="5967945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0E1"/>
    <w:rsid w:val="00023DD9"/>
    <w:rsid w:val="00043E5C"/>
    <w:rsid w:val="00050291"/>
    <w:rsid w:val="00065DDD"/>
    <w:rsid w:val="000935E5"/>
    <w:rsid w:val="000A27ED"/>
    <w:rsid w:val="000C29E3"/>
    <w:rsid w:val="000E0872"/>
    <w:rsid w:val="00167FDC"/>
    <w:rsid w:val="001A2A0D"/>
    <w:rsid w:val="001A3120"/>
    <w:rsid w:val="001F2D73"/>
    <w:rsid w:val="001F3B94"/>
    <w:rsid w:val="0026470B"/>
    <w:rsid w:val="002C0ADA"/>
    <w:rsid w:val="002E202C"/>
    <w:rsid w:val="00307DF9"/>
    <w:rsid w:val="00361C4A"/>
    <w:rsid w:val="00385622"/>
    <w:rsid w:val="003859DB"/>
    <w:rsid w:val="00391BD9"/>
    <w:rsid w:val="003960E1"/>
    <w:rsid w:val="003D281C"/>
    <w:rsid w:val="0041081F"/>
    <w:rsid w:val="004111E2"/>
    <w:rsid w:val="004464D6"/>
    <w:rsid w:val="00481C3C"/>
    <w:rsid w:val="004B3723"/>
    <w:rsid w:val="004F2FEF"/>
    <w:rsid w:val="00521916"/>
    <w:rsid w:val="00537352"/>
    <w:rsid w:val="0057228A"/>
    <w:rsid w:val="00572628"/>
    <w:rsid w:val="005A7F1E"/>
    <w:rsid w:val="005C2A8D"/>
    <w:rsid w:val="006227EF"/>
    <w:rsid w:val="006816A9"/>
    <w:rsid w:val="006A5950"/>
    <w:rsid w:val="006B7D6C"/>
    <w:rsid w:val="007134B2"/>
    <w:rsid w:val="00731D08"/>
    <w:rsid w:val="0074344E"/>
    <w:rsid w:val="00745B46"/>
    <w:rsid w:val="00755438"/>
    <w:rsid w:val="007841C1"/>
    <w:rsid w:val="00791583"/>
    <w:rsid w:val="007B7830"/>
    <w:rsid w:val="007C2155"/>
    <w:rsid w:val="007F7087"/>
    <w:rsid w:val="00836DAC"/>
    <w:rsid w:val="00841387"/>
    <w:rsid w:val="00842D28"/>
    <w:rsid w:val="008702A1"/>
    <w:rsid w:val="00875461"/>
    <w:rsid w:val="00885279"/>
    <w:rsid w:val="008D50A5"/>
    <w:rsid w:val="00947472"/>
    <w:rsid w:val="0096401C"/>
    <w:rsid w:val="00970127"/>
    <w:rsid w:val="00971939"/>
    <w:rsid w:val="00981743"/>
    <w:rsid w:val="0099306A"/>
    <w:rsid w:val="009A6DA8"/>
    <w:rsid w:val="00A01591"/>
    <w:rsid w:val="00A32AB2"/>
    <w:rsid w:val="00A44667"/>
    <w:rsid w:val="00A73202"/>
    <w:rsid w:val="00AC0710"/>
    <w:rsid w:val="00AD00B8"/>
    <w:rsid w:val="00AE0491"/>
    <w:rsid w:val="00AE2BC1"/>
    <w:rsid w:val="00B07915"/>
    <w:rsid w:val="00B12B53"/>
    <w:rsid w:val="00B75265"/>
    <w:rsid w:val="00B8682D"/>
    <w:rsid w:val="00B93387"/>
    <w:rsid w:val="00BE0025"/>
    <w:rsid w:val="00BF347D"/>
    <w:rsid w:val="00C97106"/>
    <w:rsid w:val="00CC444B"/>
    <w:rsid w:val="00D017AA"/>
    <w:rsid w:val="00D101AB"/>
    <w:rsid w:val="00D12664"/>
    <w:rsid w:val="00D53B12"/>
    <w:rsid w:val="00D74F0E"/>
    <w:rsid w:val="00D80632"/>
    <w:rsid w:val="00D81E01"/>
    <w:rsid w:val="00DD4979"/>
    <w:rsid w:val="00DF74DF"/>
    <w:rsid w:val="00E32E46"/>
    <w:rsid w:val="00E5350A"/>
    <w:rsid w:val="00ED7E7E"/>
    <w:rsid w:val="00EF66B6"/>
    <w:rsid w:val="00F0359C"/>
    <w:rsid w:val="00F30AD9"/>
    <w:rsid w:val="00F51BDA"/>
    <w:rsid w:val="00FB0C3C"/>
    <w:rsid w:val="00FB10EE"/>
    <w:rsid w:val="00FE4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71A8E"/>
  <w15:chartTrackingRefBased/>
  <w15:docId w15:val="{A20D6B5E-E1D8-B447-9E75-DDA297C79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60E1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6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6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60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6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60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60E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60E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60E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60E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60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6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60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60E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60E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60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60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60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60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60E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6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60E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6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60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60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60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60E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60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60E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60E1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960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60E1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960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60E1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960E1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960E1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uiPriority w:val="99"/>
    <w:semiHidden/>
    <w:unhideWhenUsed/>
    <w:rsid w:val="003960E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960E1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3960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828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3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0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47943-5CD0-4900-93A1-E2F423161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Franco Oconnell</dc:creator>
  <cp:keywords/>
  <dc:description/>
  <cp:lastModifiedBy>Kristal Rivera Sanchez</cp:lastModifiedBy>
  <cp:revision>2</cp:revision>
  <cp:lastPrinted>2026-06-17T18:47:00Z</cp:lastPrinted>
  <dcterms:created xsi:type="dcterms:W3CDTF">2026-06-18T19:51:00Z</dcterms:created>
  <dcterms:modified xsi:type="dcterms:W3CDTF">2026-06-18T19:51:00Z</dcterms:modified>
</cp:coreProperties>
</file>