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A31B5" w14:textId="77777777" w:rsidR="001F2D73" w:rsidRPr="008D2855" w:rsidRDefault="001F2D73" w:rsidP="001F2D73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2771C0C0" w14:textId="6CCF9286" w:rsidR="001F2D73" w:rsidRPr="008D2855" w:rsidRDefault="001F2D73" w:rsidP="001F2D73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19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FEBRERO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6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51FC50FA" w14:textId="77777777" w:rsidR="001F2D73" w:rsidRPr="008D2855" w:rsidRDefault="001F2D73" w:rsidP="001F2D73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7BB6EBF" wp14:editId="4C946CC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C8E73D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bookmarkEnd w:id="0"/>
    <w:p w14:paraId="3B2CAD76" w14:textId="62E0B8B6" w:rsidR="003960E1" w:rsidRDefault="003960E1" w:rsidP="003D281C">
      <w:pPr>
        <w:suppressLineNumbers/>
        <w:spacing w:after="0" w:line="240" w:lineRule="auto"/>
        <w:jc w:val="center"/>
        <w:rPr>
          <w:rFonts w:ascii="Book Antiqua" w:hAnsi="Book Antiqua"/>
          <w:bCs/>
          <w:color w:val="000000" w:themeColor="text1"/>
          <w:sz w:val="28"/>
          <w:szCs w:val="28"/>
          <w:lang w:val="es-PR"/>
        </w:rPr>
      </w:pPr>
      <w:r>
        <w:rPr>
          <w:rFonts w:ascii="Book Antiqua" w:hAnsi="Book Antiqua"/>
          <w:bCs/>
          <w:color w:val="000000" w:themeColor="text1"/>
          <w:sz w:val="28"/>
          <w:szCs w:val="28"/>
          <w:lang w:val="es-PR"/>
        </w:rPr>
        <w:t xml:space="preserve">GOBIERNO </w:t>
      </w:r>
      <w:r w:rsidRPr="0049228F">
        <w:rPr>
          <w:rFonts w:ascii="Book Antiqua" w:hAnsi="Book Antiqua"/>
          <w:bCs/>
          <w:color w:val="000000" w:themeColor="text1"/>
          <w:sz w:val="28"/>
          <w:szCs w:val="28"/>
          <w:lang w:val="es-PR"/>
        </w:rPr>
        <w:t>DE PUERTO RICO</w:t>
      </w:r>
    </w:p>
    <w:p w14:paraId="3F1F368B" w14:textId="77777777" w:rsidR="003D281C" w:rsidRPr="0049228F" w:rsidRDefault="003D281C" w:rsidP="003D281C">
      <w:pPr>
        <w:suppressLineNumbers/>
        <w:spacing w:after="0" w:line="240" w:lineRule="auto"/>
        <w:jc w:val="center"/>
        <w:rPr>
          <w:rFonts w:ascii="Book Antiqua" w:hAnsi="Book Antiqua"/>
          <w:bCs/>
          <w:color w:val="000000" w:themeColor="text1"/>
          <w:sz w:val="28"/>
          <w:szCs w:val="28"/>
          <w:lang w:val="es-PR"/>
        </w:rPr>
      </w:pPr>
    </w:p>
    <w:p w14:paraId="3C075A83" w14:textId="0D13EDF9" w:rsidR="003960E1" w:rsidRPr="00307DF9" w:rsidRDefault="003960E1" w:rsidP="001F2D73">
      <w:pPr>
        <w:suppressLineNumbers/>
        <w:spacing w:after="0" w:line="240" w:lineRule="auto"/>
        <w:rPr>
          <w:rFonts w:ascii="Book Antiqua" w:hAnsi="Book Antiqua"/>
          <w:color w:val="000000" w:themeColor="text1"/>
          <w:sz w:val="24"/>
          <w:szCs w:val="24"/>
          <w:lang w:val="it-IT"/>
        </w:rPr>
      </w:pPr>
      <w:r>
        <w:rPr>
          <w:rFonts w:ascii="Book Antiqua" w:hAnsi="Book Antiqua"/>
          <w:color w:val="000000" w:themeColor="text1"/>
          <w:sz w:val="24"/>
          <w:szCs w:val="24"/>
          <w:lang w:val="es-PR"/>
        </w:rPr>
        <w:t xml:space="preserve">  </w:t>
      </w:r>
      <w:r w:rsidRPr="00307DF9">
        <w:rPr>
          <w:rFonts w:ascii="Book Antiqua" w:hAnsi="Book Antiqua"/>
          <w:color w:val="000000" w:themeColor="text1"/>
          <w:sz w:val="24"/>
          <w:szCs w:val="24"/>
          <w:lang w:val="it-IT"/>
        </w:rPr>
        <w:t xml:space="preserve">20ma. Asamblea                                                                                              </w:t>
      </w:r>
      <w:r w:rsidR="001F2D73">
        <w:rPr>
          <w:rFonts w:ascii="Book Antiqua" w:hAnsi="Book Antiqua"/>
          <w:color w:val="000000" w:themeColor="text1"/>
          <w:sz w:val="24"/>
          <w:szCs w:val="24"/>
          <w:lang w:val="it-IT"/>
        </w:rPr>
        <w:t xml:space="preserve"> </w:t>
      </w:r>
      <w:r w:rsidRPr="00307DF9">
        <w:rPr>
          <w:rFonts w:ascii="Book Antiqua" w:hAnsi="Book Antiqua"/>
          <w:color w:val="000000" w:themeColor="text1"/>
          <w:sz w:val="24"/>
          <w:szCs w:val="24"/>
          <w:lang w:val="it-IT"/>
        </w:rPr>
        <w:t>1ra. Sesión</w:t>
      </w:r>
    </w:p>
    <w:p w14:paraId="01283AD8" w14:textId="42EEDA06" w:rsidR="003960E1" w:rsidRPr="00307DF9" w:rsidRDefault="003960E1" w:rsidP="001F2D73">
      <w:pPr>
        <w:suppressLineNumbers/>
        <w:spacing w:after="0" w:line="240" w:lineRule="auto"/>
        <w:rPr>
          <w:rFonts w:ascii="Book Antiqua" w:hAnsi="Book Antiqua"/>
          <w:color w:val="000000" w:themeColor="text1"/>
          <w:sz w:val="24"/>
          <w:szCs w:val="24"/>
          <w:lang w:val="it-IT"/>
        </w:rPr>
      </w:pPr>
      <w:r w:rsidRPr="00307DF9">
        <w:rPr>
          <w:rFonts w:ascii="Book Antiqua" w:hAnsi="Book Antiqua"/>
          <w:color w:val="000000" w:themeColor="text1"/>
          <w:sz w:val="24"/>
          <w:szCs w:val="24"/>
          <w:lang w:val="it-IT"/>
        </w:rPr>
        <w:t xml:space="preserve">       </w:t>
      </w:r>
      <w:r w:rsidR="001F2D73">
        <w:rPr>
          <w:rFonts w:ascii="Book Antiqua" w:hAnsi="Book Antiqua"/>
          <w:color w:val="000000" w:themeColor="text1"/>
          <w:sz w:val="24"/>
          <w:szCs w:val="24"/>
          <w:lang w:val="it-IT"/>
        </w:rPr>
        <w:t xml:space="preserve">      </w:t>
      </w:r>
      <w:r w:rsidRPr="00307DF9">
        <w:rPr>
          <w:rFonts w:ascii="Book Antiqua" w:hAnsi="Book Antiqua"/>
          <w:color w:val="000000" w:themeColor="text1"/>
          <w:sz w:val="24"/>
          <w:szCs w:val="24"/>
          <w:lang w:val="it-IT"/>
        </w:rPr>
        <w:t xml:space="preserve">Legislativa                                                                                                     </w:t>
      </w:r>
      <w:r w:rsidR="001F2D73">
        <w:rPr>
          <w:rFonts w:ascii="Book Antiqua" w:hAnsi="Book Antiqua"/>
          <w:color w:val="000000" w:themeColor="text1"/>
          <w:sz w:val="24"/>
          <w:szCs w:val="24"/>
          <w:lang w:val="it-IT"/>
        </w:rPr>
        <w:t>Ordinaria</w:t>
      </w:r>
    </w:p>
    <w:p w14:paraId="1B7C5F6D" w14:textId="77777777" w:rsidR="003D281C" w:rsidRPr="00307DF9" w:rsidRDefault="003D281C" w:rsidP="003D281C">
      <w:pPr>
        <w:suppressLineNumbers/>
        <w:spacing w:after="0" w:line="240" w:lineRule="auto"/>
        <w:rPr>
          <w:rFonts w:ascii="Book Antiqua" w:hAnsi="Book Antiqua"/>
          <w:color w:val="000000" w:themeColor="text1"/>
          <w:sz w:val="24"/>
          <w:szCs w:val="24"/>
          <w:lang w:val="it-IT"/>
        </w:rPr>
      </w:pPr>
    </w:p>
    <w:p w14:paraId="7F662F7B" w14:textId="77777777" w:rsidR="003960E1" w:rsidRDefault="003960E1" w:rsidP="003D281C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 w:themeColor="text1"/>
          <w:sz w:val="36"/>
          <w:szCs w:val="36"/>
          <w:lang w:val="es-PR"/>
        </w:rPr>
      </w:pPr>
      <w:r w:rsidRPr="00AF068F">
        <w:rPr>
          <w:rFonts w:ascii="Book Antiqua" w:hAnsi="Book Antiqua"/>
          <w:b/>
          <w:bCs/>
          <w:color w:val="000000" w:themeColor="text1"/>
          <w:sz w:val="36"/>
          <w:szCs w:val="36"/>
          <w:lang w:val="es-PR"/>
        </w:rPr>
        <w:t>CÁMARA DE REPRESENTANTES</w:t>
      </w:r>
    </w:p>
    <w:p w14:paraId="0DE36DBF" w14:textId="77777777" w:rsidR="003D281C" w:rsidRPr="003D281C" w:rsidRDefault="003D281C" w:rsidP="003D281C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 w:themeColor="text1"/>
          <w:sz w:val="24"/>
          <w:szCs w:val="24"/>
          <w:lang w:val="es-PR"/>
        </w:rPr>
      </w:pPr>
    </w:p>
    <w:p w14:paraId="29C03934" w14:textId="77777777" w:rsidR="003D281C" w:rsidRDefault="003960E1" w:rsidP="003D281C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 w:themeColor="text1"/>
          <w:sz w:val="52"/>
          <w:szCs w:val="52"/>
          <w:lang w:val="es-PR"/>
        </w:rPr>
      </w:pPr>
      <w:r w:rsidRPr="00AF068F">
        <w:rPr>
          <w:rFonts w:ascii="Book Antiqua" w:hAnsi="Book Antiqua"/>
          <w:b/>
          <w:bCs/>
          <w:color w:val="000000" w:themeColor="text1"/>
          <w:sz w:val="52"/>
          <w:szCs w:val="52"/>
          <w:lang w:val="es-PR"/>
        </w:rPr>
        <w:t>P. de la C.</w:t>
      </w:r>
      <w:r w:rsidR="0026470B">
        <w:rPr>
          <w:rFonts w:ascii="Book Antiqua" w:hAnsi="Book Antiqua"/>
          <w:b/>
          <w:bCs/>
          <w:color w:val="000000" w:themeColor="text1"/>
          <w:sz w:val="52"/>
          <w:szCs w:val="52"/>
          <w:lang w:val="es-PR"/>
        </w:rPr>
        <w:t xml:space="preserve"> 272</w:t>
      </w:r>
    </w:p>
    <w:p w14:paraId="27B7816F" w14:textId="77777777" w:rsidR="003D281C" w:rsidRPr="003D281C" w:rsidRDefault="003D281C" w:rsidP="003D281C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 w:themeColor="text1"/>
          <w:sz w:val="24"/>
          <w:szCs w:val="24"/>
          <w:lang w:val="es-PR"/>
        </w:rPr>
      </w:pPr>
    </w:p>
    <w:p w14:paraId="277A2E96" w14:textId="660A88CF" w:rsidR="003960E1" w:rsidRDefault="004464D6" w:rsidP="003D281C">
      <w:pPr>
        <w:suppressLineNumbers/>
        <w:spacing w:after="0" w:line="240" w:lineRule="auto"/>
        <w:jc w:val="center"/>
        <w:rPr>
          <w:rFonts w:ascii="Book Antiqua" w:hAnsi="Book Antiqua"/>
          <w:color w:val="000000" w:themeColor="text1"/>
          <w:sz w:val="24"/>
          <w:lang w:val="es-PR"/>
        </w:rPr>
      </w:pPr>
      <w:r>
        <w:rPr>
          <w:rFonts w:ascii="Book Antiqua" w:hAnsi="Book Antiqua"/>
          <w:color w:val="000000" w:themeColor="text1"/>
          <w:sz w:val="24"/>
          <w:lang w:val="es-PR"/>
        </w:rPr>
        <w:t>2</w:t>
      </w:r>
      <w:r w:rsidR="0026470B">
        <w:rPr>
          <w:rFonts w:ascii="Book Antiqua" w:hAnsi="Book Antiqua"/>
          <w:color w:val="000000" w:themeColor="text1"/>
          <w:sz w:val="24"/>
          <w:lang w:val="es-PR"/>
        </w:rPr>
        <w:t>7</w:t>
      </w:r>
      <w:r w:rsidR="003960E1" w:rsidRPr="00DB05BD">
        <w:rPr>
          <w:rFonts w:ascii="Book Antiqua" w:hAnsi="Book Antiqua"/>
          <w:color w:val="000000" w:themeColor="text1"/>
          <w:sz w:val="24"/>
          <w:lang w:val="es-PR"/>
        </w:rPr>
        <w:t xml:space="preserve"> DE </w:t>
      </w:r>
      <w:r w:rsidR="003960E1">
        <w:rPr>
          <w:rFonts w:ascii="Book Antiqua" w:hAnsi="Book Antiqua"/>
          <w:color w:val="000000" w:themeColor="text1"/>
          <w:sz w:val="24"/>
          <w:lang w:val="es-PR"/>
        </w:rPr>
        <w:t>ENERO</w:t>
      </w:r>
      <w:r w:rsidR="003960E1" w:rsidRPr="00DB05BD">
        <w:rPr>
          <w:rFonts w:ascii="Book Antiqua" w:hAnsi="Book Antiqua"/>
          <w:color w:val="000000" w:themeColor="text1"/>
          <w:sz w:val="24"/>
          <w:lang w:val="es-PR"/>
        </w:rPr>
        <w:t xml:space="preserve"> DE 202</w:t>
      </w:r>
      <w:r w:rsidR="003960E1">
        <w:rPr>
          <w:rFonts w:ascii="Book Antiqua" w:hAnsi="Book Antiqua"/>
          <w:color w:val="000000" w:themeColor="text1"/>
          <w:sz w:val="24"/>
          <w:lang w:val="es-PR"/>
        </w:rPr>
        <w:t>5</w:t>
      </w:r>
    </w:p>
    <w:p w14:paraId="36C95D3C" w14:textId="77777777" w:rsidR="003D281C" w:rsidRPr="00DB05BD" w:rsidRDefault="003D281C" w:rsidP="003D281C">
      <w:pPr>
        <w:suppressLineNumbers/>
        <w:spacing w:after="0" w:line="240" w:lineRule="auto"/>
        <w:jc w:val="center"/>
        <w:rPr>
          <w:rFonts w:ascii="Book Antiqua" w:hAnsi="Book Antiqua"/>
          <w:color w:val="000000" w:themeColor="text1"/>
          <w:sz w:val="24"/>
          <w:lang w:val="es-PR"/>
        </w:rPr>
      </w:pPr>
    </w:p>
    <w:p w14:paraId="1559EAA4" w14:textId="108009A3" w:rsidR="003960E1" w:rsidRDefault="003960E1" w:rsidP="003D281C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 w:themeColor="text1"/>
          <w:sz w:val="24"/>
          <w:szCs w:val="24"/>
          <w:shd w:val="clear" w:color="auto" w:fill="FFFFFF"/>
          <w:lang w:val="es-PR"/>
        </w:rPr>
      </w:pPr>
      <w:r w:rsidRPr="00AF068F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PR"/>
        </w:rPr>
        <w:t xml:space="preserve">Presentado por </w:t>
      </w:r>
      <w:r w:rsidR="00043E5C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PR"/>
        </w:rPr>
        <w:t>el</w:t>
      </w:r>
      <w:r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PR"/>
        </w:rPr>
        <w:t xml:space="preserve"> </w:t>
      </w:r>
      <w:r w:rsidR="004464D6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PR"/>
        </w:rPr>
        <w:t>representante</w:t>
      </w:r>
      <w:r w:rsidRPr="00AF068F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PR"/>
        </w:rPr>
        <w:t xml:space="preserve"> </w:t>
      </w:r>
      <w:r>
        <w:rPr>
          <w:rFonts w:ascii="Book Antiqua" w:hAnsi="Book Antiqua"/>
          <w:i/>
          <w:iCs/>
          <w:color w:val="000000" w:themeColor="text1"/>
          <w:sz w:val="24"/>
          <w:szCs w:val="24"/>
          <w:shd w:val="clear" w:color="auto" w:fill="FFFFFF"/>
          <w:lang w:val="es-PR"/>
        </w:rPr>
        <w:t>Est</w:t>
      </w:r>
      <w:r w:rsidR="004464D6">
        <w:rPr>
          <w:rFonts w:ascii="Book Antiqua" w:hAnsi="Book Antiqua"/>
          <w:i/>
          <w:iCs/>
          <w:color w:val="000000" w:themeColor="text1"/>
          <w:sz w:val="24"/>
          <w:szCs w:val="24"/>
          <w:shd w:val="clear" w:color="auto" w:fill="FFFFFF"/>
          <w:lang w:val="es-PR"/>
        </w:rPr>
        <w:t>é</w:t>
      </w:r>
      <w:r>
        <w:rPr>
          <w:rFonts w:ascii="Book Antiqua" w:hAnsi="Book Antiqua"/>
          <w:i/>
          <w:iCs/>
          <w:color w:val="000000" w:themeColor="text1"/>
          <w:sz w:val="24"/>
          <w:szCs w:val="24"/>
          <w:shd w:val="clear" w:color="auto" w:fill="FFFFFF"/>
          <w:lang w:val="es-PR"/>
        </w:rPr>
        <w:t>ve</w:t>
      </w:r>
      <w:r w:rsidR="00DF74DF">
        <w:rPr>
          <w:rFonts w:ascii="Book Antiqua" w:hAnsi="Book Antiqua"/>
          <w:i/>
          <w:iCs/>
          <w:color w:val="000000" w:themeColor="text1"/>
          <w:sz w:val="24"/>
          <w:szCs w:val="24"/>
          <w:shd w:val="clear" w:color="auto" w:fill="FFFFFF"/>
          <w:lang w:val="es-PR"/>
        </w:rPr>
        <w:t>z</w:t>
      </w:r>
      <w:r>
        <w:rPr>
          <w:rFonts w:ascii="Book Antiqua" w:hAnsi="Book Antiqua"/>
          <w:i/>
          <w:iCs/>
          <w:color w:val="000000" w:themeColor="text1"/>
          <w:sz w:val="24"/>
          <w:szCs w:val="24"/>
          <w:shd w:val="clear" w:color="auto" w:fill="FFFFFF"/>
          <w:lang w:val="es-PR"/>
        </w:rPr>
        <w:t xml:space="preserve"> </w:t>
      </w:r>
      <w:r w:rsidR="004464D6">
        <w:rPr>
          <w:rFonts w:ascii="Book Antiqua" w:hAnsi="Book Antiqua"/>
          <w:i/>
          <w:iCs/>
          <w:color w:val="000000" w:themeColor="text1"/>
          <w:sz w:val="24"/>
          <w:szCs w:val="24"/>
          <w:shd w:val="clear" w:color="auto" w:fill="FFFFFF"/>
          <w:lang w:val="es-PR"/>
        </w:rPr>
        <w:t>Vélez</w:t>
      </w:r>
    </w:p>
    <w:p w14:paraId="6F774EF4" w14:textId="3271A46B" w:rsidR="004B3723" w:rsidRDefault="004B3723" w:rsidP="003D281C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 w:themeColor="text1"/>
          <w:sz w:val="24"/>
          <w:szCs w:val="24"/>
          <w:shd w:val="clear" w:color="auto" w:fill="FFFFFF"/>
          <w:lang w:val="es-PR"/>
        </w:rPr>
      </w:pPr>
      <w:r w:rsidRPr="004B3723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PR"/>
        </w:rPr>
        <w:t xml:space="preserve">y suscrito por </w:t>
      </w:r>
      <w:r w:rsidR="00B8682D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PR"/>
        </w:rPr>
        <w:t>los</w:t>
      </w:r>
      <w:r w:rsidR="00B8682D" w:rsidRPr="004B3723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PR"/>
        </w:rPr>
        <w:t xml:space="preserve"> representantes</w:t>
      </w:r>
      <w:r>
        <w:rPr>
          <w:rFonts w:ascii="Book Antiqua" w:hAnsi="Book Antiqua"/>
          <w:i/>
          <w:iCs/>
          <w:color w:val="000000" w:themeColor="text1"/>
          <w:sz w:val="24"/>
          <w:szCs w:val="24"/>
          <w:shd w:val="clear" w:color="auto" w:fill="FFFFFF"/>
          <w:lang w:val="es-PR"/>
        </w:rPr>
        <w:t xml:space="preserve"> </w:t>
      </w:r>
      <w:r w:rsidRPr="004B3723">
        <w:rPr>
          <w:rFonts w:ascii="Book Antiqua" w:hAnsi="Book Antiqua"/>
          <w:i/>
          <w:iCs/>
          <w:color w:val="000000" w:themeColor="text1"/>
          <w:sz w:val="24"/>
          <w:szCs w:val="24"/>
          <w:shd w:val="clear" w:color="auto" w:fill="FFFFFF"/>
          <w:lang w:val="es-PR"/>
        </w:rPr>
        <w:t>Román López</w:t>
      </w:r>
      <w:r w:rsidR="00A73202">
        <w:rPr>
          <w:rFonts w:ascii="Book Antiqua" w:hAnsi="Book Antiqua"/>
          <w:i/>
          <w:iCs/>
          <w:color w:val="000000" w:themeColor="text1"/>
          <w:sz w:val="24"/>
          <w:szCs w:val="24"/>
          <w:shd w:val="clear" w:color="auto" w:fill="FFFFFF"/>
          <w:lang w:val="es-PR"/>
        </w:rPr>
        <w:t>,</w:t>
      </w:r>
      <w:r w:rsidR="002E202C">
        <w:rPr>
          <w:rFonts w:ascii="Book Antiqua" w:hAnsi="Book Antiqua"/>
          <w:i/>
          <w:iCs/>
          <w:color w:val="000000" w:themeColor="text1"/>
          <w:sz w:val="24"/>
          <w:szCs w:val="24"/>
          <w:shd w:val="clear" w:color="auto" w:fill="FFFFFF"/>
          <w:lang w:val="es-PR"/>
        </w:rPr>
        <w:t xml:space="preserve"> Roque Gracia</w:t>
      </w:r>
      <w:r w:rsidR="00A73202">
        <w:rPr>
          <w:rFonts w:ascii="Book Antiqua" w:hAnsi="Book Antiqua"/>
          <w:i/>
          <w:iCs/>
          <w:color w:val="000000" w:themeColor="text1"/>
          <w:sz w:val="24"/>
          <w:szCs w:val="24"/>
          <w:shd w:val="clear" w:color="auto" w:fill="FFFFFF"/>
          <w:lang w:val="es-PR"/>
        </w:rPr>
        <w:t>, Medina Calderón, Carlo Acosta y Rodríguez Torres</w:t>
      </w:r>
    </w:p>
    <w:p w14:paraId="145F45AA" w14:textId="77777777" w:rsidR="003D281C" w:rsidRPr="00AF068F" w:rsidRDefault="003D281C" w:rsidP="003D281C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 w:themeColor="text1"/>
          <w:sz w:val="24"/>
          <w:szCs w:val="24"/>
          <w:shd w:val="clear" w:color="auto" w:fill="FFFFFF"/>
          <w:lang w:val="es-PR"/>
        </w:rPr>
      </w:pPr>
    </w:p>
    <w:p w14:paraId="358B4742" w14:textId="2E285ADC" w:rsidR="003960E1" w:rsidRDefault="003960E1" w:rsidP="003D281C">
      <w:pPr>
        <w:suppressLineNumbers/>
        <w:spacing w:after="0" w:line="240" w:lineRule="auto"/>
        <w:jc w:val="center"/>
        <w:rPr>
          <w:rFonts w:ascii="Book Antiqua" w:hAnsi="Book Antiqua"/>
          <w:color w:val="000000" w:themeColor="text1"/>
          <w:sz w:val="24"/>
          <w:szCs w:val="24"/>
          <w:lang w:val="es-PR"/>
        </w:rPr>
      </w:pPr>
      <w:r w:rsidRPr="00DB05BD">
        <w:rPr>
          <w:rFonts w:ascii="Book Antiqua" w:hAnsi="Book Antiqua"/>
          <w:color w:val="000000" w:themeColor="text1"/>
          <w:sz w:val="24"/>
          <w:szCs w:val="24"/>
          <w:lang w:val="es-PR"/>
        </w:rPr>
        <w:t xml:space="preserve">Referido </w:t>
      </w:r>
      <w:r w:rsidR="00DD4979">
        <w:rPr>
          <w:rFonts w:ascii="Book Antiqua" w:hAnsi="Book Antiqua"/>
          <w:color w:val="000000" w:themeColor="text1"/>
          <w:sz w:val="24"/>
          <w:szCs w:val="24"/>
          <w:lang w:val="es-PR"/>
        </w:rPr>
        <w:t>a la Comisión de Hacienda</w:t>
      </w:r>
    </w:p>
    <w:p w14:paraId="764E6834" w14:textId="77777777" w:rsidR="003D281C" w:rsidRPr="00DB05BD" w:rsidRDefault="003D281C" w:rsidP="003D281C">
      <w:pPr>
        <w:suppressLineNumbers/>
        <w:spacing w:after="0" w:line="240" w:lineRule="auto"/>
        <w:jc w:val="center"/>
        <w:rPr>
          <w:rFonts w:ascii="Book Antiqua" w:hAnsi="Book Antiqua"/>
          <w:color w:val="000000" w:themeColor="text1"/>
          <w:sz w:val="24"/>
          <w:szCs w:val="24"/>
          <w:lang w:val="es-PR"/>
        </w:rPr>
      </w:pPr>
    </w:p>
    <w:p w14:paraId="3B3972DD" w14:textId="77777777" w:rsidR="003960E1" w:rsidRDefault="003960E1" w:rsidP="003D281C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 w:themeColor="text1"/>
          <w:sz w:val="28"/>
          <w:szCs w:val="28"/>
          <w:lang w:val="es-PR"/>
        </w:rPr>
      </w:pPr>
      <w:r w:rsidRPr="003D281C">
        <w:rPr>
          <w:rFonts w:ascii="Book Antiqua" w:hAnsi="Book Antiqua"/>
          <w:b/>
          <w:bCs/>
          <w:color w:val="000000" w:themeColor="text1"/>
          <w:sz w:val="28"/>
          <w:szCs w:val="28"/>
          <w:lang w:val="es-PR"/>
        </w:rPr>
        <w:t>LEY</w:t>
      </w:r>
    </w:p>
    <w:p w14:paraId="54FA94B3" w14:textId="77777777" w:rsidR="003D281C" w:rsidRPr="003D281C" w:rsidRDefault="003D281C" w:rsidP="003D281C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 w:themeColor="text1"/>
          <w:sz w:val="24"/>
          <w:szCs w:val="24"/>
          <w:lang w:val="es-PR"/>
        </w:rPr>
      </w:pPr>
    </w:p>
    <w:p w14:paraId="25F8517E" w14:textId="33C1B357" w:rsidR="003960E1" w:rsidRDefault="003960E1" w:rsidP="003D281C">
      <w:pPr>
        <w:suppressLineNumbers/>
        <w:spacing w:after="0" w:line="240" w:lineRule="auto"/>
        <w:ind w:left="446" w:hanging="360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  <w:r w:rsidRPr="003960E1">
        <w:rPr>
          <w:rFonts w:ascii="Book Antiqua" w:hAnsi="Book Antiqua"/>
          <w:color w:val="000000" w:themeColor="text1"/>
          <w:sz w:val="24"/>
          <w:szCs w:val="24"/>
          <w:lang w:val="es-PR"/>
        </w:rPr>
        <w:t>P</w:t>
      </w:r>
      <w:r w:rsidRPr="003960E1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ara enmendar </w:t>
      </w:r>
      <w:r w:rsidR="00970127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el </w:t>
      </w:r>
      <w:r w:rsidRPr="003960E1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inciso (b) de la Sección 4030.20 de la Ley Núm. 1-2011, según enmendada, conocida como “Código de Rentas Internas para un Nuevo Puerto Rico” o “Código de Rentas Internas de Puerto Rico de 2011” a fin de ampliar el período de exención del pago del impuesto sobre </w:t>
      </w:r>
      <w:r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la </w:t>
      </w:r>
      <w:r w:rsidRPr="003960E1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venta y uso en la compra de uniformes y materiales escolares a </w:t>
      </w:r>
      <w:r w:rsidR="00521916">
        <w:rPr>
          <w:rFonts w:ascii="Book Antiqua" w:hAnsi="Book Antiqua"/>
          <w:color w:val="000000" w:themeColor="text1"/>
          <w:sz w:val="24"/>
          <w:szCs w:val="24"/>
          <w:lang w:val="es-ES"/>
        </w:rPr>
        <w:t>catorce (14) días</w:t>
      </w:r>
      <w:r w:rsidRPr="003960E1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al año; y para otros fines relacionados.</w:t>
      </w:r>
    </w:p>
    <w:p w14:paraId="7F32FA70" w14:textId="77777777" w:rsidR="003D281C" w:rsidRPr="003960E1" w:rsidRDefault="003D281C" w:rsidP="003D281C">
      <w:pPr>
        <w:suppressLineNumbers/>
        <w:spacing w:after="0" w:line="240" w:lineRule="auto"/>
        <w:ind w:left="446" w:hanging="360"/>
        <w:jc w:val="both"/>
        <w:rPr>
          <w:rFonts w:ascii="Book Antiqua" w:hAnsi="Book Antiqua"/>
          <w:color w:val="000000" w:themeColor="text1"/>
          <w:sz w:val="24"/>
          <w:szCs w:val="24"/>
          <w:lang w:val="es-PR"/>
        </w:rPr>
      </w:pPr>
    </w:p>
    <w:p w14:paraId="75704766" w14:textId="0E85A699" w:rsidR="003960E1" w:rsidRDefault="003960E1" w:rsidP="001F2D73">
      <w:pPr>
        <w:suppressLineNumbers/>
        <w:spacing w:after="0" w:line="240" w:lineRule="auto"/>
        <w:jc w:val="center"/>
        <w:rPr>
          <w:rFonts w:ascii="Book Antiqua" w:hAnsi="Book Antiqua"/>
          <w:color w:val="000000" w:themeColor="text1"/>
          <w:sz w:val="24"/>
          <w:szCs w:val="24"/>
          <w:lang w:val="es-PR"/>
        </w:rPr>
      </w:pPr>
      <w:r w:rsidRPr="0041081F">
        <w:rPr>
          <w:rFonts w:ascii="Book Antiqua" w:hAnsi="Book Antiqua"/>
          <w:color w:val="000000" w:themeColor="text1"/>
          <w:sz w:val="24"/>
          <w:szCs w:val="24"/>
          <w:lang w:val="es-PR"/>
        </w:rPr>
        <w:t>EXPOSICIÓN DE MOTIVOS</w:t>
      </w:r>
    </w:p>
    <w:p w14:paraId="266E361B" w14:textId="77777777" w:rsidR="001F2D73" w:rsidRPr="001F2D73" w:rsidRDefault="001F2D73" w:rsidP="001F2D73">
      <w:pPr>
        <w:suppressLineNumbers/>
        <w:spacing w:after="0" w:line="240" w:lineRule="auto"/>
        <w:jc w:val="center"/>
        <w:rPr>
          <w:rFonts w:ascii="Book Antiqua" w:hAnsi="Book Antiqua"/>
          <w:color w:val="000000" w:themeColor="text1"/>
          <w:sz w:val="24"/>
          <w:szCs w:val="24"/>
          <w:lang w:val="es-PR"/>
        </w:rPr>
      </w:pPr>
    </w:p>
    <w:p w14:paraId="29D1F5A9" w14:textId="77777777" w:rsidR="00EF66B6" w:rsidRPr="001F2D73" w:rsidRDefault="00EF66B6" w:rsidP="00EF66B6">
      <w:pPr>
        <w:suppressLineNumbers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</w:pPr>
      <w:r w:rsidRPr="001F2D73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>El inicio de cada semestre escolar representa un reto económico significativo para miles de familias puertorriqueñas. La adquisición de uniformes y materiales escolares constituye un gasto recurrente e inevitable, particularmente concentrado en los meses previos al comienzo de clases en julio y enero.</w:t>
      </w:r>
    </w:p>
    <w:p w14:paraId="122FC7C7" w14:textId="77777777" w:rsidR="00EF66B6" w:rsidRPr="001F2D73" w:rsidRDefault="00EF66B6" w:rsidP="00EF66B6">
      <w:pPr>
        <w:suppressLineNumbers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</w:pPr>
    </w:p>
    <w:p w14:paraId="76CA2145" w14:textId="1A856F20" w:rsidR="00EF66B6" w:rsidRPr="001F2D73" w:rsidRDefault="00EF66B6" w:rsidP="00EF66B6">
      <w:pPr>
        <w:suppressLineNumbers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</w:pPr>
      <w:r w:rsidRPr="001F2D73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 xml:space="preserve">El “Código de Rentas Internas para un Nuevo Puerto Rico” actualmente establece un período específico de exención del impuesto sobre ventas y uso (IVU) para la compra de uniformes y materiales escolares. Esta política pública ha servido como un mecanismo de alivio contributivo dirigido a las familias, facilitando la adquisición de artículos necesarios para </w:t>
      </w:r>
      <w:r w:rsidR="00023DD9" w:rsidRPr="001F2D73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>preparación d</w:t>
      </w:r>
      <w:r w:rsidRPr="001F2D73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>el proceso educativo.</w:t>
      </w:r>
    </w:p>
    <w:p w14:paraId="50390232" w14:textId="77777777" w:rsidR="00EF66B6" w:rsidRPr="001F2D73" w:rsidRDefault="00EF66B6" w:rsidP="00EF66B6">
      <w:pPr>
        <w:suppressLineNumbers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</w:pPr>
    </w:p>
    <w:p w14:paraId="436B3BD8" w14:textId="6A16131F" w:rsidR="00EF66B6" w:rsidRPr="001F2D73" w:rsidRDefault="00EF66B6" w:rsidP="00EF66B6">
      <w:pPr>
        <w:suppressLineNumbers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</w:pPr>
      <w:r w:rsidRPr="001F2D73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lastRenderedPageBreak/>
        <w:t xml:space="preserve">No obstante, el término actualmente dispuesto en ley resulta limitado para muchas familias trabajadoras que organizan sus compras </w:t>
      </w:r>
      <w:r w:rsidR="00755438" w:rsidRPr="001F2D73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>sujeto a sus compromisos laborales</w:t>
      </w:r>
      <w:r w:rsidRPr="001F2D73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>. Ampliar el período de exención simplemente extiende el tiempo disponible para realizar las mismas compras que tradicionalmente se efectúan durante esos días.</w:t>
      </w:r>
    </w:p>
    <w:p w14:paraId="06956F5C" w14:textId="77777777" w:rsidR="00EF66B6" w:rsidRPr="001F2D73" w:rsidRDefault="00EF66B6" w:rsidP="00EF66B6">
      <w:pPr>
        <w:suppressLineNumbers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</w:pPr>
    </w:p>
    <w:p w14:paraId="03E396FA" w14:textId="5E6B7C30" w:rsidR="00EF66B6" w:rsidRPr="001F2D73" w:rsidRDefault="00EF66B6" w:rsidP="00EF66B6">
      <w:pPr>
        <w:suppressLineNumbers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</w:pPr>
      <w:r w:rsidRPr="001F2D73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 xml:space="preserve">Mediante esta Ley, la Asamblea Legislativa reafirma su compromiso de ofrecer un alivio </w:t>
      </w:r>
      <w:r w:rsidR="00755438" w:rsidRPr="001F2D73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>necesario</w:t>
      </w:r>
      <w:r w:rsidRPr="001F2D73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>, accesible y fiscalmente responsable,</w:t>
      </w:r>
      <w:r w:rsidR="00755438" w:rsidRPr="001F2D73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 xml:space="preserve"> mientras se fortalece</w:t>
      </w:r>
      <w:r w:rsidRPr="001F2D73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 xml:space="preserve"> </w:t>
      </w:r>
      <w:r w:rsidR="00023DD9" w:rsidRPr="001F2D73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>la política</w:t>
      </w:r>
      <w:r w:rsidRPr="001F2D73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 xml:space="preserve"> pública existente sin ampliar su costo para el erario</w:t>
      </w:r>
      <w:r w:rsidR="00755438" w:rsidRPr="001F2D73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 xml:space="preserve"> público</w:t>
      </w:r>
      <w:r w:rsidRPr="001F2D73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>.</w:t>
      </w:r>
    </w:p>
    <w:p w14:paraId="14A60A16" w14:textId="77777777" w:rsidR="00EF66B6" w:rsidRPr="00EF66B6" w:rsidRDefault="00EF66B6" w:rsidP="003D281C">
      <w:pPr>
        <w:suppressLineNumbers/>
        <w:spacing w:after="0" w:line="240" w:lineRule="auto"/>
        <w:ind w:firstLine="720"/>
        <w:jc w:val="both"/>
        <w:rPr>
          <w:rFonts w:ascii="Book Antiqua" w:hAnsi="Book Antiqua"/>
          <w:strike/>
          <w:color w:val="000000" w:themeColor="text1"/>
          <w:sz w:val="24"/>
          <w:szCs w:val="24"/>
          <w:shd w:val="clear" w:color="auto" w:fill="FFFFFF"/>
          <w:lang w:val="es-PR"/>
        </w:rPr>
      </w:pPr>
    </w:p>
    <w:p w14:paraId="6F6FFB14" w14:textId="77777777" w:rsidR="003960E1" w:rsidRPr="0049228F" w:rsidRDefault="003960E1" w:rsidP="003D281C">
      <w:pPr>
        <w:suppressLineNumbers/>
        <w:spacing w:after="0" w:line="480" w:lineRule="auto"/>
        <w:rPr>
          <w:rFonts w:ascii="Book Antiqua" w:hAnsi="Book Antiqua"/>
          <w:bCs/>
          <w:i/>
          <w:color w:val="000000" w:themeColor="text1"/>
          <w:sz w:val="24"/>
          <w:szCs w:val="24"/>
          <w:lang w:val="es-PR"/>
        </w:rPr>
      </w:pPr>
      <w:r w:rsidRPr="0049228F">
        <w:rPr>
          <w:rFonts w:ascii="Book Antiqua" w:hAnsi="Book Antiqua"/>
          <w:bCs/>
          <w:i/>
          <w:color w:val="000000" w:themeColor="text1"/>
          <w:sz w:val="24"/>
          <w:szCs w:val="24"/>
          <w:lang w:val="es-PR"/>
        </w:rPr>
        <w:t>DECRÉT</w:t>
      </w:r>
      <w:r>
        <w:rPr>
          <w:rFonts w:ascii="Book Antiqua" w:hAnsi="Book Antiqua"/>
          <w:bCs/>
          <w:i/>
          <w:color w:val="000000" w:themeColor="text1"/>
          <w:sz w:val="24"/>
          <w:szCs w:val="24"/>
          <w:lang w:val="es-PR"/>
        </w:rPr>
        <w:t>ASE</w:t>
      </w:r>
      <w:r w:rsidRPr="0049228F">
        <w:rPr>
          <w:rFonts w:ascii="Book Antiqua" w:hAnsi="Book Antiqua"/>
          <w:bCs/>
          <w:i/>
          <w:color w:val="000000" w:themeColor="text1"/>
          <w:sz w:val="24"/>
          <w:szCs w:val="24"/>
          <w:lang w:val="es-PR"/>
        </w:rPr>
        <w:t xml:space="preserve"> POR LA ASAMBLEA LEGISLATIVA DE </w:t>
      </w:r>
      <w:r>
        <w:rPr>
          <w:rFonts w:ascii="Book Antiqua" w:hAnsi="Book Antiqua"/>
          <w:bCs/>
          <w:i/>
          <w:color w:val="000000" w:themeColor="text1"/>
          <w:sz w:val="24"/>
          <w:szCs w:val="24"/>
          <w:lang w:val="es-PR"/>
        </w:rPr>
        <w:t>P</w:t>
      </w:r>
      <w:r w:rsidRPr="0049228F">
        <w:rPr>
          <w:rFonts w:ascii="Book Antiqua" w:hAnsi="Book Antiqua"/>
          <w:bCs/>
          <w:i/>
          <w:color w:val="000000" w:themeColor="text1"/>
          <w:sz w:val="24"/>
          <w:szCs w:val="24"/>
          <w:lang w:val="es-PR"/>
        </w:rPr>
        <w:t>UERTO RICO</w:t>
      </w:r>
      <w:bookmarkStart w:id="1" w:name="_Hlk75270773"/>
      <w:bookmarkStart w:id="2" w:name="_Hlk75270585"/>
      <w:r>
        <w:rPr>
          <w:rFonts w:ascii="Book Antiqua" w:hAnsi="Book Antiqua"/>
          <w:bCs/>
          <w:i/>
          <w:color w:val="000000" w:themeColor="text1"/>
          <w:sz w:val="24"/>
          <w:szCs w:val="24"/>
          <w:lang w:val="es-PR"/>
        </w:rPr>
        <w:t>:</w:t>
      </w:r>
    </w:p>
    <w:bookmarkEnd w:id="1"/>
    <w:p w14:paraId="3600252E" w14:textId="17A48B29" w:rsidR="003960E1" w:rsidRPr="00FF2D9E" w:rsidRDefault="003960E1" w:rsidP="003960E1">
      <w:pPr>
        <w:spacing w:after="0" w:line="480" w:lineRule="auto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  <w:r w:rsidRPr="00FF2D9E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Artículo </w:t>
      </w:r>
      <w:r>
        <w:rPr>
          <w:rFonts w:ascii="Book Antiqua" w:hAnsi="Book Antiqua"/>
          <w:color w:val="000000" w:themeColor="text1"/>
          <w:sz w:val="24"/>
          <w:szCs w:val="24"/>
          <w:lang w:val="es-ES"/>
        </w:rPr>
        <w:t>1</w:t>
      </w:r>
      <w:r w:rsidRPr="00FF2D9E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.- Se enmienda </w:t>
      </w:r>
      <w:r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la </w:t>
      </w:r>
      <w:r w:rsidRPr="00FF2D9E">
        <w:rPr>
          <w:rFonts w:ascii="Book Antiqua" w:hAnsi="Book Antiqua"/>
          <w:color w:val="000000" w:themeColor="text1"/>
          <w:sz w:val="24"/>
          <w:szCs w:val="24"/>
          <w:lang w:val="es-ES"/>
        </w:rPr>
        <w:t>Sección</w:t>
      </w:r>
      <w:r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4030.20 </w:t>
      </w:r>
      <w:r w:rsidRPr="00FF2D9E">
        <w:rPr>
          <w:rFonts w:ascii="Book Antiqua" w:hAnsi="Book Antiqua"/>
          <w:color w:val="000000" w:themeColor="text1"/>
          <w:sz w:val="24"/>
          <w:szCs w:val="24"/>
          <w:lang w:val="es-ES"/>
        </w:rPr>
        <w:t>de la Ley Núm. 1-20</w:t>
      </w:r>
      <w:r>
        <w:rPr>
          <w:rFonts w:ascii="Book Antiqua" w:hAnsi="Book Antiqua"/>
          <w:color w:val="000000" w:themeColor="text1"/>
          <w:sz w:val="24"/>
          <w:szCs w:val="24"/>
          <w:lang w:val="es-ES"/>
        </w:rPr>
        <w:t>11</w:t>
      </w:r>
      <w:r w:rsidRPr="00FF2D9E">
        <w:rPr>
          <w:rFonts w:ascii="Book Antiqua" w:hAnsi="Book Antiqua"/>
          <w:color w:val="000000" w:themeColor="text1"/>
          <w:sz w:val="24"/>
          <w:szCs w:val="24"/>
          <w:lang w:val="es-ES"/>
        </w:rPr>
        <w:t>, según enmendada, conocida como “</w:t>
      </w:r>
      <w:r>
        <w:rPr>
          <w:rFonts w:ascii="Book Antiqua" w:hAnsi="Book Antiqua"/>
          <w:color w:val="000000" w:themeColor="text1"/>
          <w:sz w:val="24"/>
          <w:szCs w:val="24"/>
          <w:lang w:val="es-ES"/>
        </w:rPr>
        <w:t>Código de Rentas Internas para un Nuevo Puerto Rico</w:t>
      </w:r>
      <w:r w:rsidRPr="00FF2D9E">
        <w:rPr>
          <w:rFonts w:ascii="Book Antiqua" w:hAnsi="Book Antiqua"/>
          <w:color w:val="000000" w:themeColor="text1"/>
          <w:sz w:val="24"/>
          <w:szCs w:val="24"/>
          <w:lang w:val="es-ES"/>
        </w:rPr>
        <w:t>”</w:t>
      </w:r>
      <w:r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o “Código de Rentas Internas de Puerto Rico de 2011”</w:t>
      </w:r>
      <w:r w:rsidRPr="00FF2D9E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para enmendar el inciso (</w:t>
      </w:r>
      <w:r w:rsidR="00521916">
        <w:rPr>
          <w:rFonts w:ascii="Book Antiqua" w:hAnsi="Book Antiqua"/>
          <w:color w:val="000000" w:themeColor="text1"/>
          <w:sz w:val="24"/>
          <w:szCs w:val="24"/>
          <w:lang w:val="es-ES"/>
        </w:rPr>
        <w:t>b</w:t>
      </w:r>
      <w:r w:rsidRPr="00FF2D9E">
        <w:rPr>
          <w:rFonts w:ascii="Book Antiqua" w:hAnsi="Book Antiqua"/>
          <w:color w:val="000000" w:themeColor="text1"/>
          <w:sz w:val="24"/>
          <w:szCs w:val="24"/>
          <w:lang w:val="es-ES"/>
        </w:rPr>
        <w:t>), para que se lea como sigue:</w:t>
      </w:r>
    </w:p>
    <w:p w14:paraId="77B73685" w14:textId="107BA5B0" w:rsidR="003960E1" w:rsidRDefault="003960E1" w:rsidP="003960E1">
      <w:pPr>
        <w:spacing w:after="0" w:line="480" w:lineRule="auto"/>
        <w:ind w:firstLine="547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  <w:r w:rsidRPr="00FF2D9E">
        <w:rPr>
          <w:rFonts w:ascii="Book Antiqua" w:hAnsi="Book Antiqua"/>
          <w:color w:val="000000" w:themeColor="text1"/>
          <w:sz w:val="24"/>
          <w:szCs w:val="24"/>
          <w:lang w:val="es-ES"/>
        </w:rPr>
        <w:t>“</w:t>
      </w:r>
      <w:r>
        <w:rPr>
          <w:rFonts w:ascii="Book Antiqua" w:hAnsi="Book Antiqua"/>
          <w:color w:val="000000" w:themeColor="text1"/>
          <w:sz w:val="24"/>
          <w:szCs w:val="24"/>
          <w:lang w:val="es-ES"/>
        </w:rPr>
        <w:t>Sección</w:t>
      </w:r>
      <w:r w:rsidRPr="00FF2D9E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</w:t>
      </w:r>
      <w:r>
        <w:rPr>
          <w:rFonts w:ascii="Book Antiqua" w:hAnsi="Book Antiqua"/>
          <w:color w:val="000000" w:themeColor="text1"/>
          <w:sz w:val="24"/>
          <w:szCs w:val="24"/>
          <w:lang w:val="es-ES"/>
        </w:rPr>
        <w:t>4030.20</w:t>
      </w:r>
      <w:r w:rsidRPr="00FF2D9E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. — </w:t>
      </w:r>
      <w:r>
        <w:rPr>
          <w:rFonts w:ascii="Book Antiqua" w:hAnsi="Book Antiqua"/>
          <w:color w:val="000000" w:themeColor="text1"/>
          <w:sz w:val="24"/>
          <w:szCs w:val="24"/>
          <w:lang w:val="es-ES"/>
        </w:rPr>
        <w:t>Exención para Libros Impresos, Uniformes y Materiales</w:t>
      </w:r>
    </w:p>
    <w:p w14:paraId="6683881A" w14:textId="46D63C52" w:rsidR="003960E1" w:rsidRDefault="003960E1" w:rsidP="003960E1">
      <w:pPr>
        <w:pStyle w:val="ListParagraph"/>
        <w:numPr>
          <w:ilvl w:val="0"/>
          <w:numId w:val="5"/>
        </w:numPr>
        <w:spacing w:after="0" w:line="480" w:lineRule="auto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  <w:r>
        <w:rPr>
          <w:rFonts w:ascii="Book Antiqua" w:hAnsi="Book Antiqua"/>
          <w:color w:val="000000" w:themeColor="text1"/>
          <w:sz w:val="24"/>
          <w:szCs w:val="24"/>
          <w:lang w:val="es-ES"/>
        </w:rPr>
        <w:t>…</w:t>
      </w:r>
    </w:p>
    <w:p w14:paraId="0BCCAF08" w14:textId="76259ED2" w:rsidR="003960E1" w:rsidRPr="003960E1" w:rsidRDefault="003960E1" w:rsidP="003960E1">
      <w:pPr>
        <w:pStyle w:val="ListParagraph"/>
        <w:numPr>
          <w:ilvl w:val="0"/>
          <w:numId w:val="5"/>
        </w:numPr>
        <w:spacing w:after="0" w:line="480" w:lineRule="auto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  <w:r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Exención para uniformes y materiales – Se exime del pago del impuesto sobre venta y uso, según dispuesto en las Secciones 4020.01 y 4020.02, según aplique, durante un periodo de </w:t>
      </w:r>
      <w:r w:rsidR="00521916">
        <w:rPr>
          <w:rFonts w:ascii="Book Antiqua" w:hAnsi="Book Antiqua"/>
          <w:color w:val="000000" w:themeColor="text1"/>
          <w:sz w:val="24"/>
          <w:szCs w:val="24"/>
          <w:lang w:val="es-ES"/>
        </w:rPr>
        <w:t>siete (7) días en</w:t>
      </w:r>
      <w:r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el mes de julio y en el mes de enero, sobre la venta al detal de uniformes y materiales según aquí se definen. El Secretario emitirá, no más tarde del 1 de junio de cada año fiscal, una carta circular en la cual especificará el periodo de </w:t>
      </w:r>
      <w:r w:rsidRPr="001F2D73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una </w:t>
      </w:r>
      <w:r w:rsidR="001A2A0D" w:rsidRPr="001F2D73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(1) </w:t>
      </w:r>
      <w:r w:rsidRPr="001F2D73">
        <w:rPr>
          <w:rFonts w:ascii="Book Antiqua" w:hAnsi="Book Antiqua"/>
          <w:color w:val="000000" w:themeColor="text1"/>
          <w:sz w:val="24"/>
          <w:szCs w:val="24"/>
          <w:lang w:val="es-ES"/>
        </w:rPr>
        <w:t>semana</w:t>
      </w:r>
      <w:r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en el mes de </w:t>
      </w:r>
      <w:r w:rsidR="00970127">
        <w:rPr>
          <w:rFonts w:ascii="Book Antiqua" w:hAnsi="Book Antiqua"/>
          <w:color w:val="000000" w:themeColor="text1"/>
          <w:sz w:val="24"/>
          <w:szCs w:val="24"/>
          <w:lang w:val="es-ES"/>
        </w:rPr>
        <w:t>julio y siete (7) días en el mes de enero</w:t>
      </w:r>
      <w:r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en que aplicará esa exención. En aquellos años para los cuales no se emita la carta circular, se entenderá que el período al cual se refiere esta sección comenzará a las 12:01 a.m. del 12 de julio y concluirá a las doce de la medianoche del </w:t>
      </w:r>
      <w:r w:rsidRPr="001F2D73">
        <w:rPr>
          <w:rFonts w:ascii="Book Antiqua" w:hAnsi="Book Antiqua"/>
          <w:color w:val="000000" w:themeColor="text1"/>
          <w:sz w:val="24"/>
          <w:szCs w:val="24"/>
          <w:lang w:val="es-ES"/>
        </w:rPr>
        <w:t>1</w:t>
      </w:r>
      <w:r w:rsidR="00521916">
        <w:rPr>
          <w:rFonts w:ascii="Book Antiqua" w:hAnsi="Book Antiqua"/>
          <w:color w:val="000000" w:themeColor="text1"/>
          <w:sz w:val="24"/>
          <w:szCs w:val="24"/>
          <w:lang w:val="es-ES"/>
        </w:rPr>
        <w:t>8</w:t>
      </w:r>
      <w:r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de julio de cada año, y el correspondiente al periodo de enero </w:t>
      </w:r>
      <w:r>
        <w:rPr>
          <w:rFonts w:ascii="Book Antiqua" w:hAnsi="Book Antiqua"/>
          <w:color w:val="000000" w:themeColor="text1"/>
          <w:sz w:val="24"/>
          <w:szCs w:val="24"/>
          <w:lang w:val="es-ES"/>
        </w:rPr>
        <w:lastRenderedPageBreak/>
        <w:t xml:space="preserve">comenzará a las 12:01 a.m. del 10 de enero y concluirá a las doce de la medianoche del </w:t>
      </w:r>
      <w:r w:rsidRPr="001F2D73">
        <w:rPr>
          <w:rFonts w:ascii="Book Antiqua" w:hAnsi="Book Antiqua"/>
          <w:color w:val="000000" w:themeColor="text1"/>
          <w:sz w:val="24"/>
          <w:szCs w:val="24"/>
          <w:lang w:val="es-ES"/>
        </w:rPr>
        <w:t>1</w:t>
      </w:r>
      <w:r w:rsidR="00521916">
        <w:rPr>
          <w:rFonts w:ascii="Book Antiqua" w:hAnsi="Book Antiqua"/>
          <w:color w:val="000000" w:themeColor="text1"/>
          <w:sz w:val="24"/>
          <w:szCs w:val="24"/>
          <w:lang w:val="es-ES"/>
        </w:rPr>
        <w:t>6</w:t>
      </w:r>
      <w:r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de enero de cada año.</w:t>
      </w:r>
    </w:p>
    <w:p w14:paraId="6D145324" w14:textId="524D6207" w:rsidR="003960E1" w:rsidRPr="00521916" w:rsidRDefault="003960E1" w:rsidP="00521916">
      <w:pPr>
        <w:spacing w:after="0" w:line="480" w:lineRule="auto"/>
        <w:ind w:left="187" w:firstLine="720"/>
        <w:jc w:val="both"/>
        <w:rPr>
          <w:rFonts w:ascii="Book Antiqua" w:hAnsi="Book Antiqua"/>
          <w:bCs/>
          <w:i/>
          <w:iCs/>
          <w:color w:val="000000" w:themeColor="text1"/>
          <w:sz w:val="24"/>
          <w:szCs w:val="24"/>
          <w:lang w:val="es-ES"/>
        </w:rPr>
      </w:pPr>
      <w:r w:rsidRPr="00521916">
        <w:rPr>
          <w:rFonts w:ascii="Book Antiqua" w:hAnsi="Book Antiqua"/>
          <w:bCs/>
          <w:color w:val="000000" w:themeColor="text1"/>
          <w:sz w:val="24"/>
          <w:szCs w:val="24"/>
          <w:lang w:val="es-ES"/>
        </w:rPr>
        <w:t>…”</w:t>
      </w:r>
    </w:p>
    <w:p w14:paraId="43B58EFF" w14:textId="05629C38" w:rsidR="003960E1" w:rsidRPr="003960E1" w:rsidRDefault="003960E1" w:rsidP="003960E1">
      <w:pPr>
        <w:spacing w:after="0" w:line="480" w:lineRule="auto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  <w:r w:rsidRPr="0015368E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Artículo 2.- </w:t>
      </w:r>
      <w:r>
        <w:rPr>
          <w:rFonts w:ascii="Book Antiqua" w:hAnsi="Book Antiqua"/>
          <w:color w:val="000000" w:themeColor="text1"/>
          <w:sz w:val="24"/>
          <w:szCs w:val="24"/>
          <w:lang w:val="es-PR"/>
        </w:rPr>
        <w:t>Clausula de separabilidad</w:t>
      </w:r>
      <w:r w:rsidRPr="00BE5114">
        <w:rPr>
          <w:rFonts w:ascii="Book Antiqua" w:hAnsi="Book Antiqua"/>
          <w:color w:val="000000" w:themeColor="text1"/>
          <w:sz w:val="24"/>
          <w:szCs w:val="24"/>
          <w:lang w:val="es-PR"/>
        </w:rPr>
        <w:t>.</w:t>
      </w:r>
    </w:p>
    <w:p w14:paraId="273BA44E" w14:textId="77777777" w:rsidR="003960E1" w:rsidRPr="00C36D60" w:rsidRDefault="003960E1" w:rsidP="003960E1">
      <w:pPr>
        <w:spacing w:after="0" w:line="480" w:lineRule="auto"/>
        <w:ind w:firstLine="547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  <w:r w:rsidRPr="00C36D60">
        <w:rPr>
          <w:rFonts w:ascii="Book Antiqua" w:hAnsi="Book Antiqua"/>
          <w:color w:val="000000" w:themeColor="text1"/>
          <w:sz w:val="24"/>
          <w:szCs w:val="24"/>
          <w:lang w:val="es-ES"/>
        </w:rPr>
        <w:t>Si cualquier cláusula, párrafo, artículo o parte de este capítulo fuese declarada inconstitucional por un tribunal competente, la sentencia a tal efecto dictada no afectará ni invalidará el resto de las disposiciones de este capítulo. El efecto de dicha sentencia quedará limitado a la cláusula, párrafo, artículo o parte de la ley que hubiere sido declarada inconstitucional.</w:t>
      </w:r>
    </w:p>
    <w:p w14:paraId="361B0BBE" w14:textId="330BDE9F" w:rsidR="003960E1" w:rsidRPr="00BE5114" w:rsidRDefault="003960E1" w:rsidP="003960E1">
      <w:pPr>
        <w:spacing w:after="0" w:line="480" w:lineRule="auto"/>
        <w:ind w:firstLine="547"/>
        <w:jc w:val="both"/>
        <w:rPr>
          <w:rFonts w:ascii="Book Antiqua" w:hAnsi="Book Antiqua"/>
          <w:color w:val="000000" w:themeColor="text1"/>
          <w:sz w:val="24"/>
          <w:szCs w:val="24"/>
          <w:lang w:val="es-PR"/>
        </w:rPr>
      </w:pPr>
      <w:r>
        <w:rPr>
          <w:rFonts w:ascii="Book Antiqua" w:hAnsi="Book Antiqua"/>
          <w:color w:val="000000" w:themeColor="text1"/>
          <w:sz w:val="24"/>
          <w:szCs w:val="24"/>
          <w:lang w:val="es-PR"/>
        </w:rPr>
        <w:t xml:space="preserve">Artículo </w:t>
      </w:r>
      <w:r w:rsidR="00521916">
        <w:rPr>
          <w:rFonts w:ascii="Book Antiqua" w:hAnsi="Book Antiqua"/>
          <w:color w:val="000000" w:themeColor="text1"/>
          <w:sz w:val="24"/>
          <w:szCs w:val="24"/>
          <w:lang w:val="es-PR"/>
        </w:rPr>
        <w:t>3</w:t>
      </w:r>
      <w:r w:rsidRPr="00BE5114">
        <w:rPr>
          <w:rFonts w:ascii="Book Antiqua" w:hAnsi="Book Antiqua"/>
          <w:color w:val="000000" w:themeColor="text1"/>
          <w:sz w:val="24"/>
          <w:szCs w:val="24"/>
          <w:lang w:val="es-PR"/>
        </w:rPr>
        <w:t>.-</w:t>
      </w:r>
      <w:r>
        <w:rPr>
          <w:rFonts w:ascii="Book Antiqua" w:hAnsi="Book Antiqua"/>
          <w:color w:val="000000" w:themeColor="text1"/>
          <w:sz w:val="24"/>
          <w:szCs w:val="24"/>
          <w:lang w:val="es-PR"/>
        </w:rPr>
        <w:t xml:space="preserve"> </w:t>
      </w:r>
      <w:r w:rsidRPr="00BE5114">
        <w:rPr>
          <w:rFonts w:ascii="Book Antiqua" w:hAnsi="Book Antiqua"/>
          <w:color w:val="000000" w:themeColor="text1"/>
          <w:sz w:val="24"/>
          <w:szCs w:val="24"/>
          <w:lang w:val="es-PR"/>
        </w:rPr>
        <w:t>Vigencia.</w:t>
      </w:r>
    </w:p>
    <w:p w14:paraId="3F9FE764" w14:textId="2294FAD7" w:rsidR="000935E5" w:rsidRPr="003960E1" w:rsidRDefault="003960E1" w:rsidP="003960E1">
      <w:pPr>
        <w:spacing w:after="0" w:line="480" w:lineRule="auto"/>
        <w:ind w:firstLine="547"/>
        <w:jc w:val="both"/>
        <w:rPr>
          <w:rFonts w:ascii="Book Antiqua" w:hAnsi="Book Antiqua"/>
          <w:color w:val="000000" w:themeColor="text1"/>
          <w:sz w:val="24"/>
          <w:szCs w:val="24"/>
          <w:lang w:val="es-PR"/>
        </w:rPr>
      </w:pPr>
      <w:r w:rsidRPr="00BE5114">
        <w:rPr>
          <w:rFonts w:ascii="Book Antiqua" w:hAnsi="Book Antiqua"/>
          <w:color w:val="000000" w:themeColor="text1"/>
          <w:sz w:val="24"/>
          <w:szCs w:val="24"/>
          <w:lang w:val="es-PR"/>
        </w:rPr>
        <w:t>Esta Ley comenzará a regir inmediatamente después de su aprobación.</w:t>
      </w:r>
      <w:bookmarkEnd w:id="2"/>
    </w:p>
    <w:sectPr w:rsidR="000935E5" w:rsidRPr="003960E1" w:rsidSect="0057228A">
      <w:headerReference w:type="default" r:id="rId7"/>
      <w:headerReference w:type="first" r:id="rId8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F1F09" w14:textId="77777777" w:rsidR="00841387" w:rsidRDefault="00841387" w:rsidP="003960E1">
      <w:pPr>
        <w:spacing w:after="0" w:line="240" w:lineRule="auto"/>
      </w:pPr>
      <w:r>
        <w:separator/>
      </w:r>
    </w:p>
  </w:endnote>
  <w:endnote w:type="continuationSeparator" w:id="0">
    <w:p w14:paraId="7D1230C5" w14:textId="77777777" w:rsidR="00841387" w:rsidRDefault="00841387" w:rsidP="00396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D3F8E" w14:textId="77777777" w:rsidR="00841387" w:rsidRDefault="00841387" w:rsidP="003960E1">
      <w:pPr>
        <w:spacing w:after="0" w:line="240" w:lineRule="auto"/>
      </w:pPr>
      <w:r>
        <w:separator/>
      </w:r>
    </w:p>
  </w:footnote>
  <w:footnote w:type="continuationSeparator" w:id="0">
    <w:p w14:paraId="56E38379" w14:textId="77777777" w:rsidR="00841387" w:rsidRDefault="00841387" w:rsidP="003960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845560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7A4CF8C" w14:textId="3A107277" w:rsidR="0057228A" w:rsidRDefault="0057228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E95F03" w14:textId="2FBAE718" w:rsidR="00875461" w:rsidRPr="009D6692" w:rsidRDefault="00875461">
    <w:pPr>
      <w:pStyle w:val="Header"/>
      <w:jc w:val="center"/>
      <w:rPr>
        <w:rFonts w:ascii="Book Antiqua" w:hAnsi="Book Antiq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8F859" w14:textId="41FEBE92" w:rsidR="0057228A" w:rsidRDefault="0057228A">
    <w:pPr>
      <w:pStyle w:val="Header"/>
      <w:jc w:val="center"/>
    </w:pPr>
  </w:p>
  <w:p w14:paraId="7AC26D20" w14:textId="77777777" w:rsidR="0057228A" w:rsidRDefault="005722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203BF1"/>
    <w:multiLevelType w:val="hybridMultilevel"/>
    <w:tmpl w:val="E85CB7BC"/>
    <w:lvl w:ilvl="0" w:tplc="9D7C370A">
      <w:start w:val="1"/>
      <w:numFmt w:val="decimal"/>
      <w:lvlText w:val="(%1)"/>
      <w:lvlJc w:val="left"/>
      <w:pPr>
        <w:ind w:left="12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" w15:restartNumberingAfterBreak="0">
    <w:nsid w:val="2ADF6219"/>
    <w:multiLevelType w:val="hybridMultilevel"/>
    <w:tmpl w:val="8B20F702"/>
    <w:lvl w:ilvl="0" w:tplc="D250E312">
      <w:start w:val="1"/>
      <w:numFmt w:val="upperLetter"/>
      <w:lvlText w:val="(%1)"/>
      <w:lvlJc w:val="left"/>
      <w:pPr>
        <w:ind w:left="1627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347" w:hanging="360"/>
      </w:pPr>
    </w:lvl>
    <w:lvl w:ilvl="2" w:tplc="0409001B" w:tentative="1">
      <w:start w:val="1"/>
      <w:numFmt w:val="lowerRoman"/>
      <w:lvlText w:val="%3."/>
      <w:lvlJc w:val="right"/>
      <w:pPr>
        <w:ind w:left="3067" w:hanging="180"/>
      </w:pPr>
    </w:lvl>
    <w:lvl w:ilvl="3" w:tplc="0409000F" w:tentative="1">
      <w:start w:val="1"/>
      <w:numFmt w:val="decimal"/>
      <w:lvlText w:val="%4."/>
      <w:lvlJc w:val="left"/>
      <w:pPr>
        <w:ind w:left="3787" w:hanging="360"/>
      </w:pPr>
    </w:lvl>
    <w:lvl w:ilvl="4" w:tplc="04090019" w:tentative="1">
      <w:start w:val="1"/>
      <w:numFmt w:val="lowerLetter"/>
      <w:lvlText w:val="%5."/>
      <w:lvlJc w:val="left"/>
      <w:pPr>
        <w:ind w:left="4507" w:hanging="360"/>
      </w:pPr>
    </w:lvl>
    <w:lvl w:ilvl="5" w:tplc="0409001B" w:tentative="1">
      <w:start w:val="1"/>
      <w:numFmt w:val="lowerRoman"/>
      <w:lvlText w:val="%6."/>
      <w:lvlJc w:val="right"/>
      <w:pPr>
        <w:ind w:left="5227" w:hanging="180"/>
      </w:pPr>
    </w:lvl>
    <w:lvl w:ilvl="6" w:tplc="0409000F" w:tentative="1">
      <w:start w:val="1"/>
      <w:numFmt w:val="decimal"/>
      <w:lvlText w:val="%7."/>
      <w:lvlJc w:val="left"/>
      <w:pPr>
        <w:ind w:left="5947" w:hanging="360"/>
      </w:pPr>
    </w:lvl>
    <w:lvl w:ilvl="7" w:tplc="04090019" w:tentative="1">
      <w:start w:val="1"/>
      <w:numFmt w:val="lowerLetter"/>
      <w:lvlText w:val="%8."/>
      <w:lvlJc w:val="left"/>
      <w:pPr>
        <w:ind w:left="6667" w:hanging="360"/>
      </w:pPr>
    </w:lvl>
    <w:lvl w:ilvl="8" w:tplc="04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2" w15:restartNumberingAfterBreak="0">
    <w:nsid w:val="5D7B7453"/>
    <w:multiLevelType w:val="hybridMultilevel"/>
    <w:tmpl w:val="25FA53FE"/>
    <w:lvl w:ilvl="0" w:tplc="1CFC7378">
      <w:start w:val="1"/>
      <w:numFmt w:val="lowerLetter"/>
      <w:lvlText w:val="(%1)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" w15:restartNumberingAfterBreak="0">
    <w:nsid w:val="5D9D1C5E"/>
    <w:multiLevelType w:val="hybridMultilevel"/>
    <w:tmpl w:val="2FE4AD86"/>
    <w:lvl w:ilvl="0" w:tplc="31EA3802">
      <w:start w:val="1"/>
      <w:numFmt w:val="decimal"/>
      <w:lvlText w:val="(%1)"/>
      <w:lvlJc w:val="left"/>
      <w:pPr>
        <w:ind w:left="126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" w15:restartNumberingAfterBreak="0">
    <w:nsid w:val="6A947A3F"/>
    <w:multiLevelType w:val="hybridMultilevel"/>
    <w:tmpl w:val="81C4A664"/>
    <w:lvl w:ilvl="0" w:tplc="0256FA4A">
      <w:start w:val="1"/>
      <w:numFmt w:val="decimal"/>
      <w:lvlText w:val="(%1)"/>
      <w:lvlJc w:val="left"/>
      <w:pPr>
        <w:ind w:left="12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5" w15:restartNumberingAfterBreak="0">
    <w:nsid w:val="6C960EA4"/>
    <w:multiLevelType w:val="hybridMultilevel"/>
    <w:tmpl w:val="A504F754"/>
    <w:lvl w:ilvl="0" w:tplc="20526316">
      <w:start w:val="1"/>
      <w:numFmt w:val="lowerLetter"/>
      <w:lvlText w:val="(%1)"/>
      <w:lvlJc w:val="left"/>
      <w:pPr>
        <w:ind w:left="90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6" w15:restartNumberingAfterBreak="0">
    <w:nsid w:val="6FB96763"/>
    <w:multiLevelType w:val="hybridMultilevel"/>
    <w:tmpl w:val="C9AEB37A"/>
    <w:lvl w:ilvl="0" w:tplc="422ABF76">
      <w:start w:val="1"/>
      <w:numFmt w:val="lowerLetter"/>
      <w:lvlText w:val="(%1)"/>
      <w:lvlJc w:val="left"/>
      <w:pPr>
        <w:ind w:left="90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num w:numId="1" w16cid:durableId="827676881">
    <w:abstractNumId w:val="6"/>
  </w:num>
  <w:num w:numId="2" w16cid:durableId="1995333631">
    <w:abstractNumId w:val="5"/>
  </w:num>
  <w:num w:numId="3" w16cid:durableId="1792673591">
    <w:abstractNumId w:val="4"/>
  </w:num>
  <w:num w:numId="4" w16cid:durableId="448857580">
    <w:abstractNumId w:val="0"/>
  </w:num>
  <w:num w:numId="5" w16cid:durableId="1608271356">
    <w:abstractNumId w:val="2"/>
  </w:num>
  <w:num w:numId="6" w16cid:durableId="1174688703">
    <w:abstractNumId w:val="3"/>
  </w:num>
  <w:num w:numId="7" w16cid:durableId="5967945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0E1"/>
    <w:rsid w:val="00023DD9"/>
    <w:rsid w:val="00043E5C"/>
    <w:rsid w:val="00050291"/>
    <w:rsid w:val="00065DDD"/>
    <w:rsid w:val="000935E5"/>
    <w:rsid w:val="000C29E3"/>
    <w:rsid w:val="00167FDC"/>
    <w:rsid w:val="001A2A0D"/>
    <w:rsid w:val="001A3120"/>
    <w:rsid w:val="001F2D73"/>
    <w:rsid w:val="0026470B"/>
    <w:rsid w:val="002C0ADA"/>
    <w:rsid w:val="002E202C"/>
    <w:rsid w:val="00307DF9"/>
    <w:rsid w:val="00361C4A"/>
    <w:rsid w:val="00385622"/>
    <w:rsid w:val="00391BD9"/>
    <w:rsid w:val="003960E1"/>
    <w:rsid w:val="003D281C"/>
    <w:rsid w:val="0041081F"/>
    <w:rsid w:val="004111E2"/>
    <w:rsid w:val="004464D6"/>
    <w:rsid w:val="004B3723"/>
    <w:rsid w:val="004F2FEF"/>
    <w:rsid w:val="00521916"/>
    <w:rsid w:val="00537352"/>
    <w:rsid w:val="0057228A"/>
    <w:rsid w:val="006227EF"/>
    <w:rsid w:val="006816A9"/>
    <w:rsid w:val="006B7D6C"/>
    <w:rsid w:val="00745B46"/>
    <w:rsid w:val="00755438"/>
    <w:rsid w:val="007841C1"/>
    <w:rsid w:val="007B7830"/>
    <w:rsid w:val="007F7087"/>
    <w:rsid w:val="00841387"/>
    <w:rsid w:val="00842D28"/>
    <w:rsid w:val="008702A1"/>
    <w:rsid w:val="00875461"/>
    <w:rsid w:val="00885279"/>
    <w:rsid w:val="008D50A5"/>
    <w:rsid w:val="00947472"/>
    <w:rsid w:val="0096401C"/>
    <w:rsid w:val="00970127"/>
    <w:rsid w:val="00971939"/>
    <w:rsid w:val="009A6DA8"/>
    <w:rsid w:val="00A01591"/>
    <w:rsid w:val="00A32AB2"/>
    <w:rsid w:val="00A44667"/>
    <w:rsid w:val="00A73202"/>
    <w:rsid w:val="00AC0710"/>
    <w:rsid w:val="00AD00B8"/>
    <w:rsid w:val="00B07915"/>
    <w:rsid w:val="00B75265"/>
    <w:rsid w:val="00B8682D"/>
    <w:rsid w:val="00B93387"/>
    <w:rsid w:val="00BE0025"/>
    <w:rsid w:val="00C97106"/>
    <w:rsid w:val="00D017AA"/>
    <w:rsid w:val="00D12664"/>
    <w:rsid w:val="00D53B12"/>
    <w:rsid w:val="00D80632"/>
    <w:rsid w:val="00D81E01"/>
    <w:rsid w:val="00DD4979"/>
    <w:rsid w:val="00DF74DF"/>
    <w:rsid w:val="00E32E46"/>
    <w:rsid w:val="00ED7E7E"/>
    <w:rsid w:val="00EF66B6"/>
    <w:rsid w:val="00F51BDA"/>
    <w:rsid w:val="00FB10EE"/>
    <w:rsid w:val="00FE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71A8E"/>
  <w15:chartTrackingRefBased/>
  <w15:docId w15:val="{A20D6B5E-E1D8-B447-9E75-DDA297C79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0E1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6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6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60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6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60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60E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60E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60E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60E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60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6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60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60E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60E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60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60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60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60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60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6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60E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6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60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60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60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60E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60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60E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60E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960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60E1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960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60E1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960E1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960E1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uiPriority w:val="99"/>
    <w:semiHidden/>
    <w:unhideWhenUsed/>
    <w:rsid w:val="003960E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960E1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3960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28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3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636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Franco Oconnell</dc:creator>
  <cp:keywords/>
  <dc:description/>
  <cp:lastModifiedBy>Gloria de Jesús Maldonado</cp:lastModifiedBy>
  <cp:revision>2</cp:revision>
  <cp:lastPrinted>2026-02-19T19:50:00Z</cp:lastPrinted>
  <dcterms:created xsi:type="dcterms:W3CDTF">2026-02-20T17:34:00Z</dcterms:created>
  <dcterms:modified xsi:type="dcterms:W3CDTF">2026-02-20T17:34:00Z</dcterms:modified>
</cp:coreProperties>
</file>