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63C4EC42" w:rsidR="00B25CCC" w:rsidRPr="00D468DB" w:rsidRDefault="00D7108F" w:rsidP="00B25CCC">
      <w:pPr>
        <w:jc w:val="center"/>
        <w:rPr>
          <w:rFonts w:ascii="Book Antiqua" w:hAnsi="Book Antiqua"/>
          <w:sz w:val="28"/>
          <w:szCs w:val="28"/>
          <w:lang w:val="es-ES_tradnl"/>
        </w:rPr>
      </w:pPr>
      <w:r w:rsidRPr="00D468DB">
        <w:rPr>
          <w:rFonts w:ascii="Book Antiqua" w:hAnsi="Book Antiqua"/>
          <w:sz w:val="28"/>
          <w:szCs w:val="28"/>
          <w:lang w:val="es-ES_tradnl"/>
        </w:rPr>
        <w:t>GOBIERNO</w:t>
      </w:r>
      <w:r w:rsidR="00B25CCC" w:rsidRPr="00D468DB">
        <w:rPr>
          <w:rFonts w:ascii="Book Antiqua" w:hAnsi="Book Antiqua"/>
          <w:sz w:val="28"/>
          <w:szCs w:val="28"/>
          <w:lang w:val="es-ES_tradnl"/>
        </w:rPr>
        <w:t xml:space="preserve"> DE PUERTO RICO</w:t>
      </w:r>
    </w:p>
    <w:p w14:paraId="487CA57B" w14:textId="77777777" w:rsidR="00B25CCC" w:rsidRPr="00D468DB" w:rsidRDefault="00B25CCC" w:rsidP="00B25CCC">
      <w:pPr>
        <w:jc w:val="center"/>
        <w:rPr>
          <w:rFonts w:ascii="Book Antiqua" w:hAnsi="Book Antiqua"/>
          <w:lang w:val="es-ES_tradnl"/>
        </w:rPr>
      </w:pPr>
    </w:p>
    <w:p w14:paraId="70E53240" w14:textId="124F701A" w:rsidR="00B25CCC" w:rsidRPr="00D468DB" w:rsidRDefault="00D7108F" w:rsidP="00B25CCC">
      <w:pPr>
        <w:pStyle w:val="Title2"/>
        <w:tabs>
          <w:tab w:val="clear" w:pos="7776"/>
        </w:tabs>
        <w:rPr>
          <w:rFonts w:ascii="Book Antiqua" w:hAnsi="Book Antiqua"/>
          <w:lang w:val="es-ES_tradnl"/>
        </w:rPr>
      </w:pPr>
      <w:r w:rsidRPr="00D468DB">
        <w:rPr>
          <w:rFonts w:ascii="Book Antiqua" w:hAnsi="Book Antiqua"/>
          <w:lang w:val="es-ES_tradnl"/>
        </w:rPr>
        <w:t>20m</w:t>
      </w:r>
      <w:r w:rsidR="00B25CCC" w:rsidRPr="00D468DB">
        <w:rPr>
          <w:rFonts w:ascii="Book Antiqua" w:hAnsi="Book Antiqua"/>
          <w:lang w:val="es-ES_tradnl"/>
        </w:rPr>
        <w:t>a. Asamblea</w:t>
      </w:r>
      <w:r w:rsidR="00B25CCC" w:rsidRPr="00D468DB">
        <w:rPr>
          <w:rFonts w:ascii="Book Antiqua" w:hAnsi="Book Antiqua"/>
          <w:lang w:val="es-ES_tradnl"/>
        </w:rPr>
        <w:tab/>
      </w:r>
      <w:r w:rsidRPr="00D468DB">
        <w:rPr>
          <w:rFonts w:ascii="Book Antiqua" w:hAnsi="Book Antiqua"/>
          <w:lang w:val="es-ES_tradnl"/>
        </w:rPr>
        <w:t>1r</w:t>
      </w:r>
      <w:r w:rsidR="00B25CCC" w:rsidRPr="00D468DB">
        <w:rPr>
          <w:rFonts w:ascii="Book Antiqua" w:hAnsi="Book Antiqua"/>
          <w:lang w:val="es-ES_tradnl"/>
        </w:rPr>
        <w:t>a. Sesión</w:t>
      </w:r>
    </w:p>
    <w:p w14:paraId="23C5C7E6" w14:textId="77777777" w:rsidR="00B25CCC" w:rsidRPr="00D468DB" w:rsidRDefault="00B25CCC" w:rsidP="00B25CCC">
      <w:pPr>
        <w:pStyle w:val="Title2"/>
        <w:tabs>
          <w:tab w:val="clear" w:pos="7776"/>
        </w:tabs>
        <w:rPr>
          <w:rFonts w:ascii="Book Antiqua" w:hAnsi="Book Antiqua"/>
          <w:lang w:val="es-ES_tradnl"/>
        </w:rPr>
      </w:pPr>
      <w:r w:rsidRPr="00D468DB">
        <w:rPr>
          <w:rFonts w:ascii="Book Antiqua" w:hAnsi="Book Antiqua"/>
          <w:lang w:val="es-ES_tradnl"/>
        </w:rPr>
        <w:tab/>
        <w:t>Legislativa</w:t>
      </w:r>
      <w:r w:rsidRPr="00D468DB">
        <w:rPr>
          <w:rFonts w:ascii="Book Antiqua" w:hAnsi="Book Antiqua"/>
          <w:lang w:val="es-ES_tradnl"/>
        </w:rPr>
        <w:tab/>
      </w:r>
      <w:r w:rsidRPr="00D468DB">
        <w:rPr>
          <w:rFonts w:ascii="Book Antiqua" w:hAnsi="Book Antiqua"/>
          <w:lang w:val="es-ES_tradnl"/>
        </w:rPr>
        <w:tab/>
        <w:t xml:space="preserve">      Ordinaria</w:t>
      </w:r>
    </w:p>
    <w:p w14:paraId="759285C3" w14:textId="77777777" w:rsidR="00B25CCC" w:rsidRPr="00D468DB" w:rsidRDefault="00B25CCC" w:rsidP="00B25CCC">
      <w:pPr>
        <w:rPr>
          <w:rFonts w:ascii="Book Antiqua" w:hAnsi="Book Antiqua"/>
          <w:lang w:val="es-ES_tradnl"/>
        </w:rPr>
      </w:pPr>
    </w:p>
    <w:p w14:paraId="1122876C" w14:textId="77777777" w:rsidR="00B25CCC" w:rsidRPr="00D468DB" w:rsidRDefault="00B25CCC" w:rsidP="00B25CCC">
      <w:pPr>
        <w:jc w:val="center"/>
        <w:rPr>
          <w:rFonts w:ascii="Book Antiqua" w:hAnsi="Book Antiqua"/>
          <w:b/>
          <w:sz w:val="36"/>
          <w:szCs w:val="32"/>
          <w:lang w:val="es-ES_tradnl"/>
        </w:rPr>
      </w:pPr>
      <w:r w:rsidRPr="00D468DB">
        <w:rPr>
          <w:rFonts w:ascii="Book Antiqua" w:hAnsi="Book Antiqua"/>
          <w:b/>
          <w:sz w:val="36"/>
          <w:szCs w:val="32"/>
          <w:lang w:val="es-ES_tradnl"/>
        </w:rPr>
        <w:t>CÁMARA DE REPRESENTANTES</w:t>
      </w:r>
    </w:p>
    <w:p w14:paraId="74B1FE31" w14:textId="77777777" w:rsidR="00B25CCC" w:rsidRPr="00D468DB" w:rsidRDefault="00B25CCC" w:rsidP="00B25CCC">
      <w:pPr>
        <w:jc w:val="center"/>
        <w:rPr>
          <w:rFonts w:ascii="Book Antiqua" w:hAnsi="Book Antiqua"/>
          <w:b/>
          <w:szCs w:val="32"/>
          <w:lang w:val="es-ES_tradnl"/>
        </w:rPr>
      </w:pPr>
    </w:p>
    <w:p w14:paraId="6B719456" w14:textId="2208CB8A" w:rsidR="00B25CCC" w:rsidRPr="00D468DB" w:rsidRDefault="00B25CCC" w:rsidP="00B25CCC">
      <w:pPr>
        <w:jc w:val="center"/>
        <w:rPr>
          <w:rFonts w:ascii="Book Antiqua" w:hAnsi="Book Antiqua"/>
          <w:b/>
          <w:sz w:val="52"/>
          <w:szCs w:val="52"/>
          <w:lang w:val="es-ES_tradnl"/>
        </w:rPr>
      </w:pPr>
      <w:r w:rsidRPr="00D468DB">
        <w:rPr>
          <w:rFonts w:ascii="Book Antiqua" w:hAnsi="Book Antiqua"/>
          <w:b/>
          <w:sz w:val="52"/>
          <w:szCs w:val="52"/>
          <w:lang w:val="es-ES_tradnl"/>
        </w:rPr>
        <w:t xml:space="preserve">R. de la C. </w:t>
      </w:r>
      <w:r w:rsidR="00D03865">
        <w:rPr>
          <w:rFonts w:ascii="Book Antiqua" w:hAnsi="Book Antiqua"/>
          <w:b/>
          <w:sz w:val="52"/>
          <w:szCs w:val="52"/>
          <w:lang w:val="es-ES_tradnl"/>
        </w:rPr>
        <w:t>86</w:t>
      </w:r>
    </w:p>
    <w:p w14:paraId="7F548EDD" w14:textId="77777777" w:rsidR="00B25CCC" w:rsidRPr="00D468DB" w:rsidRDefault="00B25CCC" w:rsidP="00D03865">
      <w:pPr>
        <w:rPr>
          <w:rFonts w:ascii="Book Antiqua" w:hAnsi="Book Antiqua"/>
          <w:b/>
          <w:lang w:val="es-ES_tradnl"/>
        </w:rPr>
      </w:pPr>
    </w:p>
    <w:p w14:paraId="69F9BC94" w14:textId="47FB0136" w:rsidR="00B25CCC" w:rsidRPr="00D468DB" w:rsidRDefault="00B25CCC" w:rsidP="00B25CCC">
      <w:pPr>
        <w:jc w:val="center"/>
        <w:rPr>
          <w:rFonts w:ascii="Book Antiqua" w:hAnsi="Book Antiqua"/>
          <w:lang w:val="es-ES_tradnl"/>
        </w:rPr>
      </w:pPr>
      <w:r w:rsidRPr="00D468DB">
        <w:rPr>
          <w:rFonts w:ascii="Book Antiqua" w:hAnsi="Book Antiqua"/>
          <w:lang w:val="es-ES_tradnl"/>
        </w:rPr>
        <w:t xml:space="preserve"> </w:t>
      </w:r>
      <w:r w:rsidR="00D03865">
        <w:rPr>
          <w:rFonts w:ascii="Book Antiqua" w:hAnsi="Book Antiqua"/>
          <w:lang w:val="es-ES_tradnl"/>
        </w:rPr>
        <w:t xml:space="preserve">28 </w:t>
      </w:r>
      <w:r w:rsidRPr="00D468DB">
        <w:rPr>
          <w:rFonts w:ascii="Book Antiqua" w:hAnsi="Book Antiqua"/>
          <w:lang w:val="es-ES_tradnl"/>
        </w:rPr>
        <w:t>DE ENERO DE 202</w:t>
      </w:r>
      <w:r w:rsidR="00D7108F" w:rsidRPr="00D468DB">
        <w:rPr>
          <w:rFonts w:ascii="Book Antiqua" w:hAnsi="Book Antiqua"/>
          <w:lang w:val="es-ES_tradnl"/>
        </w:rPr>
        <w:t>5</w:t>
      </w:r>
    </w:p>
    <w:p w14:paraId="2CC46331" w14:textId="77777777" w:rsidR="00B25CCC" w:rsidRPr="00D468DB" w:rsidRDefault="00B25CCC" w:rsidP="00B25CCC">
      <w:pPr>
        <w:jc w:val="center"/>
        <w:rPr>
          <w:rFonts w:ascii="Book Antiqua" w:hAnsi="Book Antiqua"/>
          <w:szCs w:val="24"/>
          <w:lang w:val="es-ES_tradnl"/>
        </w:rPr>
      </w:pPr>
    </w:p>
    <w:p w14:paraId="051E1816" w14:textId="61E8710E" w:rsidR="00B25CCC" w:rsidRPr="00D468DB" w:rsidRDefault="00B25CCC" w:rsidP="00B25CCC">
      <w:pPr>
        <w:jc w:val="center"/>
        <w:rPr>
          <w:rFonts w:ascii="Book Antiqua" w:hAnsi="Book Antiqua"/>
          <w:i/>
          <w:lang w:val="es-ES_tradnl"/>
        </w:rPr>
      </w:pPr>
      <w:r w:rsidRPr="00D468DB">
        <w:rPr>
          <w:rFonts w:ascii="Book Antiqua" w:hAnsi="Book Antiqua"/>
          <w:lang w:val="es-ES_tradnl"/>
        </w:rPr>
        <w:t xml:space="preserve">Presentada por </w:t>
      </w:r>
      <w:r w:rsidR="00F82D24">
        <w:rPr>
          <w:rFonts w:ascii="Book Antiqua" w:hAnsi="Book Antiqua"/>
          <w:lang w:val="es-ES_tradnl"/>
        </w:rPr>
        <w:t>el</w:t>
      </w:r>
      <w:r w:rsidRPr="00D468DB">
        <w:rPr>
          <w:rFonts w:ascii="Book Antiqua" w:hAnsi="Book Antiqua"/>
          <w:lang w:val="es-ES_tradnl"/>
        </w:rPr>
        <w:t xml:space="preserve"> representante</w:t>
      </w:r>
      <w:r w:rsidR="0026407E" w:rsidRPr="00D468DB">
        <w:rPr>
          <w:rFonts w:ascii="Book Antiqua" w:hAnsi="Book Antiqua"/>
          <w:lang w:val="es-ES_tradnl"/>
        </w:rPr>
        <w:t xml:space="preserve"> </w:t>
      </w:r>
      <w:r w:rsidR="0026407E" w:rsidRPr="00D468DB">
        <w:rPr>
          <w:rFonts w:ascii="Book Antiqua" w:hAnsi="Book Antiqua"/>
          <w:i/>
          <w:lang w:val="es-ES_tradnl"/>
        </w:rPr>
        <w:t>Santiago Guzmán</w:t>
      </w:r>
      <w:r w:rsidRPr="00D468DB">
        <w:rPr>
          <w:rFonts w:ascii="Book Antiqua" w:hAnsi="Book Antiqua"/>
          <w:i/>
          <w:lang w:val="es-ES_tradnl"/>
        </w:rPr>
        <w:t xml:space="preserve"> </w:t>
      </w:r>
    </w:p>
    <w:p w14:paraId="6E8EA9D4" w14:textId="77777777" w:rsidR="00B25CCC" w:rsidRPr="00D468DB" w:rsidRDefault="00B25CCC" w:rsidP="00B25CCC">
      <w:pPr>
        <w:jc w:val="center"/>
        <w:rPr>
          <w:rFonts w:ascii="Book Antiqua" w:hAnsi="Book Antiqua"/>
          <w:i/>
          <w:lang w:val="es-ES_tradnl"/>
        </w:rPr>
      </w:pPr>
    </w:p>
    <w:p w14:paraId="72161FCD" w14:textId="399A9746" w:rsidR="00B25CCC" w:rsidRPr="00D468DB" w:rsidRDefault="0026407E" w:rsidP="00B25CCC">
      <w:pPr>
        <w:jc w:val="center"/>
        <w:rPr>
          <w:rFonts w:ascii="Book Antiqua" w:hAnsi="Book Antiqua"/>
          <w:lang w:val="es-ES_tradnl"/>
        </w:rPr>
      </w:pPr>
      <w:r w:rsidRPr="00D468DB">
        <w:rPr>
          <w:rFonts w:ascii="Book Antiqua" w:hAnsi="Book Antiqua"/>
          <w:lang w:val="es-ES_tradnl"/>
        </w:rPr>
        <w:t>Referid</w:t>
      </w:r>
      <w:r w:rsidR="00865869">
        <w:rPr>
          <w:rFonts w:ascii="Book Antiqua" w:hAnsi="Book Antiqua"/>
          <w:lang w:val="es-ES_tradnl"/>
        </w:rPr>
        <w:t>a</w:t>
      </w:r>
      <w:r w:rsidR="00B25CCC" w:rsidRPr="00D468DB">
        <w:rPr>
          <w:rFonts w:ascii="Book Antiqua" w:hAnsi="Book Antiqua"/>
          <w:lang w:val="es-ES_tradnl"/>
        </w:rPr>
        <w:t xml:space="preserve"> a</w:t>
      </w:r>
      <w:r w:rsidR="00AF2D35">
        <w:rPr>
          <w:rFonts w:ascii="Book Antiqua" w:hAnsi="Book Antiqua"/>
          <w:lang w:val="es-ES_tradnl"/>
        </w:rPr>
        <w:t xml:space="preserve"> la Comisión de </w:t>
      </w:r>
      <w:r w:rsidR="00865869">
        <w:rPr>
          <w:rFonts w:ascii="Book Antiqua" w:hAnsi="Book Antiqua"/>
          <w:lang w:val="es-ES_tradnl"/>
        </w:rPr>
        <w:t>Asuntos Internos</w:t>
      </w:r>
    </w:p>
    <w:p w14:paraId="55CEE9FE" w14:textId="77777777" w:rsidR="00B25CCC" w:rsidRPr="00D468DB" w:rsidRDefault="00B25CCC" w:rsidP="00B25CCC">
      <w:pPr>
        <w:jc w:val="center"/>
        <w:rPr>
          <w:rFonts w:ascii="Book Antiqua" w:hAnsi="Book Antiqua"/>
          <w:lang w:val="es-ES_tradnl"/>
        </w:rPr>
      </w:pPr>
    </w:p>
    <w:p w14:paraId="7DF38C1D" w14:textId="77777777" w:rsidR="00B25CCC" w:rsidRPr="00D468DB" w:rsidRDefault="00B25CCC" w:rsidP="00B25CCC">
      <w:pPr>
        <w:jc w:val="center"/>
        <w:rPr>
          <w:rFonts w:ascii="Book Antiqua" w:hAnsi="Book Antiqua"/>
          <w:b/>
          <w:sz w:val="28"/>
          <w:szCs w:val="28"/>
          <w:lang w:val="es-ES_tradnl"/>
        </w:rPr>
      </w:pPr>
      <w:r w:rsidRPr="00D468DB">
        <w:rPr>
          <w:rFonts w:ascii="Book Antiqua" w:hAnsi="Book Antiqua"/>
          <w:b/>
          <w:sz w:val="28"/>
          <w:szCs w:val="28"/>
          <w:lang w:val="es-ES_tradnl"/>
        </w:rPr>
        <w:t>RESOLUCIÓN</w:t>
      </w:r>
    </w:p>
    <w:p w14:paraId="03532262" w14:textId="77777777" w:rsidR="00B25CCC" w:rsidRPr="00D468DB" w:rsidRDefault="00B25CCC" w:rsidP="00B25CCC">
      <w:pPr>
        <w:jc w:val="both"/>
        <w:rPr>
          <w:rFonts w:ascii="Book Antiqua" w:hAnsi="Book Antiqua"/>
          <w:lang w:val="es-ES_tradnl"/>
        </w:rPr>
      </w:pPr>
    </w:p>
    <w:p w14:paraId="761C03D3" w14:textId="1A0ABA36" w:rsidR="003C18F6" w:rsidRPr="00D468DB" w:rsidRDefault="00B25CCC" w:rsidP="003C18F6">
      <w:pPr>
        <w:ind w:left="720" w:hanging="630"/>
        <w:jc w:val="both"/>
        <w:rPr>
          <w:rFonts w:ascii="Book Antiqua" w:hAnsi="Book Antiqua"/>
          <w:szCs w:val="24"/>
          <w:lang w:val="es-ES_tradnl"/>
        </w:rPr>
      </w:pPr>
      <w:bookmarkStart w:id="0" w:name="_Hlk493581372"/>
      <w:r w:rsidRPr="00D468DB">
        <w:rPr>
          <w:rFonts w:ascii="Book Antiqua" w:hAnsi="Book Antiqua"/>
          <w:szCs w:val="24"/>
          <w:lang w:val="es-ES_tradnl"/>
        </w:rPr>
        <w:t xml:space="preserve">Para ordenar a la </w:t>
      </w:r>
      <w:r w:rsidR="008B2C1D" w:rsidRPr="00D468DB">
        <w:rPr>
          <w:rFonts w:ascii="Book Antiqua" w:hAnsi="Book Antiqua"/>
          <w:szCs w:val="24"/>
          <w:lang w:val="es-ES_tradnl"/>
        </w:rPr>
        <w:t xml:space="preserve">Comisión de Transportación e Infraestructura de la Cámara de Representantes </w:t>
      </w:r>
      <w:r w:rsidR="003C18F6" w:rsidRPr="00D468DB">
        <w:rPr>
          <w:rFonts w:ascii="Book Antiqua" w:eastAsiaTheme="minorHAnsi" w:hAnsi="Book Antiqua"/>
          <w:bCs/>
          <w:szCs w:val="24"/>
          <w:lang w:val="es-ES_tradnl"/>
        </w:rPr>
        <w:t xml:space="preserve">realizar una investigación exhaustiva sobre las deficiencias en la reparación y reemplazo de luminarias en las carreteras estatales y municipales de los Municipios de </w:t>
      </w:r>
      <w:proofErr w:type="spellStart"/>
      <w:r w:rsidR="003C18F6" w:rsidRPr="00D468DB">
        <w:rPr>
          <w:rFonts w:ascii="Book Antiqua" w:eastAsiaTheme="minorHAnsi" w:hAnsi="Book Antiqua"/>
          <w:bCs/>
          <w:szCs w:val="24"/>
          <w:lang w:val="es-ES_tradnl"/>
        </w:rPr>
        <w:t>Toa</w:t>
      </w:r>
      <w:proofErr w:type="spellEnd"/>
      <w:r w:rsidR="003C18F6" w:rsidRPr="00D468DB">
        <w:rPr>
          <w:rFonts w:ascii="Book Antiqua" w:eastAsiaTheme="minorHAnsi" w:hAnsi="Book Antiqua"/>
          <w:bCs/>
          <w:szCs w:val="24"/>
          <w:lang w:val="es-ES_tradnl"/>
        </w:rPr>
        <w:t xml:space="preserve"> Baja y Cataño; examinar el “Programa Iniciativa de Alumbrado Público Comunitario” de LUMA, su ejecución, alcance y cumplimiento con las necesidades de las comunidades; evaluar la respuesta de LUMA Energy a los reclamos ciudadanos; analizar los recursos económicos y tecnológicos utilizados para atender esta problemática; y para otros fines relacionados.</w:t>
      </w:r>
    </w:p>
    <w:p w14:paraId="22872698" w14:textId="77777777" w:rsidR="003C18F6" w:rsidRPr="00D468DB" w:rsidRDefault="003C18F6" w:rsidP="003C18F6">
      <w:pPr>
        <w:jc w:val="both"/>
        <w:rPr>
          <w:rFonts w:ascii="Book Antiqua" w:hAnsi="Book Antiqua"/>
          <w:szCs w:val="24"/>
          <w:lang w:val="es-ES_tradnl"/>
        </w:rPr>
      </w:pPr>
    </w:p>
    <w:bookmarkEnd w:id="0"/>
    <w:p w14:paraId="704C1465" w14:textId="77777777" w:rsidR="00B25CCC" w:rsidRPr="00D468DB" w:rsidRDefault="00B25CCC" w:rsidP="00B25CCC">
      <w:pPr>
        <w:jc w:val="center"/>
        <w:rPr>
          <w:rFonts w:ascii="Book Antiqua" w:hAnsi="Book Antiqua"/>
          <w:caps/>
          <w:szCs w:val="24"/>
          <w:lang w:val="es-ES_tradnl"/>
        </w:rPr>
      </w:pPr>
      <w:r w:rsidRPr="00D468DB">
        <w:rPr>
          <w:rFonts w:ascii="Book Antiqua" w:hAnsi="Book Antiqua"/>
          <w:caps/>
          <w:szCs w:val="24"/>
          <w:lang w:val="es-ES_tradnl"/>
        </w:rPr>
        <w:t>EXPOSICIóN DE MOTIVOS</w:t>
      </w:r>
    </w:p>
    <w:p w14:paraId="0B231005" w14:textId="35FA16C1" w:rsidR="003C18F6" w:rsidRPr="00D468DB" w:rsidRDefault="003C18F6" w:rsidP="003C18F6">
      <w:pPr>
        <w:spacing w:before="100" w:beforeAutospacing="1" w:after="100" w:afterAutospacing="1"/>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La iluminación de las carreteras y espacios públicos es un componente esencial para la seguridad vial, la calidad de vida y el desarrollo socioeconómico de las comunidades. La falta de luminarias funcionales en los municipios de </w:t>
      </w:r>
      <w:proofErr w:type="spellStart"/>
      <w:r w:rsidRPr="00D468DB">
        <w:rPr>
          <w:rFonts w:ascii="Book Antiqua" w:eastAsiaTheme="minorHAnsi" w:hAnsi="Book Antiqua"/>
          <w:szCs w:val="24"/>
          <w:lang w:val="es-ES_tradnl"/>
        </w:rPr>
        <w:t>Toa</w:t>
      </w:r>
      <w:proofErr w:type="spellEnd"/>
      <w:r w:rsidRPr="00D468DB">
        <w:rPr>
          <w:rFonts w:ascii="Book Antiqua" w:eastAsiaTheme="minorHAnsi" w:hAnsi="Book Antiqua"/>
          <w:szCs w:val="24"/>
          <w:lang w:val="es-ES_tradnl"/>
        </w:rPr>
        <w:t xml:space="preserve"> Baja y Cataño ha generado múltiples quejas de los ciudadanos, quienes enfrentan riesgos significativos al transitar por vías públicas en condiciones de baja visibilidad, durante las noches. Esta problemática no solo aumenta la probabilidad de accidentes vehiculares y peatonales, sino que también contribuye a un clima de inseguridad y afecta la movilidad y el bienestar general de las comunidades.</w:t>
      </w:r>
    </w:p>
    <w:p w14:paraId="5B2A502E" w14:textId="3957E7D3" w:rsidR="003C18F6" w:rsidRPr="00D468DB" w:rsidRDefault="003C18F6" w:rsidP="003C18F6">
      <w:pPr>
        <w:spacing w:before="100" w:beforeAutospacing="1" w:after="100" w:afterAutospacing="1"/>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En respuesta a los daños ocasionados por los huracanes Irma y María en </w:t>
      </w:r>
      <w:r w:rsidR="00ED7762">
        <w:rPr>
          <w:rFonts w:ascii="Book Antiqua" w:eastAsiaTheme="minorHAnsi" w:hAnsi="Book Antiqua"/>
          <w:szCs w:val="24"/>
          <w:lang w:val="es-ES_tradnl"/>
        </w:rPr>
        <w:t xml:space="preserve">el año </w:t>
      </w:r>
      <w:r w:rsidRPr="00D468DB">
        <w:rPr>
          <w:rFonts w:ascii="Book Antiqua" w:eastAsiaTheme="minorHAnsi" w:hAnsi="Book Antiqua"/>
          <w:szCs w:val="24"/>
          <w:lang w:val="es-ES_tradnl"/>
        </w:rPr>
        <w:t xml:space="preserve">2017, la Agencia Federal para el Manejo de Emergencias (FEMA) aprobó una inversión de mil millones de dólares para la modernización del sistema de alumbrado público en Puerto </w:t>
      </w:r>
      <w:r w:rsidRPr="00D468DB">
        <w:rPr>
          <w:rFonts w:ascii="Book Antiqua" w:eastAsiaTheme="minorHAnsi" w:hAnsi="Book Antiqua"/>
          <w:szCs w:val="24"/>
          <w:lang w:val="es-ES_tradnl"/>
        </w:rPr>
        <w:lastRenderedPageBreak/>
        <w:t xml:space="preserve">Rico. Como parte de este esfuerzo, LUMA Energy implementó el </w:t>
      </w:r>
      <w:r w:rsidRPr="00D468DB">
        <w:rPr>
          <w:rFonts w:ascii="Book Antiqua" w:eastAsiaTheme="minorHAnsi" w:hAnsi="Book Antiqua"/>
          <w:bCs/>
          <w:szCs w:val="24"/>
          <w:lang w:val="es-ES_tradnl"/>
        </w:rPr>
        <w:t>Programa Iniciativa de Alumbrado Público Comunitario</w:t>
      </w:r>
      <w:r w:rsidRPr="00D468DB">
        <w:rPr>
          <w:rStyle w:val="FootnoteReference"/>
          <w:rFonts w:ascii="Book Antiqua" w:eastAsiaTheme="minorHAnsi" w:hAnsi="Book Antiqua"/>
          <w:bCs/>
          <w:szCs w:val="24"/>
          <w:lang w:val="es-ES_tradnl"/>
        </w:rPr>
        <w:footnoteReference w:id="1"/>
      </w:r>
      <w:r w:rsidRPr="00D468DB">
        <w:rPr>
          <w:rFonts w:ascii="Book Antiqua" w:eastAsiaTheme="minorHAnsi" w:hAnsi="Book Antiqua"/>
          <w:szCs w:val="24"/>
          <w:lang w:val="es-ES_tradnl"/>
        </w:rPr>
        <w:t>, cuyo objetivo es reemplazar aproximadamente 350,000 luminarias a nivel isla. Este programa utiliza tecnología LED con la promesa de reducir costos operativos y contribuir a la sostenibilidad energética.</w:t>
      </w:r>
    </w:p>
    <w:p w14:paraId="0152CFAE" w14:textId="1712230D" w:rsidR="003C18F6" w:rsidRPr="00D468DB" w:rsidRDefault="003C18F6" w:rsidP="003C18F6">
      <w:pPr>
        <w:spacing w:before="100" w:beforeAutospacing="1" w:after="100" w:afterAutospacing="1"/>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Sin embargo, a pesar de las metas ambiciosas de este programa, los ciudadanos de </w:t>
      </w:r>
      <w:proofErr w:type="spellStart"/>
      <w:r w:rsidRPr="00D468DB">
        <w:rPr>
          <w:rFonts w:ascii="Book Antiqua" w:eastAsiaTheme="minorHAnsi" w:hAnsi="Book Antiqua"/>
          <w:szCs w:val="24"/>
          <w:lang w:val="es-ES_tradnl"/>
        </w:rPr>
        <w:t>Toa</w:t>
      </w:r>
      <w:proofErr w:type="spellEnd"/>
      <w:r w:rsidRPr="00D468DB">
        <w:rPr>
          <w:rFonts w:ascii="Book Antiqua" w:eastAsiaTheme="minorHAnsi" w:hAnsi="Book Antiqua"/>
          <w:szCs w:val="24"/>
          <w:lang w:val="es-ES_tradnl"/>
        </w:rPr>
        <w:t xml:space="preserve"> Baja y Cataño continúan enfrentando dificultades para obtener respuestas efectivas a sus reclamos de reparación o reemplazo de luminarias dañadas. Al presente persisten interrogantes sobre la ejecución, alcance y transparencia de esta iniciativa en las áreas mencionadas. Además, existe preocupación sobre cómo se están utilizando los fondos federales asignados, la falta de plazos claros y la ausencia de mecanismos de monitoreo y rendición de cuentas que permitan evaluar el impacto real del programa.</w:t>
      </w:r>
    </w:p>
    <w:p w14:paraId="60F5E6F4" w14:textId="2DD7654B" w:rsidR="003C18F6" w:rsidRPr="00D468DB" w:rsidRDefault="003C18F6" w:rsidP="003C18F6">
      <w:pPr>
        <w:spacing w:before="100" w:beforeAutospacing="1" w:after="100" w:afterAutospacing="1"/>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Otro elemento crítico es la exploración de alternativas tecnológicas, como el uso de luminarias solares. Estas no solo podrían contribuir a reducir costos energéticos, sino también a mitigar los efectos de desastres naturales al operar de forma independiente de la red eléctrica. Implementar soluciones innovadoras como esta puede tener un impacto positivo en la resiliencia y sostenibilidad de las comunidades afectadas.</w:t>
      </w:r>
    </w:p>
    <w:p w14:paraId="7B108A0D" w14:textId="03E6488E" w:rsidR="00D468DB" w:rsidRPr="00D468DB" w:rsidRDefault="00D468DB" w:rsidP="00D468DB">
      <w:pPr>
        <w:spacing w:before="100" w:beforeAutospacing="1" w:after="100" w:afterAutospacing="1"/>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Por lo tanto, resulta prioritario realizar una investigación exhaustiva sobre el desempeño de LUMA Energy en la implementación del “</w:t>
      </w:r>
      <w:r w:rsidRPr="00D468DB">
        <w:rPr>
          <w:rFonts w:ascii="Book Antiqua" w:eastAsiaTheme="minorHAnsi" w:hAnsi="Book Antiqua"/>
          <w:bCs/>
          <w:szCs w:val="24"/>
          <w:lang w:val="es-ES_tradnl"/>
        </w:rPr>
        <w:t>Programa Iniciativa de Alumbrado Público Comunitario”</w:t>
      </w:r>
      <w:r w:rsidRPr="00D468DB">
        <w:rPr>
          <w:rFonts w:ascii="Book Antiqua" w:eastAsiaTheme="minorHAnsi" w:hAnsi="Book Antiqua"/>
          <w:szCs w:val="24"/>
          <w:lang w:val="es-ES_tradnl"/>
        </w:rPr>
        <w:t xml:space="preserve">, evaluando no solo la eficacia en la gestión de dicho programa, sino también su capacidad para responder a los reclamos ciudadanos relacionados con luminarias dañadas o en mal estado fuera del alcance directo del proyecto. Esta investigación permitirá determinar si LUMA Energy ha cumplido con sus responsabilidades contractuales y su rol en el mantenimiento de un servicio esencial como el alumbrado público, así como identificar áreas de mejora en la coordinación con municipios y agencias gubernamentales. Es indispensable que cualquier deficiencia detectada sea atendida con urgencia para garantizar que los recursos, tanto económicos como operativos, sean utilizados de manera eficiente y con un enfoque claro en las necesidades de las comunidades afectadas, especialmente en </w:t>
      </w:r>
      <w:proofErr w:type="spellStart"/>
      <w:r w:rsidRPr="00D468DB">
        <w:rPr>
          <w:rFonts w:ascii="Book Antiqua" w:eastAsiaTheme="minorHAnsi" w:hAnsi="Book Antiqua"/>
          <w:szCs w:val="24"/>
          <w:lang w:val="es-ES_tradnl"/>
        </w:rPr>
        <w:t>Toa</w:t>
      </w:r>
      <w:proofErr w:type="spellEnd"/>
      <w:r w:rsidRPr="00D468DB">
        <w:rPr>
          <w:rFonts w:ascii="Book Antiqua" w:eastAsiaTheme="minorHAnsi" w:hAnsi="Book Antiqua"/>
          <w:szCs w:val="24"/>
          <w:lang w:val="es-ES_tradnl"/>
        </w:rPr>
        <w:t xml:space="preserve"> Baja, Cataño y otras regiones impactadas.</w:t>
      </w:r>
    </w:p>
    <w:p w14:paraId="510D3CE7" w14:textId="347A32DF" w:rsidR="00D468DB" w:rsidRPr="00D468DB" w:rsidRDefault="00D468DB" w:rsidP="00D468DB">
      <w:pPr>
        <w:jc w:val="both"/>
        <w:rPr>
          <w:rFonts w:ascii="Book Antiqua" w:hAnsi="Book Antiqua"/>
          <w:szCs w:val="24"/>
          <w:lang w:val="es-ES_tradnl"/>
        </w:rPr>
      </w:pPr>
      <w:r w:rsidRPr="00D468DB">
        <w:rPr>
          <w:rFonts w:ascii="Book Antiqua" w:hAnsi="Book Antiqua"/>
          <w:szCs w:val="24"/>
          <w:lang w:val="es-ES_tradnl"/>
        </w:rPr>
        <w:t xml:space="preserve">     La Asamblea Legislativa tiene el deber de asegurar que los programas de infraestructura crítica, como el alumbrado público, sean gestionados con altos estándares de efectividad, transparencia y rendición de cuentas. El acceso a vías públicas bien iluminadas es un derecho fundamental que garantiza la seguridad, promueve la cohesión social y fomenta el desarrollo económico local. Este cuerpo legislativo reitera su compromiso con los ciudadanos, trabajando para que las comunidades puedan disfrutar de un entorno seguro, accesible y debidamente iluminado. A través de una evaluación </w:t>
      </w:r>
      <w:r w:rsidRPr="00D468DB">
        <w:rPr>
          <w:rFonts w:ascii="Book Antiqua" w:hAnsi="Book Antiqua"/>
          <w:szCs w:val="24"/>
          <w:lang w:val="es-ES_tradnl"/>
        </w:rPr>
        <w:lastRenderedPageBreak/>
        <w:t>rigurosa de iniciativas como la de LUMA Energy, se busca no solo resolver los problemas actuales, sino también sentar las bases para que futuras gestiones cumplan plenamente con las expectativas y derechos de los residentes en Puerto Rico.</w:t>
      </w:r>
    </w:p>
    <w:p w14:paraId="53BDD2E6" w14:textId="77777777" w:rsidR="00607459" w:rsidRPr="00D468DB" w:rsidRDefault="00607459" w:rsidP="00B25CCC">
      <w:pPr>
        <w:jc w:val="both"/>
        <w:rPr>
          <w:rFonts w:ascii="Book Antiqua" w:hAnsi="Book Antiqua"/>
          <w:i/>
          <w:caps/>
          <w:szCs w:val="24"/>
          <w:lang w:val="es-ES_tradnl"/>
        </w:rPr>
      </w:pPr>
    </w:p>
    <w:p w14:paraId="4D811978" w14:textId="5257DF6F" w:rsidR="00B25CCC" w:rsidRPr="00D468DB" w:rsidRDefault="00B25CCC" w:rsidP="00865869">
      <w:pPr>
        <w:spacing w:line="480" w:lineRule="auto"/>
        <w:jc w:val="both"/>
        <w:rPr>
          <w:rFonts w:ascii="Book Antiqua" w:hAnsi="Book Antiqua"/>
          <w:szCs w:val="24"/>
          <w:lang w:val="es-ES_tradnl"/>
        </w:rPr>
        <w:sectPr w:rsidR="00B25CCC" w:rsidRPr="00D468DB"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r w:rsidRPr="00D468DB">
        <w:rPr>
          <w:rFonts w:ascii="Book Antiqua" w:hAnsi="Book Antiqua"/>
          <w:i/>
          <w:caps/>
          <w:szCs w:val="24"/>
          <w:lang w:val="es-ES_tradnl"/>
        </w:rPr>
        <w:t>RESUéLVESE POR LA CáMARA DE REPRESENTANTES DE PUERTO RICO:</w:t>
      </w:r>
      <w:r w:rsidRPr="00D468DB">
        <w:rPr>
          <w:rFonts w:ascii="Book Antiqua" w:hAnsi="Book Antiqua"/>
          <w:szCs w:val="24"/>
          <w:lang w:val="es-ES_tradnl"/>
        </w:rPr>
        <w:t xml:space="preserve"> </w:t>
      </w:r>
    </w:p>
    <w:p w14:paraId="32EB5C87" w14:textId="4EB40505" w:rsidR="001E0B56" w:rsidRPr="00D468DB" w:rsidRDefault="00AE4E88" w:rsidP="00865869">
      <w:pPr>
        <w:spacing w:line="480" w:lineRule="auto"/>
        <w:jc w:val="both"/>
        <w:rPr>
          <w:rFonts w:ascii="Book Antiqua" w:eastAsiaTheme="minorHAnsi" w:hAnsi="Book Antiqua"/>
          <w:szCs w:val="24"/>
          <w:lang w:val="es-ES_tradnl"/>
        </w:rPr>
      </w:pPr>
      <w:r w:rsidRPr="00D468DB">
        <w:rPr>
          <w:rFonts w:ascii="Book Antiqua" w:hAnsi="Book Antiqua"/>
          <w:szCs w:val="24"/>
          <w:lang w:val="es-ES_tradnl"/>
        </w:rPr>
        <w:t xml:space="preserve">     </w:t>
      </w:r>
      <w:r w:rsidR="00C0034D" w:rsidRPr="00D468DB">
        <w:rPr>
          <w:rFonts w:ascii="Book Antiqua" w:hAnsi="Book Antiqua"/>
          <w:szCs w:val="24"/>
          <w:lang w:val="es-ES_tradnl"/>
        </w:rPr>
        <w:t>Se</w:t>
      </w:r>
      <w:r w:rsidR="00607459" w:rsidRPr="00D468DB">
        <w:rPr>
          <w:rFonts w:ascii="Book Antiqua" w:hAnsi="Book Antiqua"/>
          <w:szCs w:val="24"/>
          <w:lang w:val="es-ES_tradnl"/>
        </w:rPr>
        <w:t xml:space="preserve">cción 1. </w:t>
      </w:r>
      <w:r w:rsidR="00607459" w:rsidRPr="00D468DB">
        <w:rPr>
          <w:rFonts w:ascii="Book Antiqua" w:eastAsiaTheme="minorHAnsi" w:hAnsi="Book Antiqua"/>
          <w:szCs w:val="24"/>
          <w:lang w:val="es-ES_tradnl"/>
        </w:rPr>
        <w:t>Se ordena a la Comisión de Transportación e Infraestructura de la Cámara de Representantes realizar</w:t>
      </w:r>
      <w:r w:rsidR="00AF2D35">
        <w:rPr>
          <w:rFonts w:ascii="Book Antiqua" w:eastAsiaTheme="minorHAnsi" w:hAnsi="Book Antiqua"/>
          <w:szCs w:val="24"/>
          <w:lang w:val="es-ES_tradnl"/>
        </w:rPr>
        <w:t xml:space="preserve"> </w:t>
      </w:r>
      <w:r w:rsidR="00AF2D35" w:rsidRPr="00D468DB">
        <w:rPr>
          <w:rFonts w:ascii="Book Antiqua" w:eastAsiaTheme="minorHAnsi" w:hAnsi="Book Antiqua"/>
          <w:bCs/>
          <w:szCs w:val="24"/>
          <w:lang w:val="es-ES_tradnl"/>
        </w:rPr>
        <w:t xml:space="preserve">una investigación exhaustiva sobre las deficiencias en la reparación y reemplazo de luminarias en las carreteras estatales y municipales de los Municipios de </w:t>
      </w:r>
      <w:proofErr w:type="spellStart"/>
      <w:r w:rsidR="00AF2D35" w:rsidRPr="00D468DB">
        <w:rPr>
          <w:rFonts w:ascii="Book Antiqua" w:eastAsiaTheme="minorHAnsi" w:hAnsi="Book Antiqua"/>
          <w:bCs/>
          <w:szCs w:val="24"/>
          <w:lang w:val="es-ES_tradnl"/>
        </w:rPr>
        <w:t>Toa</w:t>
      </w:r>
      <w:proofErr w:type="spellEnd"/>
      <w:r w:rsidR="00AF2D35" w:rsidRPr="00D468DB">
        <w:rPr>
          <w:rFonts w:ascii="Book Antiqua" w:eastAsiaTheme="minorHAnsi" w:hAnsi="Book Antiqua"/>
          <w:bCs/>
          <w:szCs w:val="24"/>
          <w:lang w:val="es-ES_tradnl"/>
        </w:rPr>
        <w:t xml:space="preserve"> Baja y Cataño; examinar el “Programa Iniciativa de Alumbrado Público Comunitario” de LUMA, su ejecución, alcance y cumplimiento con las necesidades de las comunidades; evaluar la respuesta de LUMA Energy a los reclamos ciudadanos; analizar los recursos económicos y tecnológicos utilizados para atender esta problemática.</w:t>
      </w:r>
    </w:p>
    <w:p w14:paraId="52A94084" w14:textId="77777777" w:rsidR="001E0B56" w:rsidRPr="00D468DB" w:rsidRDefault="001E0B56" w:rsidP="00865869">
      <w:pPr>
        <w:spacing w:line="480" w:lineRule="auto"/>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w:t>
      </w:r>
      <w:r w:rsidR="00607459" w:rsidRPr="00D468DB">
        <w:rPr>
          <w:rFonts w:ascii="Book Antiqua" w:eastAsiaTheme="minorHAnsi" w:hAnsi="Book Antiqua"/>
          <w:bCs/>
          <w:szCs w:val="24"/>
          <w:lang w:val="es-ES_tradnl"/>
        </w:rPr>
        <w:t>Sección 2.</w:t>
      </w:r>
      <w:r w:rsidR="00607459" w:rsidRPr="00D468DB">
        <w:rPr>
          <w:rFonts w:ascii="Book Antiqua" w:eastAsiaTheme="minorHAnsi" w:hAnsi="Book Antiqua"/>
          <w:szCs w:val="24"/>
          <w:lang w:val="es-ES_tradnl"/>
        </w:rPr>
        <w:t xml:space="preserve"> Como parte de esta investigación, la Comisión evaluará, sin limitarse a: </w:t>
      </w:r>
    </w:p>
    <w:p w14:paraId="4C951A36" w14:textId="2860563D" w:rsidR="00607459" w:rsidRPr="00D468DB" w:rsidRDefault="00607459" w:rsidP="00865869">
      <w:pPr>
        <w:pStyle w:val="ListParagraph"/>
        <w:numPr>
          <w:ilvl w:val="0"/>
          <w:numId w:val="6"/>
        </w:numPr>
        <w:spacing w:after="0" w:line="480" w:lineRule="auto"/>
        <w:jc w:val="both"/>
        <w:rPr>
          <w:rFonts w:ascii="Book Antiqua" w:hAnsi="Book Antiqua"/>
          <w:lang w:val="es-ES_tradnl"/>
        </w:rPr>
      </w:pPr>
      <w:r w:rsidRPr="00D468DB">
        <w:rPr>
          <w:rFonts w:ascii="Book Antiqua" w:hAnsi="Book Antiqua"/>
          <w:lang w:val="es-ES_tradnl"/>
        </w:rPr>
        <w:t>La ejecución del “</w:t>
      </w:r>
      <w:r w:rsidRPr="00D468DB">
        <w:rPr>
          <w:rFonts w:ascii="Book Antiqua" w:hAnsi="Book Antiqua"/>
          <w:bCs/>
          <w:lang w:val="es-ES_tradnl"/>
        </w:rPr>
        <w:t>Programa Iniciativa de Alumbrado Público Comunitario de LUMA Energy”</w:t>
      </w:r>
      <w:r w:rsidRPr="00D468DB">
        <w:rPr>
          <w:rFonts w:ascii="Book Antiqua" w:hAnsi="Book Antiqua"/>
          <w:lang w:val="es-ES_tradnl"/>
        </w:rPr>
        <w:t>, incluyendo:</w:t>
      </w:r>
    </w:p>
    <w:p w14:paraId="0672D023" w14:textId="12C89C1F" w:rsidR="001E0B56" w:rsidRPr="005422D8" w:rsidRDefault="001E0B56" w:rsidP="00865869">
      <w:pPr>
        <w:pStyle w:val="ListParagraph"/>
        <w:numPr>
          <w:ilvl w:val="0"/>
          <w:numId w:val="4"/>
        </w:numPr>
        <w:spacing w:after="0" w:line="480" w:lineRule="auto"/>
        <w:ind w:left="1170"/>
        <w:jc w:val="both"/>
        <w:rPr>
          <w:rFonts w:ascii="Times New Roman" w:hAnsi="Times New Roman"/>
          <w:szCs w:val="20"/>
          <w:lang w:val="es-ES_tradnl"/>
        </w:rPr>
      </w:pPr>
      <w:r w:rsidRPr="00D468DB">
        <w:rPr>
          <w:rFonts w:ascii="Book Antiqua" w:hAnsi="Book Antiqua"/>
          <w:lang w:val="es-ES_tradnl"/>
        </w:rPr>
        <w:t xml:space="preserve">El número de luminarias reemplazadas en los Municipios de </w:t>
      </w:r>
      <w:proofErr w:type="spellStart"/>
      <w:r w:rsidRPr="00D468DB">
        <w:rPr>
          <w:rFonts w:ascii="Book Antiqua" w:hAnsi="Book Antiqua"/>
          <w:lang w:val="es-ES_tradnl"/>
        </w:rPr>
        <w:t>Toa</w:t>
      </w:r>
      <w:proofErr w:type="spellEnd"/>
      <w:r w:rsidRPr="00D468DB">
        <w:rPr>
          <w:rFonts w:ascii="Book Antiqua" w:hAnsi="Book Antiqua"/>
          <w:lang w:val="es-ES_tradnl"/>
        </w:rPr>
        <w:t xml:space="preserve"> Baja y Cataño. </w:t>
      </w:r>
    </w:p>
    <w:p w14:paraId="571CB7DE" w14:textId="26CE6D76" w:rsidR="001E0B56" w:rsidRPr="005422D8" w:rsidRDefault="001E0B56" w:rsidP="00865869">
      <w:pPr>
        <w:pStyle w:val="ListParagraph"/>
        <w:numPr>
          <w:ilvl w:val="0"/>
          <w:numId w:val="4"/>
        </w:numPr>
        <w:spacing w:after="0" w:line="480" w:lineRule="auto"/>
        <w:ind w:left="1170"/>
        <w:jc w:val="both"/>
        <w:rPr>
          <w:rFonts w:ascii="Times New Roman" w:hAnsi="Times New Roman"/>
          <w:szCs w:val="20"/>
          <w:lang w:val="es-ES_tradnl"/>
        </w:rPr>
      </w:pPr>
      <w:r w:rsidRPr="00D468DB">
        <w:rPr>
          <w:rFonts w:ascii="Book Antiqua" w:hAnsi="Book Antiqua"/>
          <w:lang w:val="es-ES_tradnl"/>
        </w:rPr>
        <w:t>El cumplimiento con los plazos y objetivos establecidos en el programa.</w:t>
      </w:r>
    </w:p>
    <w:p w14:paraId="20F6748B" w14:textId="77777777" w:rsidR="005422D8" w:rsidRPr="005422D8" w:rsidRDefault="001E0B56" w:rsidP="00865869">
      <w:pPr>
        <w:pStyle w:val="ListParagraph"/>
        <w:numPr>
          <w:ilvl w:val="0"/>
          <w:numId w:val="4"/>
        </w:numPr>
        <w:spacing w:after="0" w:line="480" w:lineRule="auto"/>
        <w:ind w:left="1170"/>
        <w:jc w:val="both"/>
        <w:rPr>
          <w:rFonts w:ascii="Times New Roman" w:hAnsi="Times New Roman"/>
          <w:szCs w:val="20"/>
          <w:lang w:val="es-ES_tradnl"/>
        </w:rPr>
      </w:pPr>
      <w:r w:rsidRPr="00D468DB">
        <w:rPr>
          <w:rFonts w:ascii="Book Antiqua" w:hAnsi="Book Antiqua"/>
          <w:lang w:val="es-ES_tradnl"/>
        </w:rPr>
        <w:t>La tecnología empleada en las luminarias, incluyendo su eficiencia energética, durabilidad y costos asociados.</w:t>
      </w:r>
    </w:p>
    <w:p w14:paraId="514BB2E2" w14:textId="500F1B43" w:rsidR="001E0B56" w:rsidRPr="00AD5135" w:rsidRDefault="001E0B56" w:rsidP="00865869">
      <w:pPr>
        <w:spacing w:line="480" w:lineRule="auto"/>
        <w:ind w:left="810"/>
        <w:jc w:val="both"/>
        <w:rPr>
          <w:lang w:val="es-ES_tradnl"/>
        </w:rPr>
      </w:pPr>
      <w:r w:rsidRPr="00AD5135">
        <w:rPr>
          <w:rFonts w:ascii="Book Antiqua" w:hAnsi="Book Antiqua"/>
          <w:lang w:val="es-ES_tradnl"/>
        </w:rPr>
        <w:t>Ch. La coordinación entre LUMA Energy y los municipios para identificar áreas prioritarias y atender necesidades específicas.</w:t>
      </w:r>
    </w:p>
    <w:p w14:paraId="5B79ADAC" w14:textId="2FB91CF7" w:rsidR="001E0B56" w:rsidRPr="00D60F33" w:rsidRDefault="001E0B56" w:rsidP="00865869">
      <w:pPr>
        <w:pStyle w:val="ListParagraph"/>
        <w:numPr>
          <w:ilvl w:val="0"/>
          <w:numId w:val="6"/>
        </w:numPr>
        <w:spacing w:after="0" w:line="480" w:lineRule="auto"/>
        <w:jc w:val="both"/>
        <w:rPr>
          <w:rFonts w:ascii="Times New Roman" w:hAnsi="Times New Roman"/>
          <w:szCs w:val="20"/>
          <w:lang w:val="es-ES_tradnl"/>
        </w:rPr>
      </w:pPr>
      <w:r w:rsidRPr="00D60F33">
        <w:rPr>
          <w:rFonts w:ascii="Book Antiqua" w:hAnsi="Book Antiqua"/>
          <w:lang w:val="es-ES_tradnl"/>
        </w:rPr>
        <w:lastRenderedPageBreak/>
        <w:t>La capacidad de respuesta de LUMA Energy a los reclamos ciudadanos relacionados con luminarias dañadas fuera del alcance directo del programa.</w:t>
      </w:r>
    </w:p>
    <w:p w14:paraId="4E0A660B" w14:textId="77777777" w:rsidR="000628F0" w:rsidRPr="000628F0" w:rsidRDefault="001E0B56" w:rsidP="00865869">
      <w:pPr>
        <w:pStyle w:val="ListParagraph"/>
        <w:numPr>
          <w:ilvl w:val="0"/>
          <w:numId w:val="6"/>
        </w:numPr>
        <w:spacing w:after="0" w:line="480" w:lineRule="auto"/>
        <w:jc w:val="both"/>
        <w:rPr>
          <w:rFonts w:ascii="Times New Roman" w:hAnsi="Times New Roman"/>
          <w:szCs w:val="20"/>
          <w:lang w:val="es-ES_tradnl"/>
        </w:rPr>
      </w:pPr>
      <w:r w:rsidRPr="000628F0">
        <w:rPr>
          <w:rFonts w:ascii="Book Antiqua" w:hAnsi="Book Antiqua"/>
          <w:lang w:val="es-ES_tradnl"/>
        </w:rPr>
        <w:t>Los recursos económicos asignados al programa, incluyendo fondos federales provistos por FEMA, y su utilización conforme a los principios de eficiencia, transparencia y rendición de cuentas.</w:t>
      </w:r>
    </w:p>
    <w:p w14:paraId="481EDEE1" w14:textId="6829ADE4" w:rsidR="000628F0" w:rsidRPr="00322BCA" w:rsidRDefault="001E0B56" w:rsidP="00865869">
      <w:pPr>
        <w:pStyle w:val="ListParagraph"/>
        <w:numPr>
          <w:ilvl w:val="0"/>
          <w:numId w:val="6"/>
        </w:numPr>
        <w:spacing w:after="0" w:line="480" w:lineRule="auto"/>
        <w:jc w:val="both"/>
        <w:rPr>
          <w:rFonts w:ascii="Times New Roman" w:hAnsi="Times New Roman"/>
          <w:szCs w:val="20"/>
          <w:lang w:val="es-ES_tradnl"/>
        </w:rPr>
      </w:pPr>
      <w:r w:rsidRPr="00322BCA">
        <w:rPr>
          <w:rFonts w:ascii="Book Antiqua" w:hAnsi="Book Antiqua"/>
          <w:lang w:val="es-ES_tradnl"/>
        </w:rPr>
        <w:t>La viabilidad de incorporar tecnologías alternativas, como luminarias solares, para mejorar la sostenibilidad energética y la resiliencia de las comunidades afectadas.</w:t>
      </w:r>
    </w:p>
    <w:p w14:paraId="2B2515A9" w14:textId="77777777" w:rsidR="00CD7ACD" w:rsidRPr="00CD7ACD" w:rsidRDefault="001E0B56" w:rsidP="00865869">
      <w:pPr>
        <w:pStyle w:val="ListParagraph"/>
        <w:numPr>
          <w:ilvl w:val="0"/>
          <w:numId w:val="6"/>
        </w:numPr>
        <w:spacing w:after="0" w:line="480" w:lineRule="auto"/>
        <w:jc w:val="both"/>
        <w:rPr>
          <w:rFonts w:ascii="Times New Roman" w:hAnsi="Times New Roman"/>
          <w:szCs w:val="20"/>
          <w:lang w:val="es-ES_tradnl"/>
        </w:rPr>
      </w:pPr>
      <w:r w:rsidRPr="000628F0">
        <w:rPr>
          <w:rFonts w:ascii="Book Antiqua" w:hAnsi="Book Antiqua"/>
          <w:lang w:val="es-ES_tradnl"/>
        </w:rPr>
        <w:t xml:space="preserve">La seguridad pública y los riesgos asociados con la falta de alumbrado adecuado en las vías públicas de </w:t>
      </w:r>
      <w:proofErr w:type="spellStart"/>
      <w:r w:rsidRPr="000628F0">
        <w:rPr>
          <w:rFonts w:ascii="Book Antiqua" w:hAnsi="Book Antiqua"/>
          <w:lang w:val="es-ES_tradnl"/>
        </w:rPr>
        <w:t>Toa</w:t>
      </w:r>
      <w:proofErr w:type="spellEnd"/>
      <w:r w:rsidRPr="000628F0">
        <w:rPr>
          <w:rFonts w:ascii="Book Antiqua" w:hAnsi="Book Antiqua"/>
          <w:lang w:val="es-ES_tradnl"/>
        </w:rPr>
        <w:t xml:space="preserve"> Baja y Cataño.</w:t>
      </w:r>
    </w:p>
    <w:p w14:paraId="74C22448" w14:textId="19DF6B53" w:rsidR="00004D9F" w:rsidRPr="00CD7ACD" w:rsidRDefault="001E0B56" w:rsidP="00865869">
      <w:pPr>
        <w:spacing w:line="480" w:lineRule="auto"/>
        <w:ind w:left="360"/>
        <w:jc w:val="both"/>
        <w:rPr>
          <w:lang w:val="es-ES_tradnl"/>
        </w:rPr>
      </w:pPr>
      <w:r w:rsidRPr="00CD7ACD">
        <w:rPr>
          <w:rStyle w:val="Strong"/>
          <w:rFonts w:ascii="Book Antiqua" w:hAnsi="Book Antiqua"/>
          <w:b w:val="0"/>
          <w:szCs w:val="24"/>
          <w:lang w:val="es-ES_tradnl"/>
        </w:rPr>
        <w:t xml:space="preserve"> Sección 3.</w:t>
      </w:r>
      <w:r w:rsidRPr="00CD7ACD">
        <w:rPr>
          <w:rFonts w:ascii="Book Antiqua" w:hAnsi="Book Antiqua"/>
          <w:lang w:val="es-ES_tradnl"/>
        </w:rPr>
        <w:t xml:space="preserve"> La Comisión citará a vistas públicas a representantes de LUMA Energy, al Departamento de Transportación y Obras Públicas, a la Autoridad de Carreteras y Transportación, y a los alcaldes de </w:t>
      </w:r>
      <w:proofErr w:type="spellStart"/>
      <w:r w:rsidRPr="00CD7ACD">
        <w:rPr>
          <w:rFonts w:ascii="Book Antiqua" w:hAnsi="Book Antiqua"/>
          <w:lang w:val="es-ES_tradnl"/>
        </w:rPr>
        <w:t>Toa</w:t>
      </w:r>
      <w:proofErr w:type="spellEnd"/>
      <w:r w:rsidRPr="00CD7ACD">
        <w:rPr>
          <w:rFonts w:ascii="Book Antiqua" w:hAnsi="Book Antiqua"/>
          <w:lang w:val="es-ES_tradnl"/>
        </w:rPr>
        <w:t xml:space="preserve"> Baja y Cataño, entre otros, con el propósito de recabar información pertinente y evaluar soluciones efectivas para esta problemática.</w:t>
      </w:r>
    </w:p>
    <w:p w14:paraId="41E9440C" w14:textId="77777777" w:rsidR="00AF6648" w:rsidRDefault="001E0B56" w:rsidP="00865869">
      <w:pPr>
        <w:spacing w:line="480" w:lineRule="auto"/>
        <w:ind w:left="360" w:firstLine="60"/>
        <w:jc w:val="both"/>
        <w:rPr>
          <w:rFonts w:ascii="Book Antiqua" w:hAnsi="Book Antiqua"/>
          <w:lang w:val="es-ES_tradnl"/>
        </w:rPr>
      </w:pPr>
      <w:r w:rsidRPr="00CB571B">
        <w:rPr>
          <w:rStyle w:val="Strong"/>
          <w:rFonts w:ascii="Book Antiqua" w:hAnsi="Book Antiqua"/>
          <w:b w:val="0"/>
          <w:szCs w:val="24"/>
          <w:lang w:val="es-ES_tradnl"/>
        </w:rPr>
        <w:t>Sección 4.</w:t>
      </w:r>
      <w:r w:rsidRPr="00CB571B">
        <w:rPr>
          <w:rFonts w:ascii="Book Antiqua" w:hAnsi="Book Antiqua"/>
          <w:lang w:val="es-ES_tradnl"/>
        </w:rPr>
        <w:t xml:space="preserve"> La Comisión rendirá </w:t>
      </w:r>
      <w:r w:rsidR="008F570D">
        <w:rPr>
          <w:rFonts w:ascii="Book Antiqua" w:hAnsi="Book Antiqua"/>
          <w:lang w:val="es-ES_tradnl"/>
        </w:rPr>
        <w:t>a la Cámara de Representantes</w:t>
      </w:r>
      <w:r w:rsidR="00DF267C">
        <w:rPr>
          <w:rFonts w:ascii="Book Antiqua" w:hAnsi="Book Antiqua"/>
          <w:lang w:val="es-ES_tradnl"/>
        </w:rPr>
        <w:t xml:space="preserve"> de Puerto Rico los informes parciales que estime necesarios o convenientes en los que</w:t>
      </w:r>
      <w:r w:rsidR="005B3CF4">
        <w:rPr>
          <w:rFonts w:ascii="Book Antiqua" w:hAnsi="Book Antiqua"/>
          <w:lang w:val="es-ES_tradnl"/>
        </w:rPr>
        <w:t xml:space="preserve"> incluyan</w:t>
      </w:r>
      <w:r w:rsidRPr="00CB571B">
        <w:rPr>
          <w:rFonts w:ascii="Book Antiqua" w:hAnsi="Book Antiqua"/>
          <w:lang w:val="es-ES_tradnl"/>
        </w:rPr>
        <w:t xml:space="preserve"> sus hallazgos, conclusiones y recomendaciones</w:t>
      </w:r>
      <w:r w:rsidR="005B3CF4">
        <w:rPr>
          <w:rFonts w:ascii="Book Antiqua" w:hAnsi="Book Antiqua"/>
          <w:lang w:val="es-ES_tradnl"/>
        </w:rPr>
        <w:t>; asimismo, someterá</w:t>
      </w:r>
      <w:r w:rsidR="00812671">
        <w:rPr>
          <w:rFonts w:ascii="Book Antiqua" w:hAnsi="Book Antiqua"/>
          <w:lang w:val="es-ES_tradnl"/>
        </w:rPr>
        <w:t xml:space="preserve"> un informe final, antes de que finalice la Vigésima Asamblea Legislativa</w:t>
      </w:r>
      <w:r w:rsidR="00AF6648">
        <w:rPr>
          <w:rFonts w:ascii="Book Antiqua" w:hAnsi="Book Antiqua"/>
          <w:lang w:val="es-ES_tradnl"/>
        </w:rPr>
        <w:t>.</w:t>
      </w:r>
    </w:p>
    <w:p w14:paraId="5DFBBEFB" w14:textId="0B8329DA" w:rsidR="00B25CCC" w:rsidRPr="00D468DB" w:rsidRDefault="001E0B56" w:rsidP="00865869">
      <w:pPr>
        <w:spacing w:line="480" w:lineRule="auto"/>
        <w:ind w:left="360" w:firstLine="60"/>
        <w:jc w:val="both"/>
        <w:rPr>
          <w:rFonts w:ascii="Book Antiqua" w:hAnsi="Book Antiqua"/>
          <w:szCs w:val="24"/>
          <w:lang w:val="es-ES_tradnl"/>
        </w:rPr>
      </w:pPr>
      <w:r w:rsidRPr="00D468DB">
        <w:rPr>
          <w:rStyle w:val="Strong"/>
          <w:rFonts w:ascii="Book Antiqua" w:hAnsi="Book Antiqua"/>
          <w:b w:val="0"/>
          <w:szCs w:val="24"/>
          <w:lang w:val="es-ES_tradnl"/>
        </w:rPr>
        <w:t>Sección 5.</w:t>
      </w:r>
      <w:r w:rsidRPr="00D468DB">
        <w:rPr>
          <w:rFonts w:ascii="Book Antiqua" w:hAnsi="Book Antiqua"/>
          <w:szCs w:val="24"/>
          <w:lang w:val="es-ES_tradnl"/>
        </w:rPr>
        <w:t xml:space="preserve"> Esta Resolución comenzará a regir inmediatamente después de su aprobación.</w:t>
      </w:r>
      <w:r w:rsidRPr="00D468DB">
        <w:rPr>
          <w:rFonts w:ascii="Book Antiqua" w:hAnsi="Book Antiqua"/>
          <w:lang w:val="es-ES_tradnl"/>
        </w:rPr>
        <w:t xml:space="preserve"> </w:t>
      </w:r>
    </w:p>
    <w:sectPr w:rsidR="00B25CCC" w:rsidRPr="00D468DB"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160A0" w14:textId="77777777" w:rsidR="00EA7564" w:rsidRDefault="00EA7564">
      <w:r>
        <w:separator/>
      </w:r>
    </w:p>
  </w:endnote>
  <w:endnote w:type="continuationSeparator" w:id="0">
    <w:p w14:paraId="1114112C" w14:textId="77777777" w:rsidR="00EA7564" w:rsidRDefault="00EA7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1E0B56" w:rsidRDefault="001E0B56">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F4B7D5" w14:textId="77777777" w:rsidR="001E0B56" w:rsidRDefault="001E0B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1E0B56" w:rsidRDefault="001E0B56">
    <w:pPr>
      <w:pStyle w:val="Footer"/>
      <w:framePr w:wrap="around" w:vAnchor="text" w:hAnchor="margin" w:xAlign="right" w:y="1"/>
      <w:rPr>
        <w:rStyle w:val="PageNumber"/>
        <w:rFonts w:eastAsiaTheme="majorEastAsia"/>
      </w:rPr>
    </w:pPr>
  </w:p>
  <w:p w14:paraId="4F836377" w14:textId="77777777" w:rsidR="001E0B56" w:rsidRDefault="001E0B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27980" w14:textId="77777777" w:rsidR="00EA7564" w:rsidRDefault="00EA7564">
      <w:r>
        <w:separator/>
      </w:r>
    </w:p>
  </w:footnote>
  <w:footnote w:type="continuationSeparator" w:id="0">
    <w:p w14:paraId="125247E7" w14:textId="77777777" w:rsidR="00EA7564" w:rsidRDefault="00EA7564">
      <w:r>
        <w:continuationSeparator/>
      </w:r>
    </w:p>
  </w:footnote>
  <w:footnote w:id="1">
    <w:p w14:paraId="6B69DB03" w14:textId="45710DD5" w:rsidR="001E0B56" w:rsidRDefault="001E0B56">
      <w:pPr>
        <w:pStyle w:val="FootnoteText"/>
        <w:rPr>
          <w:rFonts w:ascii="Book Antiqua" w:hAnsi="Book Antiqua"/>
          <w:i/>
          <w:sz w:val="20"/>
          <w:szCs w:val="20"/>
        </w:rPr>
      </w:pPr>
      <w:r>
        <w:rPr>
          <w:rStyle w:val="FootnoteReference"/>
        </w:rPr>
        <w:footnoteRef/>
      </w:r>
      <w:r>
        <w:t xml:space="preserve"> </w:t>
      </w:r>
      <w:hyperlink r:id="rId1" w:anchor=":~:text=9%20de%20abril%20de%202024,proyecto%2C%20en%20sobre%2055%20municipios" w:history="1">
        <w:r w:rsidRPr="00A13951">
          <w:rPr>
            <w:rStyle w:val="Hyperlink"/>
            <w:rFonts w:ascii="Book Antiqua" w:hAnsi="Book Antiqua"/>
            <w:i/>
            <w:sz w:val="20"/>
          </w:rPr>
          <w:t>https://lumapr.com/news/a-paso-firme-la-iniciativa-de-alumbrado-publico-comunitario-de-luma/#:~:text=9%20de%20abril%20de%202024,proyecto%2C%20en%20sobre%2055%20municipios</w:t>
        </w:r>
      </w:hyperlink>
      <w:r w:rsidRPr="003C18F6">
        <w:rPr>
          <w:rFonts w:ascii="Book Antiqua" w:hAnsi="Book Antiqua"/>
          <w:i/>
          <w:sz w:val="20"/>
          <w:szCs w:val="20"/>
        </w:rPr>
        <w:t>.</w:t>
      </w:r>
    </w:p>
    <w:p w14:paraId="196F2E26" w14:textId="77777777" w:rsidR="001E0B56" w:rsidRPr="003C18F6" w:rsidRDefault="001E0B56">
      <w:pPr>
        <w:pStyle w:val="FootnoteText"/>
        <w:rPr>
          <w:lang w:val="es-ES_trad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1E0B56" w:rsidRDefault="001E0B56">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EFEEB9A" w14:textId="77777777" w:rsidR="001E0B56" w:rsidRDefault="001E0B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1E0B56" w:rsidRPr="00072A94" w:rsidRDefault="001E0B56">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AF2D35">
      <w:rPr>
        <w:rFonts w:ascii="Book Antiqua" w:hAnsi="Book Antiqua"/>
        <w:noProof/>
        <w:szCs w:val="18"/>
      </w:rPr>
      <w:t>2</w:t>
    </w:r>
    <w:r w:rsidRPr="00072A94">
      <w:rPr>
        <w:rFonts w:ascii="Book Antiqua" w:hAnsi="Book Antiqua"/>
        <w:szCs w:val="18"/>
      </w:rPr>
      <w:fldChar w:fldCharType="end"/>
    </w:r>
  </w:p>
  <w:p w14:paraId="252F6C8A" w14:textId="77777777" w:rsidR="001E0B56" w:rsidRDefault="001E0B56"/>
  <w:p w14:paraId="2763B849" w14:textId="77777777" w:rsidR="001E0B56" w:rsidRDefault="001E0B56">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1E0B56" w:rsidRDefault="001E0B56">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AF2D35">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8197504">
    <w:abstractNumId w:val="1"/>
  </w:num>
  <w:num w:numId="2" w16cid:durableId="1464080176">
    <w:abstractNumId w:val="5"/>
  </w:num>
  <w:num w:numId="3" w16cid:durableId="1296907511">
    <w:abstractNumId w:val="3"/>
  </w:num>
  <w:num w:numId="4" w16cid:durableId="56899135">
    <w:abstractNumId w:val="4"/>
  </w:num>
  <w:num w:numId="5" w16cid:durableId="558829249">
    <w:abstractNumId w:val="2"/>
  </w:num>
  <w:num w:numId="6" w16cid:durableId="711418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04D9F"/>
    <w:rsid w:val="000628F0"/>
    <w:rsid w:val="00066B6D"/>
    <w:rsid w:val="001716D0"/>
    <w:rsid w:val="001E0B56"/>
    <w:rsid w:val="0026407E"/>
    <w:rsid w:val="00306752"/>
    <w:rsid w:val="00322BCA"/>
    <w:rsid w:val="003448B8"/>
    <w:rsid w:val="00346A05"/>
    <w:rsid w:val="003C18F6"/>
    <w:rsid w:val="003E27D1"/>
    <w:rsid w:val="004679FC"/>
    <w:rsid w:val="0051008B"/>
    <w:rsid w:val="00535E62"/>
    <w:rsid w:val="005422D8"/>
    <w:rsid w:val="0054382A"/>
    <w:rsid w:val="005B3CF4"/>
    <w:rsid w:val="005C273B"/>
    <w:rsid w:val="005F64EE"/>
    <w:rsid w:val="00607459"/>
    <w:rsid w:val="006A258D"/>
    <w:rsid w:val="006B0B56"/>
    <w:rsid w:val="007E78F3"/>
    <w:rsid w:val="00812671"/>
    <w:rsid w:val="00865869"/>
    <w:rsid w:val="008B2C1D"/>
    <w:rsid w:val="008F570D"/>
    <w:rsid w:val="00AD5135"/>
    <w:rsid w:val="00AE4E88"/>
    <w:rsid w:val="00AF2D35"/>
    <w:rsid w:val="00AF6648"/>
    <w:rsid w:val="00B25CCC"/>
    <w:rsid w:val="00C0034D"/>
    <w:rsid w:val="00CB571B"/>
    <w:rsid w:val="00CD7ACD"/>
    <w:rsid w:val="00D03865"/>
    <w:rsid w:val="00D12664"/>
    <w:rsid w:val="00D468DB"/>
    <w:rsid w:val="00D60F33"/>
    <w:rsid w:val="00D7108F"/>
    <w:rsid w:val="00D93074"/>
    <w:rsid w:val="00D96357"/>
    <w:rsid w:val="00DF267C"/>
    <w:rsid w:val="00E46269"/>
    <w:rsid w:val="00E911C3"/>
    <w:rsid w:val="00EA7564"/>
    <w:rsid w:val="00EC3925"/>
    <w:rsid w:val="00ED7762"/>
    <w:rsid w:val="00F03CC7"/>
    <w:rsid w:val="00F07B96"/>
    <w:rsid w:val="00F82D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56FD6252-D78D-4027-A36D-880525428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umapr.com/news/a-paso-firme-la-iniciativa-de-alumbrado-publico-comunitario-de-lu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1128</Words>
  <Characters>6435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Gladys J. Burgos Torres</cp:lastModifiedBy>
  <cp:revision>4</cp:revision>
  <cp:lastPrinted>2025-01-28T16:34:00Z</cp:lastPrinted>
  <dcterms:created xsi:type="dcterms:W3CDTF">2025-01-28T14:10:00Z</dcterms:created>
  <dcterms:modified xsi:type="dcterms:W3CDTF">2025-01-28T16:34:00Z</dcterms:modified>
</cp:coreProperties>
</file>