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1F555" w14:textId="77777777" w:rsidR="007B535E" w:rsidRPr="00E44B35" w:rsidRDefault="0035308A" w:rsidP="00E44B35">
      <w:pPr>
        <w:jc w:val="center"/>
        <w:rPr>
          <w:rFonts w:ascii="Book Antiqua" w:hAnsi="Book Antiqua"/>
          <w:sz w:val="28"/>
          <w:szCs w:val="28"/>
        </w:rPr>
      </w:pPr>
      <w:r w:rsidRPr="00E44B35">
        <w:rPr>
          <w:rFonts w:ascii="Book Antiqua" w:hAnsi="Book Antiqua"/>
          <w:sz w:val="28"/>
          <w:szCs w:val="28"/>
        </w:rPr>
        <w:t>GOBIERNO DE PUERTO RICO</w:t>
      </w:r>
    </w:p>
    <w:p w14:paraId="7DEDADAB" w14:textId="77777777" w:rsidR="0035308A" w:rsidRPr="00C27812" w:rsidRDefault="0035308A" w:rsidP="0035308A">
      <w:pPr>
        <w:jc w:val="center"/>
        <w:rPr>
          <w:rFonts w:ascii="Book Antiqua" w:hAnsi="Book Antiqua"/>
          <w:szCs w:val="14"/>
        </w:rPr>
      </w:pPr>
    </w:p>
    <w:p w14:paraId="222C79A0" w14:textId="1119FE80" w:rsidR="007B535E" w:rsidRPr="003E3BA1" w:rsidRDefault="00E44B35" w:rsidP="0035308A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7B535E" w:rsidRPr="003E3BA1">
        <w:rPr>
          <w:rFonts w:ascii="Book Antiqua" w:hAnsi="Book Antiqua"/>
        </w:rPr>
        <w:tab/>
        <w:t>Asamblea</w:t>
      </w:r>
      <w:r w:rsidR="007B535E" w:rsidRPr="003E3BA1">
        <w:rPr>
          <w:rFonts w:ascii="Book Antiqua" w:hAnsi="Book Antiqua"/>
        </w:rPr>
        <w:tab/>
      </w:r>
      <w:r>
        <w:rPr>
          <w:rFonts w:ascii="Book Antiqua" w:hAnsi="Book Antiqua"/>
        </w:rPr>
        <w:t>1ra.</w:t>
      </w:r>
      <w:r w:rsidR="007B535E" w:rsidRPr="003E3BA1">
        <w:rPr>
          <w:rFonts w:ascii="Book Antiqua" w:hAnsi="Book Antiqua"/>
        </w:rPr>
        <w:tab/>
        <w:t>Sesión</w:t>
      </w:r>
    </w:p>
    <w:p w14:paraId="1F42B662" w14:textId="77777777" w:rsidR="007B535E" w:rsidRPr="003E3BA1" w:rsidRDefault="007B535E" w:rsidP="0035308A">
      <w:pPr>
        <w:pStyle w:val="Title2"/>
        <w:rPr>
          <w:rFonts w:ascii="Book Antiqua" w:hAnsi="Book Antiqua"/>
        </w:rPr>
      </w:pPr>
      <w:r w:rsidRPr="003E3BA1">
        <w:rPr>
          <w:rFonts w:ascii="Book Antiqua" w:hAnsi="Book Antiqua"/>
        </w:rPr>
        <w:tab/>
        <w:t>Legislativa</w:t>
      </w:r>
      <w:r w:rsidRPr="003E3BA1">
        <w:rPr>
          <w:rFonts w:ascii="Book Antiqua" w:hAnsi="Book Antiqua"/>
        </w:rPr>
        <w:tab/>
      </w:r>
      <w:r w:rsidRPr="003E3BA1">
        <w:rPr>
          <w:rFonts w:ascii="Book Antiqua" w:hAnsi="Book Antiqua"/>
        </w:rPr>
        <w:tab/>
        <w:t>Ordinaria</w:t>
      </w:r>
    </w:p>
    <w:p w14:paraId="5D5B9D79" w14:textId="77777777" w:rsidR="007B535E" w:rsidRPr="003E3BA1" w:rsidRDefault="007B535E" w:rsidP="0035308A">
      <w:pPr>
        <w:rPr>
          <w:rFonts w:ascii="Book Antiqua" w:hAnsi="Book Antiqua"/>
        </w:rPr>
      </w:pPr>
    </w:p>
    <w:p w14:paraId="1EB51CED" w14:textId="77777777" w:rsidR="007B535E" w:rsidRPr="003E3BA1" w:rsidRDefault="0035308A" w:rsidP="0035308A">
      <w:pPr>
        <w:jc w:val="center"/>
        <w:rPr>
          <w:rFonts w:ascii="Book Antiqua" w:hAnsi="Book Antiqua"/>
          <w:b/>
          <w:sz w:val="36"/>
        </w:rPr>
      </w:pPr>
      <w:r w:rsidRPr="003E3BA1">
        <w:rPr>
          <w:rFonts w:ascii="Book Antiqua" w:hAnsi="Book Antiqua"/>
          <w:b/>
          <w:sz w:val="36"/>
        </w:rPr>
        <w:t>CÁMARA DE REPRESENTANTES</w:t>
      </w:r>
    </w:p>
    <w:p w14:paraId="25236E24" w14:textId="77777777" w:rsidR="0035308A" w:rsidRPr="003E3BA1" w:rsidRDefault="0035308A" w:rsidP="0035308A">
      <w:pPr>
        <w:jc w:val="center"/>
        <w:rPr>
          <w:rFonts w:ascii="Book Antiqua" w:hAnsi="Book Antiqua"/>
          <w:b/>
          <w:szCs w:val="15"/>
        </w:rPr>
      </w:pPr>
    </w:p>
    <w:p w14:paraId="5B451DD7" w14:textId="32018DD9" w:rsidR="007B535E" w:rsidRPr="003E3BA1" w:rsidRDefault="007B535E" w:rsidP="0035308A">
      <w:pPr>
        <w:jc w:val="center"/>
        <w:rPr>
          <w:rFonts w:ascii="Book Antiqua" w:hAnsi="Book Antiqua"/>
          <w:b/>
          <w:sz w:val="52"/>
        </w:rPr>
      </w:pPr>
      <w:r w:rsidRPr="003E3BA1">
        <w:rPr>
          <w:rFonts w:ascii="Book Antiqua" w:hAnsi="Book Antiqua"/>
          <w:b/>
          <w:sz w:val="52"/>
        </w:rPr>
        <w:t>P. de</w:t>
      </w:r>
      <w:r w:rsidR="00B9419E" w:rsidRPr="003E3BA1">
        <w:rPr>
          <w:rFonts w:ascii="Book Antiqua" w:hAnsi="Book Antiqua"/>
          <w:b/>
          <w:sz w:val="52"/>
        </w:rPr>
        <w:t xml:space="preserve"> la C</w:t>
      </w:r>
      <w:r w:rsidRPr="003E3BA1">
        <w:rPr>
          <w:rFonts w:ascii="Book Antiqua" w:hAnsi="Book Antiqua"/>
          <w:b/>
          <w:sz w:val="52"/>
        </w:rPr>
        <w:t xml:space="preserve">. </w:t>
      </w:r>
      <w:r w:rsidR="00306FE6">
        <w:rPr>
          <w:rFonts w:ascii="Book Antiqua" w:hAnsi="Book Antiqua"/>
          <w:b/>
          <w:sz w:val="52"/>
        </w:rPr>
        <w:t>276</w:t>
      </w:r>
    </w:p>
    <w:p w14:paraId="79844FB1" w14:textId="0FD5B0BD" w:rsidR="00244606" w:rsidRDefault="00244606" w:rsidP="001E4626">
      <w:pPr>
        <w:rPr>
          <w:rFonts w:ascii="Book Antiqua" w:hAnsi="Book Antiqua"/>
        </w:rPr>
      </w:pPr>
    </w:p>
    <w:p w14:paraId="7CDA320F" w14:textId="2C9C756D" w:rsidR="007B535E" w:rsidRPr="00E44B35" w:rsidRDefault="00306FE6" w:rsidP="0035308A">
      <w:pPr>
        <w:jc w:val="center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28 </w:t>
      </w:r>
      <w:r w:rsidR="0035308A" w:rsidRPr="00E44B35">
        <w:rPr>
          <w:rFonts w:ascii="Book Antiqua" w:hAnsi="Book Antiqua"/>
          <w:szCs w:val="24"/>
        </w:rPr>
        <w:t>DE ENERO DE 2025</w:t>
      </w:r>
    </w:p>
    <w:p w14:paraId="59BF5DBD" w14:textId="77777777" w:rsidR="0035308A" w:rsidRPr="00E44B35" w:rsidRDefault="0035308A" w:rsidP="0035308A">
      <w:pPr>
        <w:jc w:val="center"/>
        <w:rPr>
          <w:rFonts w:ascii="Book Antiqua" w:hAnsi="Book Antiqua"/>
          <w:szCs w:val="24"/>
        </w:rPr>
      </w:pPr>
    </w:p>
    <w:p w14:paraId="1D7BF1E8" w14:textId="258613A3" w:rsidR="0035308A" w:rsidRPr="00E44B35" w:rsidRDefault="007B535E" w:rsidP="0035308A">
      <w:pPr>
        <w:jc w:val="center"/>
        <w:rPr>
          <w:rFonts w:ascii="Book Antiqua" w:hAnsi="Book Antiqua"/>
          <w:i/>
          <w:iCs/>
          <w:szCs w:val="24"/>
        </w:rPr>
      </w:pPr>
      <w:r w:rsidRPr="00E44B35">
        <w:rPr>
          <w:rFonts w:ascii="Book Antiqua" w:hAnsi="Book Antiqua"/>
          <w:szCs w:val="24"/>
        </w:rPr>
        <w:t xml:space="preserve">Presentado por </w:t>
      </w:r>
      <w:r w:rsidR="00B9419E" w:rsidRPr="00E44B35">
        <w:rPr>
          <w:rFonts w:ascii="Book Antiqua" w:hAnsi="Book Antiqua"/>
          <w:szCs w:val="24"/>
        </w:rPr>
        <w:t>la</w:t>
      </w:r>
      <w:r w:rsidRPr="00E44B35">
        <w:rPr>
          <w:rFonts w:ascii="Book Antiqua" w:hAnsi="Book Antiqua"/>
          <w:szCs w:val="24"/>
        </w:rPr>
        <w:t xml:space="preserve"> </w:t>
      </w:r>
      <w:r w:rsidR="0035308A" w:rsidRPr="00E44B35">
        <w:rPr>
          <w:rFonts w:ascii="Book Antiqua" w:hAnsi="Book Antiqua"/>
          <w:szCs w:val="24"/>
        </w:rPr>
        <w:t xml:space="preserve">representante </w:t>
      </w:r>
      <w:r w:rsidR="00B9419E" w:rsidRPr="00E44B35">
        <w:rPr>
          <w:rFonts w:ascii="Book Antiqua" w:hAnsi="Book Antiqua"/>
          <w:i/>
          <w:iCs/>
          <w:szCs w:val="24"/>
        </w:rPr>
        <w:t>Pérez</w:t>
      </w:r>
      <w:r w:rsidR="00290A2F" w:rsidRPr="00E44B35">
        <w:rPr>
          <w:rFonts w:ascii="Book Antiqua" w:hAnsi="Book Antiqua"/>
          <w:i/>
          <w:iCs/>
          <w:szCs w:val="24"/>
        </w:rPr>
        <w:t xml:space="preserve"> Ramírez</w:t>
      </w:r>
    </w:p>
    <w:p w14:paraId="36FC0761" w14:textId="77777777" w:rsidR="0035308A" w:rsidRPr="00E44B35" w:rsidRDefault="0035308A" w:rsidP="0035308A">
      <w:pPr>
        <w:jc w:val="center"/>
        <w:rPr>
          <w:rFonts w:ascii="Book Antiqua" w:hAnsi="Book Antiqua"/>
          <w:szCs w:val="24"/>
        </w:rPr>
      </w:pPr>
    </w:p>
    <w:p w14:paraId="7DB3F39E" w14:textId="747E5933" w:rsidR="0035308A" w:rsidRPr="007F2A11" w:rsidRDefault="0035308A" w:rsidP="0035308A">
      <w:pPr>
        <w:jc w:val="center"/>
        <w:rPr>
          <w:rFonts w:ascii="Book Antiqua" w:hAnsi="Book Antiqua"/>
        </w:rPr>
      </w:pPr>
      <w:r w:rsidRPr="003E3BA1">
        <w:rPr>
          <w:rFonts w:ascii="Book Antiqua" w:hAnsi="Book Antiqua"/>
        </w:rPr>
        <w:t xml:space="preserve">Referido a </w:t>
      </w:r>
      <w:r w:rsidR="007F2A11">
        <w:rPr>
          <w:rFonts w:ascii="Book Antiqua" w:hAnsi="Book Antiqua"/>
        </w:rPr>
        <w:t>la Comisión de Hacienda</w:t>
      </w:r>
    </w:p>
    <w:p w14:paraId="7B95FD5D" w14:textId="77777777" w:rsidR="0035308A" w:rsidRPr="003E3BA1" w:rsidRDefault="0035308A" w:rsidP="0035308A">
      <w:pPr>
        <w:jc w:val="both"/>
        <w:rPr>
          <w:rFonts w:ascii="Book Antiqua" w:hAnsi="Book Antiqua"/>
          <w:szCs w:val="24"/>
        </w:rPr>
      </w:pPr>
    </w:p>
    <w:p w14:paraId="4425DA7C" w14:textId="77777777" w:rsidR="007B535E" w:rsidRPr="00E44B35" w:rsidRDefault="0035308A" w:rsidP="0035308A">
      <w:pPr>
        <w:suppressLineNumbers/>
        <w:jc w:val="center"/>
        <w:rPr>
          <w:rFonts w:ascii="Book Antiqua" w:hAnsi="Book Antiqua"/>
          <w:b/>
          <w:bCs/>
          <w:sz w:val="28"/>
          <w:szCs w:val="28"/>
        </w:rPr>
      </w:pPr>
      <w:r w:rsidRPr="00E44B35">
        <w:rPr>
          <w:rFonts w:ascii="Book Antiqua" w:hAnsi="Book Antiqua"/>
          <w:b/>
          <w:bCs/>
          <w:sz w:val="28"/>
          <w:szCs w:val="28"/>
        </w:rPr>
        <w:t>LEY</w:t>
      </w:r>
    </w:p>
    <w:p w14:paraId="7B3BB111" w14:textId="77777777" w:rsidR="007B535E" w:rsidRPr="003E3BA1" w:rsidRDefault="007B535E" w:rsidP="0035308A">
      <w:pPr>
        <w:jc w:val="both"/>
        <w:rPr>
          <w:rFonts w:ascii="Book Antiqua" w:hAnsi="Book Antiqua"/>
        </w:rPr>
      </w:pPr>
    </w:p>
    <w:p w14:paraId="3C04DA34" w14:textId="3FB1DCA1" w:rsidR="007B535E" w:rsidRPr="003E3BA1" w:rsidRDefault="00CD2E62" w:rsidP="00E44B35">
      <w:pPr>
        <w:ind w:left="567" w:hanging="567"/>
        <w:jc w:val="both"/>
        <w:rPr>
          <w:rFonts w:ascii="Book Antiqua" w:hAnsi="Book Antiqua"/>
        </w:rPr>
      </w:pPr>
      <w:r w:rsidRPr="003E3BA1">
        <w:rPr>
          <w:rFonts w:ascii="Book Antiqua" w:hAnsi="Book Antiqua"/>
        </w:rPr>
        <w:t>Para enmendar el Artículo 3 de la Ley Núm. 91 de 21 de junio de 1966, según enmendada, conocida como “Ley del Fondo de Emergencia”, con el propósito de añadir tsunamis y el sargazo excesivo como situaciones de emergencia con acceso a la cubierta del Fondo de Emergencia; establecer la cubierta supletoria sobre obligaciones y cargos para atender emergencias ambientales cuando el Fondo de Emergencias Ambientales sea insuficiente o insolvente; y para otros fines relacionados</w:t>
      </w:r>
      <w:r w:rsidR="007B535E" w:rsidRPr="003E3BA1">
        <w:rPr>
          <w:rFonts w:ascii="Book Antiqua" w:hAnsi="Book Antiqua"/>
        </w:rPr>
        <w:t>.</w:t>
      </w:r>
    </w:p>
    <w:p w14:paraId="2133CE7D" w14:textId="77777777" w:rsidR="00656F00" w:rsidRPr="003E3BA1" w:rsidRDefault="00656F00" w:rsidP="0035308A">
      <w:pPr>
        <w:ind w:left="360" w:hanging="360"/>
        <w:jc w:val="both"/>
        <w:rPr>
          <w:rFonts w:ascii="Book Antiqua" w:hAnsi="Book Antiqua"/>
        </w:rPr>
      </w:pPr>
    </w:p>
    <w:p w14:paraId="5B8563D4" w14:textId="77777777" w:rsidR="0035308A" w:rsidRPr="003E3BA1" w:rsidRDefault="0035308A" w:rsidP="0035308A">
      <w:pPr>
        <w:ind w:firstLine="360"/>
        <w:jc w:val="center"/>
        <w:rPr>
          <w:rFonts w:ascii="Book Antiqua" w:hAnsi="Book Antiqua"/>
          <w:bCs/>
          <w:szCs w:val="24"/>
        </w:rPr>
      </w:pPr>
      <w:r w:rsidRPr="003E3BA1">
        <w:rPr>
          <w:rFonts w:ascii="Book Antiqua" w:hAnsi="Book Antiqua"/>
          <w:bCs/>
          <w:szCs w:val="24"/>
        </w:rPr>
        <w:t>EXPOSICIÓN DE MOTIVOS</w:t>
      </w:r>
    </w:p>
    <w:p w14:paraId="2753B4BA" w14:textId="77777777" w:rsidR="0035308A" w:rsidRPr="003E3BA1" w:rsidRDefault="0035308A" w:rsidP="0035308A">
      <w:pPr>
        <w:ind w:firstLine="360"/>
        <w:jc w:val="center"/>
        <w:rPr>
          <w:rFonts w:ascii="Book Antiqua" w:hAnsi="Book Antiqua"/>
          <w:bCs/>
          <w:szCs w:val="24"/>
        </w:rPr>
      </w:pPr>
    </w:p>
    <w:p w14:paraId="0A56A97E" w14:textId="1E99BE3A" w:rsidR="00BB4B1F" w:rsidRDefault="00BB4B1F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presente enmienda a la Ley Núm. 91 de 21 de junio de 1966, conocida como "Ley del Fondo de Emergencia</w:t>
      </w:r>
      <w:r w:rsidR="00042452" w:rsidRPr="00E44B35">
        <w:rPr>
          <w:rFonts w:ascii="Book Antiqua" w:hAnsi="Book Antiqua"/>
          <w:szCs w:val="24"/>
        </w:rPr>
        <w:t>”, responde a la necesidad de actualizar y ampliar la cobertura de las situaciones de emergencia contempladas en la legislación vigente. Además, propone establecer medidas supletorias en caso de que el Fondo de Emergencias Ambientales sea insuficiente o insolvente, basándose en análisis científicos, financieros</w:t>
      </w:r>
      <w:r w:rsidR="001E4626" w:rsidRPr="00E44B35">
        <w:rPr>
          <w:rFonts w:ascii="Book Antiqua" w:hAnsi="Book Antiqua"/>
          <w:szCs w:val="24"/>
        </w:rPr>
        <w:t xml:space="preserve">, </w:t>
      </w:r>
      <w:r w:rsidR="00042452" w:rsidRPr="00E44B35">
        <w:rPr>
          <w:rFonts w:ascii="Book Antiqua" w:hAnsi="Book Antiqua"/>
          <w:szCs w:val="24"/>
        </w:rPr>
        <w:t>técnicos</w:t>
      </w:r>
      <w:r w:rsidR="001E4626" w:rsidRPr="00E44B35">
        <w:rPr>
          <w:rFonts w:ascii="Book Antiqua" w:hAnsi="Book Antiqua"/>
          <w:szCs w:val="24"/>
        </w:rPr>
        <w:t xml:space="preserve"> y salubristas</w:t>
      </w:r>
      <w:r w:rsidR="00042452" w:rsidRPr="00E44B35">
        <w:rPr>
          <w:rFonts w:ascii="Book Antiqua" w:hAnsi="Book Antiqua"/>
          <w:szCs w:val="24"/>
        </w:rPr>
        <w:t>.</w:t>
      </w:r>
    </w:p>
    <w:p w14:paraId="1FA22371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  <w:lang w:eastAsia="es-PR"/>
        </w:rPr>
      </w:pPr>
    </w:p>
    <w:p w14:paraId="7AC09837" w14:textId="720AF53E" w:rsidR="001A29EE" w:rsidRDefault="001A29EE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El contexto actual exige considerar fenómenos naturales como tsunamis y la acumulación excesiva de sargazo como emergencias prioritarias. Los tsunamis, por su naturaleza devastadora, pueden causar pérdidas humanas significativas y daños severos a la infraestructura y al medioambiente costero (Bernard et al., 2015). Asimismo, el sargazo excesivo, un fenómeno en aumento en la región del Caribe (Wang et al., 2019), tiene efectos adversos </w:t>
      </w:r>
      <w:r w:rsidR="001E4626" w:rsidRPr="00E44B35">
        <w:rPr>
          <w:rFonts w:ascii="Book Antiqua" w:hAnsi="Book Antiqua"/>
          <w:szCs w:val="24"/>
        </w:rPr>
        <w:t>no solo</w:t>
      </w:r>
      <w:r w:rsidRPr="00E44B35">
        <w:rPr>
          <w:rFonts w:ascii="Book Antiqua" w:hAnsi="Book Antiqua"/>
          <w:szCs w:val="24"/>
        </w:rPr>
        <w:t xml:space="preserve"> en los ecosistemas marinos</w:t>
      </w:r>
      <w:r w:rsidR="00B03488" w:rsidRPr="00E44B35">
        <w:rPr>
          <w:rFonts w:ascii="Book Antiqua" w:hAnsi="Book Antiqua"/>
          <w:szCs w:val="24"/>
        </w:rPr>
        <w:t xml:space="preserve"> y costeros</w:t>
      </w:r>
      <w:r w:rsidR="001E4626" w:rsidRPr="00E44B35">
        <w:rPr>
          <w:rFonts w:ascii="Book Antiqua" w:hAnsi="Book Antiqua"/>
          <w:szCs w:val="24"/>
        </w:rPr>
        <w:t xml:space="preserve"> y </w:t>
      </w:r>
      <w:r w:rsidR="00B92F58" w:rsidRPr="00E44B35">
        <w:rPr>
          <w:rFonts w:ascii="Book Antiqua" w:hAnsi="Book Antiqua"/>
          <w:szCs w:val="24"/>
        </w:rPr>
        <w:t>la econom</w:t>
      </w:r>
      <w:r w:rsidR="001E4626" w:rsidRPr="00E44B35">
        <w:rPr>
          <w:rFonts w:ascii="Book Antiqua" w:hAnsi="Book Antiqua"/>
          <w:szCs w:val="24"/>
        </w:rPr>
        <w:t>í</w:t>
      </w:r>
      <w:r w:rsidR="00B92F58" w:rsidRPr="00E44B35">
        <w:rPr>
          <w:rFonts w:ascii="Book Antiqua" w:hAnsi="Book Antiqua"/>
          <w:szCs w:val="24"/>
        </w:rPr>
        <w:t>a local</w:t>
      </w:r>
      <w:r w:rsidRPr="00E44B35">
        <w:rPr>
          <w:rFonts w:ascii="Book Antiqua" w:hAnsi="Book Antiqua"/>
          <w:szCs w:val="24"/>
        </w:rPr>
        <w:t xml:space="preserve"> </w:t>
      </w:r>
      <w:r w:rsidRPr="00E44B35">
        <w:rPr>
          <w:rFonts w:ascii="Book Antiqua" w:hAnsi="Book Antiqua"/>
          <w:szCs w:val="24"/>
        </w:rPr>
        <w:lastRenderedPageBreak/>
        <w:t>como en sectores clave, como el turismo (</w:t>
      </w:r>
      <w:proofErr w:type="spellStart"/>
      <w:r w:rsidRPr="00E44B35">
        <w:rPr>
          <w:rFonts w:ascii="Book Antiqua" w:hAnsi="Book Antiqua"/>
          <w:szCs w:val="24"/>
        </w:rPr>
        <w:t>Hu</w:t>
      </w:r>
      <w:proofErr w:type="spellEnd"/>
      <w:r w:rsidRPr="00E44B35">
        <w:rPr>
          <w:rFonts w:ascii="Book Antiqua" w:hAnsi="Book Antiqua"/>
          <w:szCs w:val="24"/>
        </w:rPr>
        <w:t xml:space="preserve"> et al., 2016)</w:t>
      </w:r>
      <w:r w:rsidR="001E4626" w:rsidRPr="00E44B35">
        <w:rPr>
          <w:rFonts w:ascii="Book Antiqua" w:hAnsi="Book Antiqua"/>
          <w:szCs w:val="24"/>
        </w:rPr>
        <w:t>, sino también en la salud pública de las comunidades costeras.</w:t>
      </w:r>
    </w:p>
    <w:p w14:paraId="58AC3E15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4479E10D" w14:textId="6496B383" w:rsidR="001E4626" w:rsidRDefault="001E4626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acumulación y descomposición del sargazo libera compuestos como el sulfuro de hidrógeno (H</w:t>
      </w:r>
      <w:r w:rsidRPr="00E44B35">
        <w:rPr>
          <w:rFonts w:ascii="Cambria Math" w:hAnsi="Cambria Math" w:cs="Cambria Math"/>
          <w:szCs w:val="24"/>
        </w:rPr>
        <w:t>₂</w:t>
      </w:r>
      <w:r w:rsidRPr="00E44B35">
        <w:rPr>
          <w:rFonts w:ascii="Book Antiqua" w:hAnsi="Book Antiqua"/>
          <w:szCs w:val="24"/>
        </w:rPr>
        <w:t>S) y amon</w:t>
      </w:r>
      <w:r w:rsidRPr="00E44B35">
        <w:rPr>
          <w:rFonts w:ascii="Book Antiqua" w:hAnsi="Book Antiqua" w:cs="Book Antiqua"/>
          <w:szCs w:val="24"/>
        </w:rPr>
        <w:t>í</w:t>
      </w:r>
      <w:r w:rsidRPr="00E44B35">
        <w:rPr>
          <w:rFonts w:ascii="Book Antiqua" w:hAnsi="Book Antiqua"/>
          <w:szCs w:val="24"/>
        </w:rPr>
        <w:t>aco, los cuales generan olores desagradables y representan riesgos significativos para la salud. Estudios han evidenciado que la exposici</w:t>
      </w:r>
      <w:r w:rsidRPr="00E44B35">
        <w:rPr>
          <w:rFonts w:ascii="Book Antiqua" w:hAnsi="Book Antiqua" w:cs="Book Antiqua"/>
          <w:szCs w:val="24"/>
        </w:rPr>
        <w:t>ó</w:t>
      </w:r>
      <w:r w:rsidRPr="00E44B35">
        <w:rPr>
          <w:rFonts w:ascii="Book Antiqua" w:hAnsi="Book Antiqua"/>
          <w:szCs w:val="24"/>
        </w:rPr>
        <w:t>n prolongada a estos gases puede causar irritaciones respiratorias, n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>useas, dolores de cabeza y, en casos extremos, complicaciones m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>s severas, particularmente en personas con condiciones preexistentes como asma o enfermedades pulmonares (</w:t>
      </w:r>
      <w:proofErr w:type="spellStart"/>
      <w:r w:rsidRPr="00E44B35">
        <w:rPr>
          <w:rFonts w:ascii="Book Antiqua" w:hAnsi="Book Antiqua"/>
          <w:szCs w:val="24"/>
        </w:rPr>
        <w:t>Resiere</w:t>
      </w:r>
      <w:proofErr w:type="spellEnd"/>
      <w:r w:rsidRPr="00E44B35">
        <w:rPr>
          <w:rFonts w:ascii="Book Antiqua" w:hAnsi="Book Antiqua"/>
          <w:szCs w:val="24"/>
        </w:rPr>
        <w:t xml:space="preserve"> et al., 2018). Adem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 xml:space="preserve">s, el sargazo acumulado puede convertirse en un criadero de mosquitos y otras plagas, aumentando el riesgo de enfermedades transmitidas por vectores, como el dengue, el zika y el </w:t>
      </w:r>
      <w:proofErr w:type="spellStart"/>
      <w:r w:rsidRPr="00E44B35">
        <w:rPr>
          <w:rFonts w:ascii="Book Antiqua" w:hAnsi="Book Antiqua"/>
          <w:szCs w:val="24"/>
        </w:rPr>
        <w:t>chikungunya</w:t>
      </w:r>
      <w:proofErr w:type="spellEnd"/>
      <w:r w:rsidRPr="00E44B35">
        <w:rPr>
          <w:rFonts w:ascii="Book Antiqua" w:hAnsi="Book Antiqua"/>
          <w:szCs w:val="24"/>
        </w:rPr>
        <w:t>.</w:t>
      </w:r>
    </w:p>
    <w:p w14:paraId="1F63E2AC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45E76D9D" w14:textId="0326939F" w:rsidR="001A29EE" w:rsidRDefault="001A29EE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Con esta enmienda, se busca incluir los tsunamis y el sargazo excesivo en la lista de emergencias cubiertas por el Fondo de Emergencia, asegurando que los recursos necesarios estén disponibles para mitigar sus consecuencias. Esta medida no solo protege a la población y al medioambiente, sino que también refuerza la capacidad del </w:t>
      </w:r>
      <w:r w:rsidR="00520504" w:rsidRPr="00E44B35">
        <w:rPr>
          <w:rFonts w:ascii="Book Antiqua" w:hAnsi="Book Antiqua"/>
          <w:szCs w:val="24"/>
        </w:rPr>
        <w:t>g</w:t>
      </w:r>
      <w:r w:rsidRPr="00E44B35">
        <w:rPr>
          <w:rFonts w:ascii="Book Antiqua" w:hAnsi="Book Antiqua"/>
          <w:szCs w:val="24"/>
        </w:rPr>
        <w:t>obierno para responder con prontitud y eficacia ante estos eventos.</w:t>
      </w:r>
    </w:p>
    <w:p w14:paraId="09BF6A1F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0A1C290D" w14:textId="77777777" w:rsidR="003E3BA1" w:rsidRDefault="003E3BA1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Además, se establece una disposición supletoria para las obligaciones del Fondo de Emergencias Ambientales, según lo dispuesto en el Título IV de la Ley 416-2004, conocida como "Ley Sobre Política Pública Ambiental", en caso de insuficiencia de recursos. Esta iniciativa asegura la disponibilidad de fondos adicionales para abordar emergencias ambientales de gran magnitud o impacto económico. Estudios económicos destacan que las pérdidas ocasionadas por desastres naturales pueden ser cuantiosas y requerir recursos significativos para su recuperación (</w:t>
      </w:r>
      <w:proofErr w:type="spellStart"/>
      <w:r w:rsidRPr="00E44B35">
        <w:rPr>
          <w:rFonts w:ascii="Book Antiqua" w:hAnsi="Book Antiqua"/>
          <w:szCs w:val="24"/>
        </w:rPr>
        <w:t>Kousky</w:t>
      </w:r>
      <w:proofErr w:type="spellEnd"/>
      <w:r w:rsidRPr="00E44B35">
        <w:rPr>
          <w:rFonts w:ascii="Book Antiqua" w:hAnsi="Book Antiqua"/>
          <w:szCs w:val="24"/>
        </w:rPr>
        <w:t>, 2014).</w:t>
      </w:r>
    </w:p>
    <w:p w14:paraId="12997042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5F085D8C" w14:textId="3C0D7F10" w:rsidR="007B535E" w:rsidRPr="00E44B35" w:rsidRDefault="003E3BA1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aprobación de esta enmienda resulta esencial para garantizar que Puerto Rico esté mejor preparado ante las emergencias ambientales, protegiendo la vida</w:t>
      </w:r>
      <w:r w:rsidR="001E4626" w:rsidRPr="00E44B35">
        <w:rPr>
          <w:rFonts w:ascii="Book Antiqua" w:hAnsi="Book Antiqua"/>
          <w:szCs w:val="24"/>
        </w:rPr>
        <w:t>, la salud</w:t>
      </w:r>
      <w:r w:rsidRPr="00E44B35">
        <w:rPr>
          <w:rFonts w:ascii="Book Antiqua" w:hAnsi="Book Antiqua"/>
          <w:szCs w:val="24"/>
        </w:rPr>
        <w:t xml:space="preserve"> y los bienes de sus ciudadanos, así como el crédito público. Asimismo, reafirma el compromiso de la Asamblea Legislativa de Puerto Rico con la protección del medioambiente y la salud de su población. Con estas medidas, se adoptan soluciones alineadas con los desafíos y realidades del siglo XXI, respaldadas por datos científicos, económicos</w:t>
      </w:r>
      <w:r w:rsidR="001E4626" w:rsidRPr="00E44B35">
        <w:rPr>
          <w:rFonts w:ascii="Book Antiqua" w:hAnsi="Book Antiqua"/>
          <w:szCs w:val="24"/>
        </w:rPr>
        <w:t>,</w:t>
      </w:r>
      <w:r w:rsidRPr="00E44B35">
        <w:rPr>
          <w:rFonts w:ascii="Book Antiqua" w:hAnsi="Book Antiqua"/>
          <w:szCs w:val="24"/>
        </w:rPr>
        <w:t xml:space="preserve"> técnicos</w:t>
      </w:r>
      <w:r w:rsidR="001E4626" w:rsidRPr="00E44B35">
        <w:rPr>
          <w:rFonts w:ascii="Book Antiqua" w:hAnsi="Book Antiqua"/>
          <w:szCs w:val="24"/>
        </w:rPr>
        <w:t xml:space="preserve"> y salubristas</w:t>
      </w:r>
      <w:r w:rsidR="007B535E" w:rsidRPr="00E44B35">
        <w:rPr>
          <w:rFonts w:ascii="Book Antiqua" w:hAnsi="Book Antiqua"/>
          <w:szCs w:val="24"/>
        </w:rPr>
        <w:t>.</w:t>
      </w:r>
    </w:p>
    <w:p w14:paraId="5EF9A304" w14:textId="77777777" w:rsidR="0035308A" w:rsidRPr="003E3BA1" w:rsidRDefault="0035308A" w:rsidP="0035308A">
      <w:pPr>
        <w:shd w:val="clear" w:color="auto" w:fill="FFFFFF"/>
        <w:jc w:val="both"/>
        <w:rPr>
          <w:rFonts w:ascii="Book Antiqua" w:hAnsi="Book Antiqua"/>
        </w:rPr>
      </w:pPr>
    </w:p>
    <w:p w14:paraId="29EFC485" w14:textId="77777777" w:rsidR="007B535E" w:rsidRPr="003E3BA1" w:rsidRDefault="0035308A" w:rsidP="0035308A">
      <w:pPr>
        <w:shd w:val="clear" w:color="auto" w:fill="FFFFFF"/>
        <w:spacing w:line="480" w:lineRule="auto"/>
        <w:jc w:val="both"/>
        <w:rPr>
          <w:rFonts w:ascii="Book Antiqua" w:hAnsi="Book Antiqua"/>
          <w:color w:val="000000"/>
          <w:szCs w:val="24"/>
        </w:rPr>
      </w:pPr>
      <w:r w:rsidRPr="003E3BA1">
        <w:rPr>
          <w:rFonts w:ascii="Book Antiqua" w:hAnsi="Book Antiqua"/>
          <w:i/>
          <w:iCs/>
          <w:color w:val="000000"/>
          <w:szCs w:val="24"/>
        </w:rPr>
        <w:t xml:space="preserve">DECRÉTASE POR LA ASAMBLEA LEGISLATIVA DE PUERTO RICO: </w:t>
      </w:r>
    </w:p>
    <w:p w14:paraId="6E52E3A7" w14:textId="77777777" w:rsidR="007B535E" w:rsidRPr="003E3BA1" w:rsidRDefault="007B535E" w:rsidP="0035308A">
      <w:pPr>
        <w:spacing w:line="480" w:lineRule="auto"/>
        <w:jc w:val="both"/>
        <w:rPr>
          <w:rFonts w:ascii="Book Antiqua" w:hAnsi="Book Antiqua"/>
        </w:rPr>
        <w:sectPr w:rsidR="007B535E" w:rsidRPr="003E3BA1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1B886A" w14:textId="11931C94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  <w:lang w:val="es-ES_tradnl"/>
        </w:rPr>
        <w:t>Sección 1.</w:t>
      </w:r>
      <w:r w:rsidR="00E44B35">
        <w:rPr>
          <w:rFonts w:ascii="Book Antiqua" w:hAnsi="Book Antiqua"/>
          <w:lang w:val="es-ES_tradnl"/>
        </w:rPr>
        <w:t>-</w:t>
      </w:r>
      <w:r w:rsidRPr="00E44B35">
        <w:rPr>
          <w:rFonts w:ascii="Book Antiqua" w:hAnsi="Book Antiqua"/>
          <w:lang w:val="es-ES_tradnl"/>
        </w:rPr>
        <w:t>Enmendar el Artículo</w:t>
      </w:r>
      <w:r w:rsidRPr="00E44B35">
        <w:rPr>
          <w:rFonts w:ascii="Book Antiqua" w:hAnsi="Book Antiqua"/>
        </w:rPr>
        <w:t xml:space="preserve"> 3 de la Ley Núm. 91 de 21 de junio de 1966, según enmendada, mejor conocida como “Ley del Fondo de Emergencia”, para que lea como sigue: </w:t>
      </w:r>
    </w:p>
    <w:p w14:paraId="38716354" w14:textId="0BD1C1DC" w:rsidR="00C53E70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lastRenderedPageBreak/>
        <w:t xml:space="preserve">“Artículo 3.-El Fondo de Emergencia será aplicado a afrontar necesidades públicas inesperadas e imprevistas, causadas por calamidades, tales como guerras, huracanes, terremotos, </w:t>
      </w:r>
      <w:r w:rsidRPr="00E44B35">
        <w:rPr>
          <w:rFonts w:ascii="Book Antiqua" w:hAnsi="Book Antiqua"/>
          <w:i/>
          <w:iCs/>
        </w:rPr>
        <w:t>tsunamis,</w:t>
      </w:r>
      <w:r w:rsidRPr="00E44B35">
        <w:rPr>
          <w:rFonts w:ascii="Book Antiqua" w:hAnsi="Book Antiqua"/>
        </w:rPr>
        <w:t xml:space="preserve"> sequías, inundaciones, plagas,</w:t>
      </w:r>
      <w:r w:rsidR="00EE3FDD" w:rsidRPr="00E44B35">
        <w:rPr>
          <w:rFonts w:ascii="Book Antiqua" w:hAnsi="Book Antiqua"/>
        </w:rPr>
        <w:t xml:space="preserve"> </w:t>
      </w:r>
      <w:r w:rsidR="00EE3FDD" w:rsidRPr="00E44B35">
        <w:rPr>
          <w:rFonts w:ascii="Book Antiqua" w:hAnsi="Book Antiqua"/>
          <w:i/>
          <w:iCs/>
        </w:rPr>
        <w:t>la proliferación excesiva de sargazo en cuerpos de agua, costas y playas</w:t>
      </w:r>
      <w:r w:rsidRPr="00E44B35">
        <w:rPr>
          <w:rFonts w:ascii="Book Antiqua" w:hAnsi="Book Antiqua"/>
          <w:i/>
          <w:iCs/>
        </w:rPr>
        <w:t>,</w:t>
      </w:r>
      <w:r w:rsidRPr="00E44B35">
        <w:rPr>
          <w:rFonts w:ascii="Book Antiqua" w:hAnsi="Book Antiqua"/>
        </w:rPr>
        <w:t xml:space="preserve"> y con el fin de proteger las vidas y propiedades de </w:t>
      </w:r>
      <w:r w:rsidR="00F30E2B" w:rsidRPr="00E44B35">
        <w:rPr>
          <w:rFonts w:ascii="Book Antiqua" w:hAnsi="Book Antiqua"/>
        </w:rPr>
        <w:t>[</w:t>
      </w:r>
      <w:r w:rsidRPr="00E44B35">
        <w:rPr>
          <w:rFonts w:ascii="Book Antiqua" w:hAnsi="Book Antiqua"/>
          <w:b/>
          <w:bCs/>
        </w:rPr>
        <w:t>la</w:t>
      </w:r>
      <w:r w:rsidR="00F30E2B" w:rsidRPr="00E44B35">
        <w:rPr>
          <w:rFonts w:ascii="Book Antiqua" w:hAnsi="Book Antiqua"/>
          <w:b/>
          <w:bCs/>
        </w:rPr>
        <w:t>s gentes]</w:t>
      </w:r>
      <w:r w:rsidR="00F30E2B" w:rsidRPr="00E44B35">
        <w:rPr>
          <w:rFonts w:ascii="Book Antiqua" w:hAnsi="Book Antiqua"/>
        </w:rPr>
        <w:t xml:space="preserve"> </w:t>
      </w:r>
      <w:r w:rsidR="00F30E2B" w:rsidRPr="00E44B35">
        <w:rPr>
          <w:rFonts w:ascii="Book Antiqua" w:hAnsi="Book Antiqua"/>
          <w:i/>
          <w:iCs/>
        </w:rPr>
        <w:t>la</w:t>
      </w:r>
      <w:r w:rsidRPr="00E44B35">
        <w:rPr>
          <w:rFonts w:ascii="Book Antiqua" w:hAnsi="Book Antiqua"/>
          <w:i/>
          <w:iCs/>
        </w:rPr>
        <w:t xml:space="preserve"> ciudadanía</w:t>
      </w:r>
      <w:r w:rsidRPr="00E44B35">
        <w:rPr>
          <w:rFonts w:ascii="Book Antiqua" w:hAnsi="Book Antiqua"/>
        </w:rPr>
        <w:t xml:space="preserve">, y el crédito público. </w:t>
      </w:r>
      <w:r w:rsidRPr="00E44B35">
        <w:rPr>
          <w:rFonts w:ascii="Book Antiqua" w:hAnsi="Book Antiqua"/>
          <w:i/>
          <w:iCs/>
        </w:rPr>
        <w:t xml:space="preserve">El Fondo de Emergencia creado por esta Ley responderá supletoriamente sobre las obligaciones y cargos, incluyendo pareo de fondos federales, del Fondo de Emergencias Ambientales </w:t>
      </w:r>
      <w:r w:rsidR="00B82064" w:rsidRPr="00E44B35">
        <w:rPr>
          <w:rFonts w:ascii="Book Antiqua" w:hAnsi="Book Antiqua"/>
          <w:i/>
          <w:iCs/>
        </w:rPr>
        <w:t>para atender necesidades públicas inesperadas e imprevistas, causadas por las calamidades antes descritas,</w:t>
      </w:r>
      <w:r w:rsidRPr="00E44B35">
        <w:rPr>
          <w:rFonts w:ascii="Book Antiqua" w:hAnsi="Book Antiqua"/>
          <w:i/>
          <w:iCs/>
        </w:rPr>
        <w:t xml:space="preserve"> cuando el monto disponible en el Fondo de Emergencias Ambientales resulte insuficiente o insolvente, salvaguardando que cualquier gasto aplicado al Fondo de Emergencia que sea reembolsado o recobrado se depositará en el mismo Fondo.</w:t>
      </w:r>
      <w:r w:rsidRPr="00E44B35">
        <w:rPr>
          <w:rFonts w:ascii="Book Antiqua" w:hAnsi="Book Antiqua"/>
        </w:rPr>
        <w:t xml:space="preserve"> </w:t>
      </w:r>
      <w:r w:rsidR="00BA127F" w:rsidRPr="00E44B35">
        <w:rPr>
          <w:rFonts w:ascii="Book Antiqua" w:hAnsi="Book Antiqua"/>
        </w:rPr>
        <w:t xml:space="preserve"> </w:t>
      </w:r>
      <w:r w:rsidR="0089161C" w:rsidRPr="00E44B35">
        <w:rPr>
          <w:rFonts w:ascii="Book Antiqua" w:hAnsi="Book Antiqua"/>
        </w:rPr>
        <w:t>[</w:t>
      </w:r>
      <w:r w:rsidR="0089161C" w:rsidRPr="00E44B35">
        <w:rPr>
          <w:rFonts w:ascii="Book Antiqua" w:hAnsi="Book Antiqua"/>
          <w:b/>
          <w:bCs/>
        </w:rPr>
        <w:t>, pero nada</w:t>
      </w:r>
      <w:r w:rsidR="0089161C" w:rsidRPr="00E44B35">
        <w:rPr>
          <w:rFonts w:ascii="Book Antiqua" w:hAnsi="Book Antiqua"/>
        </w:rPr>
        <w:t xml:space="preserve">] </w:t>
      </w:r>
      <w:r w:rsidRPr="00E44B35">
        <w:rPr>
          <w:rFonts w:ascii="Book Antiqua" w:hAnsi="Book Antiqua"/>
          <w:i/>
          <w:iCs/>
        </w:rPr>
        <w:t>Nada</w:t>
      </w:r>
      <w:r w:rsidRPr="00E44B35">
        <w:rPr>
          <w:rFonts w:ascii="Book Antiqua" w:hAnsi="Book Antiqua"/>
        </w:rPr>
        <w:t xml:space="preserve"> de lo contenido en esta Ley, se interpretará en el sentido de que, sin el consentimiento previo de la Asamblea Legislativa, se use el fondo para nuevas actividades gubernamentales, ni para aumentar o suplir, directa o indirectamente, las asignaciones para llevar a cabo servicios ordinarios del Gobierno, exceptuando lo que esta Ley dispone en sentido contrario. </w:t>
      </w:r>
    </w:p>
    <w:p w14:paraId="0B4CF60B" w14:textId="42CA655D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Se exceptúa, de esta limitación las funciones que realiza el Negociado para el Manejo de Emergencias y Administración de Desastres</w:t>
      </w:r>
      <w:r w:rsidR="00825EED" w:rsidRPr="00E44B35">
        <w:rPr>
          <w:rFonts w:ascii="Book Antiqua" w:hAnsi="Book Antiqua"/>
        </w:rPr>
        <w:t xml:space="preserve"> (NMEAD)</w:t>
      </w:r>
      <w:r w:rsidRPr="00E44B35">
        <w:rPr>
          <w:rFonts w:ascii="Book Antiqua" w:hAnsi="Book Antiqua"/>
        </w:rPr>
        <w:t>, ya que sus gastos de funcionamiento podrán financiarse con los recursos asignados a dicho fondo</w:t>
      </w:r>
      <w:r w:rsidR="00B1416A" w:rsidRPr="00E44B35">
        <w:rPr>
          <w:rFonts w:ascii="Book Antiqua" w:hAnsi="Book Antiqua"/>
        </w:rPr>
        <w:t>.</w:t>
      </w:r>
      <w:r w:rsidR="002B2037" w:rsidRPr="00E44B35">
        <w:rPr>
          <w:rFonts w:ascii="Book Antiqua" w:hAnsi="Book Antiqua"/>
        </w:rPr>
        <w:t xml:space="preserve"> </w:t>
      </w:r>
      <w:r w:rsidR="0073790C" w:rsidRPr="00E44B35">
        <w:rPr>
          <w:rFonts w:ascii="Book Antiqua" w:hAnsi="Book Antiqua"/>
          <w:b/>
          <w:bCs/>
        </w:rPr>
        <w:t xml:space="preserve">[La] </w:t>
      </w:r>
      <w:r w:rsidR="002B2037" w:rsidRPr="00E44B35">
        <w:rPr>
          <w:rFonts w:ascii="Book Antiqua" w:hAnsi="Book Antiqua"/>
          <w:i/>
          <w:iCs/>
        </w:rPr>
        <w:t>Disponiéndose que la</w:t>
      </w:r>
      <w:r w:rsidR="002B2037" w:rsidRPr="00E44B35">
        <w:rPr>
          <w:rFonts w:ascii="Book Antiqua" w:hAnsi="Book Antiqua"/>
        </w:rPr>
        <w:t xml:space="preserve"> cantidad autorizada para este propósito no podrá exceder del siete punto cinco por ciento</w:t>
      </w:r>
      <w:r w:rsidRPr="00E44B35">
        <w:rPr>
          <w:rFonts w:ascii="Book Antiqua" w:hAnsi="Book Antiqua"/>
        </w:rPr>
        <w:t xml:space="preserve"> (7.5%) del balance máximo del Fondo de Emergencia u once millones doscientos cincuenta mil dólares ($11,250,000), lo que sea menor, en cada año </w:t>
      </w:r>
      <w:r w:rsidRPr="00E44B35">
        <w:rPr>
          <w:rFonts w:ascii="Book Antiqua" w:hAnsi="Book Antiqua"/>
        </w:rPr>
        <w:lastRenderedPageBreak/>
        <w:t xml:space="preserve">fiscal y deberá autorizarse previamente mediante legislación a esos efectos. No obstante, para el Año Fiscal 2005-2006, se autoriza por vía de excepción utilizar hasta </w:t>
      </w:r>
      <w:proofErr w:type="gramStart"/>
      <w:r w:rsidRPr="00E44B35">
        <w:rPr>
          <w:rFonts w:ascii="Book Antiqua" w:hAnsi="Book Antiqua"/>
        </w:rPr>
        <w:t>un diez punto</w:t>
      </w:r>
      <w:proofErr w:type="gramEnd"/>
      <w:r w:rsidRPr="00E44B35">
        <w:rPr>
          <w:rFonts w:ascii="Book Antiqua" w:hAnsi="Book Antiqua"/>
        </w:rPr>
        <w:t xml:space="preserve"> cinco por ciento (10.5%) del balance máximo del Fondo de Emergencia o quince millones setecientos cincuenta mil dólares ($15,750,000), lo que sea menor, para cubrir los</w:t>
      </w:r>
      <w:r w:rsidR="00F23794" w:rsidRPr="00E44B35">
        <w:rPr>
          <w:rFonts w:ascii="Book Antiqua" w:hAnsi="Book Antiqua"/>
        </w:rPr>
        <w:t xml:space="preserve"> </w:t>
      </w:r>
      <w:r w:rsidRPr="00E44B35">
        <w:rPr>
          <w:rFonts w:ascii="Book Antiqua" w:hAnsi="Book Antiqua"/>
        </w:rPr>
        <w:t xml:space="preserve">gastos de funcionamiento del Negociado para el Manejo de Emergencias y Administración de Desastres. Esta autorización es a los efectos de que el Negociado para el Manejo de Emergencias y Administración de Desastres pueda asignar una partida para cubrir los costos de activación inmediata de los setenta y ocho (78) municipios al Sistema Automatizado de Manejo de Incidentes de Emergencias y Desastres del NMEAD, a un costo de tres millones quinientos mil dólares ($3,500,000) para incluir la activación del Cuerpo de Bomberos de Puerto Rico a dicho Sistema y para lograr la adquisición de veinte mil (20,000) camas tipo catres, adicionales a los existentes en las reservas de la Agencia para la atención de   refugiados en situaciones de emergencia, a un costo de un millón de dólares ($1,000,000). El Fondo de Emergencia también podrá ser aplicado para auxiliar a Estados Unidos y otros países en casos de desastres inesperados imprevistos causados por calamidades, tales como guerras, huracanes, terremotos, </w:t>
      </w:r>
      <w:r w:rsidR="00604D9B" w:rsidRPr="00E44B35">
        <w:rPr>
          <w:rFonts w:ascii="Book Antiqua" w:hAnsi="Book Antiqua"/>
          <w:i/>
          <w:iCs/>
        </w:rPr>
        <w:t>tsunamis,</w:t>
      </w:r>
      <w:r w:rsidR="00604D9B" w:rsidRPr="00E44B35">
        <w:rPr>
          <w:rFonts w:ascii="Book Antiqua" w:hAnsi="Book Antiqua"/>
        </w:rPr>
        <w:t xml:space="preserve"> </w:t>
      </w:r>
      <w:r w:rsidRPr="00E44B35">
        <w:rPr>
          <w:rFonts w:ascii="Book Antiqua" w:hAnsi="Book Antiqua"/>
        </w:rPr>
        <w:t>sequías, inundaciones</w:t>
      </w:r>
      <w:r w:rsidR="00C13B64" w:rsidRPr="00E44B35">
        <w:rPr>
          <w:rFonts w:ascii="Book Antiqua" w:hAnsi="Book Antiqua"/>
        </w:rPr>
        <w:t>,</w:t>
      </w:r>
      <w:r w:rsidRPr="00E44B35">
        <w:rPr>
          <w:rFonts w:ascii="Book Antiqua" w:hAnsi="Book Antiqua"/>
        </w:rPr>
        <w:t xml:space="preserve"> </w:t>
      </w:r>
      <w:r w:rsidR="00604D9B" w:rsidRPr="00E44B35">
        <w:rPr>
          <w:rFonts w:ascii="Book Antiqua" w:hAnsi="Book Antiqua"/>
          <w:i/>
          <w:iCs/>
        </w:rPr>
        <w:t xml:space="preserve">sargazo excesivo, </w:t>
      </w:r>
      <w:r w:rsidRPr="00E44B35">
        <w:rPr>
          <w:rFonts w:ascii="Book Antiqua" w:hAnsi="Book Antiqua"/>
        </w:rPr>
        <w:t xml:space="preserve">y plagas; y con el fin de cooperar a la disminución de las consecuencias de dichas calamidades entre la población de dichos países. La ayuda a ser así enviada a áreas fuera de Puerto Rico está limitada en cada caso a la suma de veinticinco mil (25,000) dólares, y en </w:t>
      </w:r>
      <w:proofErr w:type="gramStart"/>
      <w:r w:rsidRPr="00E44B35">
        <w:rPr>
          <w:rFonts w:ascii="Book Antiqua" w:hAnsi="Book Antiqua"/>
        </w:rPr>
        <w:t>todo los casos</w:t>
      </w:r>
      <w:proofErr w:type="gramEnd"/>
      <w:r w:rsidRPr="00E44B35">
        <w:rPr>
          <w:rFonts w:ascii="Book Antiqua" w:hAnsi="Book Antiqua"/>
        </w:rPr>
        <w:t xml:space="preserve">, al destinarse cualquier suma de dinero para combatir los daños que puedan sobrevenir a la población civil por efectos de los motivos </w:t>
      </w:r>
      <w:r w:rsidRPr="00E44B35">
        <w:rPr>
          <w:rFonts w:ascii="Book Antiqua" w:hAnsi="Book Antiqua"/>
        </w:rPr>
        <w:lastRenderedPageBreak/>
        <w:t>especificados en esta Ley; se tendrá en cuenta el propósito en cuanto a que dichos fondos sean utilizados en circunstancias de calamidades públicas o en prevención de las mismas.</w:t>
      </w:r>
    </w:p>
    <w:p w14:paraId="2287CBEE" w14:textId="77777777" w:rsidR="000B7C5E" w:rsidRPr="00E44B35" w:rsidRDefault="000B7C5E" w:rsidP="00E44B35">
      <w:pPr>
        <w:spacing w:line="480" w:lineRule="auto"/>
        <w:ind w:left="360"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…”</w:t>
      </w:r>
    </w:p>
    <w:p w14:paraId="4EA72B53" w14:textId="309B3E27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 xml:space="preserve">Sección 2.–El Departamento de Seguridad Pública y el Departamento de Recursos Naturales y Ambientales adaptarán, dentro de los siguientes noventa (90) días a la aprobación de la presente </w:t>
      </w:r>
      <w:r w:rsidR="00F86F20" w:rsidRPr="00E44B35">
        <w:rPr>
          <w:rFonts w:ascii="Book Antiqua" w:hAnsi="Book Antiqua"/>
        </w:rPr>
        <w:t>L</w:t>
      </w:r>
      <w:r w:rsidRPr="00E44B35">
        <w:rPr>
          <w:rFonts w:ascii="Book Antiqua" w:hAnsi="Book Antiqua"/>
        </w:rPr>
        <w:t>ey, su reglamentación correspondiente al uso y manejo de los respectivos fondos para asegurar su cumplimiento y conformidad.</w:t>
      </w:r>
    </w:p>
    <w:p w14:paraId="7E35DC06" w14:textId="5F360740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Sección 3.-Esta Ley entrará en vigor inmediatamente después de su aprobación.</w:t>
      </w:r>
    </w:p>
    <w:p w14:paraId="5B0837A9" w14:textId="39C6D256" w:rsidR="0035308A" w:rsidRPr="00E44B35" w:rsidRDefault="0035308A" w:rsidP="00E44B35">
      <w:pPr>
        <w:spacing w:line="480" w:lineRule="auto"/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Sección 4.-Separabilidad.</w:t>
      </w:r>
    </w:p>
    <w:p w14:paraId="654C2F0D" w14:textId="77777777" w:rsidR="0035308A" w:rsidRPr="00E44B35" w:rsidRDefault="0035308A" w:rsidP="00E44B35">
      <w:pPr>
        <w:spacing w:line="480" w:lineRule="auto"/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36B5EBB3" w14:textId="197ABECC" w:rsidR="0035308A" w:rsidRPr="00E44B35" w:rsidRDefault="0035308A" w:rsidP="00E44B35">
      <w:pPr>
        <w:autoSpaceDE w:val="0"/>
        <w:autoSpaceDN w:val="0"/>
        <w:adjustRightInd w:val="0"/>
        <w:spacing w:line="480" w:lineRule="auto"/>
        <w:ind w:firstLine="567"/>
        <w:jc w:val="both"/>
        <w:outlineLvl w:val="0"/>
        <w:rPr>
          <w:rFonts w:ascii="Book Antiqua" w:hAnsi="Book Antiqua"/>
          <w:iCs/>
          <w:szCs w:val="24"/>
          <w:lang w:eastAsia="es-PR"/>
        </w:rPr>
      </w:pPr>
      <w:r w:rsidRPr="00E44B35">
        <w:rPr>
          <w:rFonts w:ascii="Book Antiqua" w:hAnsi="Book Antiqua"/>
          <w:iCs/>
          <w:szCs w:val="24"/>
          <w:lang w:eastAsia="es-PR"/>
        </w:rPr>
        <w:t>Sección 5.</w:t>
      </w:r>
      <w:r w:rsidR="00E44B35">
        <w:rPr>
          <w:rFonts w:ascii="Book Antiqua" w:hAnsi="Book Antiqua"/>
          <w:iCs/>
          <w:szCs w:val="24"/>
          <w:lang w:eastAsia="es-PR"/>
        </w:rPr>
        <w:t>-</w:t>
      </w:r>
      <w:r w:rsidRPr="00E44B35">
        <w:rPr>
          <w:rFonts w:ascii="Book Antiqua" w:hAnsi="Book Antiqua"/>
          <w:iCs/>
          <w:szCs w:val="24"/>
          <w:lang w:eastAsia="es-PR"/>
        </w:rPr>
        <w:t>Vigencia.</w:t>
      </w:r>
    </w:p>
    <w:p w14:paraId="7C201408" w14:textId="77777777" w:rsidR="007700E0" w:rsidRPr="00E44B35" w:rsidRDefault="0035308A" w:rsidP="00E44B35">
      <w:pPr>
        <w:spacing w:line="480" w:lineRule="auto"/>
        <w:ind w:firstLine="567"/>
        <w:jc w:val="both"/>
        <w:rPr>
          <w:rFonts w:ascii="Book Antiqua" w:eastAsia="@PMingLiU" w:hAnsi="Book Antiqua"/>
          <w:szCs w:val="24"/>
        </w:rPr>
      </w:pPr>
      <w:r w:rsidRPr="00E44B35">
        <w:rPr>
          <w:rFonts w:ascii="Book Antiqua" w:hAnsi="Book Antiqua"/>
          <w:iCs/>
          <w:szCs w:val="24"/>
          <w:lang w:eastAsia="es-PR"/>
        </w:rPr>
        <w:t>Esta Ley comenzará a regir inmediatamente después de su aprobación.</w:t>
      </w:r>
    </w:p>
    <w:sectPr w:rsidR="007700E0" w:rsidRPr="00E44B35" w:rsidSect="007B535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8CEDF" w14:textId="77777777" w:rsidR="00763633" w:rsidRDefault="00763633">
      <w:r>
        <w:separator/>
      </w:r>
    </w:p>
  </w:endnote>
  <w:endnote w:type="continuationSeparator" w:id="0">
    <w:p w14:paraId="7466CEBC" w14:textId="77777777" w:rsidR="00763633" w:rsidRDefault="0076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A8EA" w14:textId="77777777" w:rsidR="00763633" w:rsidRDefault="00763633">
      <w:r>
        <w:separator/>
      </w:r>
    </w:p>
  </w:footnote>
  <w:footnote w:type="continuationSeparator" w:id="0">
    <w:p w14:paraId="0A6A7995" w14:textId="77777777" w:rsidR="00763633" w:rsidRDefault="00763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BB64B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DAE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20326"/>
    <w:multiLevelType w:val="multilevel"/>
    <w:tmpl w:val="D682E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322942"/>
    <w:multiLevelType w:val="hybridMultilevel"/>
    <w:tmpl w:val="1F6A87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7895049">
    <w:abstractNumId w:val="0"/>
  </w:num>
  <w:num w:numId="2" w16cid:durableId="781001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B535E"/>
    <w:rsid w:val="000175B9"/>
    <w:rsid w:val="0002734E"/>
    <w:rsid w:val="00030EA4"/>
    <w:rsid w:val="00042452"/>
    <w:rsid w:val="00047343"/>
    <w:rsid w:val="00081BB9"/>
    <w:rsid w:val="000B7C5E"/>
    <w:rsid w:val="000F6834"/>
    <w:rsid w:val="001443B9"/>
    <w:rsid w:val="00145185"/>
    <w:rsid w:val="00145488"/>
    <w:rsid w:val="0018640D"/>
    <w:rsid w:val="00197BB1"/>
    <w:rsid w:val="001A29EE"/>
    <w:rsid w:val="001A7493"/>
    <w:rsid w:val="001B01D4"/>
    <w:rsid w:val="001C3AFB"/>
    <w:rsid w:val="001E4626"/>
    <w:rsid w:val="001F4CC4"/>
    <w:rsid w:val="002151F3"/>
    <w:rsid w:val="00244606"/>
    <w:rsid w:val="002665B4"/>
    <w:rsid w:val="00275D9E"/>
    <w:rsid w:val="00290A2F"/>
    <w:rsid w:val="00295F42"/>
    <w:rsid w:val="002B2037"/>
    <w:rsid w:val="002C08F5"/>
    <w:rsid w:val="002D2308"/>
    <w:rsid w:val="002E6D71"/>
    <w:rsid w:val="00306FE6"/>
    <w:rsid w:val="003208B9"/>
    <w:rsid w:val="00321EB7"/>
    <w:rsid w:val="00323544"/>
    <w:rsid w:val="0035308A"/>
    <w:rsid w:val="00354F2D"/>
    <w:rsid w:val="00363679"/>
    <w:rsid w:val="003C0D5F"/>
    <w:rsid w:val="003E3BA1"/>
    <w:rsid w:val="003E5B68"/>
    <w:rsid w:val="004029F3"/>
    <w:rsid w:val="0042753F"/>
    <w:rsid w:val="004419A8"/>
    <w:rsid w:val="004F1704"/>
    <w:rsid w:val="004F1EE4"/>
    <w:rsid w:val="004F36CC"/>
    <w:rsid w:val="00520504"/>
    <w:rsid w:val="005559A1"/>
    <w:rsid w:val="00564019"/>
    <w:rsid w:val="005779A4"/>
    <w:rsid w:val="00585EFC"/>
    <w:rsid w:val="005E37E7"/>
    <w:rsid w:val="00604D9B"/>
    <w:rsid w:val="0061405F"/>
    <w:rsid w:val="00645F52"/>
    <w:rsid w:val="00656A5D"/>
    <w:rsid w:val="00656F00"/>
    <w:rsid w:val="00666130"/>
    <w:rsid w:val="006A0B41"/>
    <w:rsid w:val="006B0440"/>
    <w:rsid w:val="006B559B"/>
    <w:rsid w:val="00701796"/>
    <w:rsid w:val="007258DB"/>
    <w:rsid w:val="0073790C"/>
    <w:rsid w:val="00741CE1"/>
    <w:rsid w:val="00763633"/>
    <w:rsid w:val="007700E0"/>
    <w:rsid w:val="00783DAE"/>
    <w:rsid w:val="007901F5"/>
    <w:rsid w:val="00795991"/>
    <w:rsid w:val="007A1394"/>
    <w:rsid w:val="007B535E"/>
    <w:rsid w:val="007D0779"/>
    <w:rsid w:val="007D4DFE"/>
    <w:rsid w:val="007F0B3D"/>
    <w:rsid w:val="007F1AA5"/>
    <w:rsid w:val="007F2A11"/>
    <w:rsid w:val="00807BA1"/>
    <w:rsid w:val="00822DE7"/>
    <w:rsid w:val="00825EED"/>
    <w:rsid w:val="00827101"/>
    <w:rsid w:val="0083021E"/>
    <w:rsid w:val="008513A3"/>
    <w:rsid w:val="008547BE"/>
    <w:rsid w:val="00860EBD"/>
    <w:rsid w:val="0089161C"/>
    <w:rsid w:val="008C4672"/>
    <w:rsid w:val="008C5A55"/>
    <w:rsid w:val="008D215D"/>
    <w:rsid w:val="008D7FF6"/>
    <w:rsid w:val="008E2201"/>
    <w:rsid w:val="008E4B89"/>
    <w:rsid w:val="008E6E97"/>
    <w:rsid w:val="00917BBE"/>
    <w:rsid w:val="0092176F"/>
    <w:rsid w:val="00960F32"/>
    <w:rsid w:val="00974244"/>
    <w:rsid w:val="00980C1C"/>
    <w:rsid w:val="009871C3"/>
    <w:rsid w:val="009B2CA9"/>
    <w:rsid w:val="009B7A94"/>
    <w:rsid w:val="009C1589"/>
    <w:rsid w:val="009C765B"/>
    <w:rsid w:val="009C7E3A"/>
    <w:rsid w:val="009D31C0"/>
    <w:rsid w:val="009D51A2"/>
    <w:rsid w:val="00A20C0A"/>
    <w:rsid w:val="00A35C4C"/>
    <w:rsid w:val="00A40715"/>
    <w:rsid w:val="00A60AA5"/>
    <w:rsid w:val="00A750BD"/>
    <w:rsid w:val="00A75502"/>
    <w:rsid w:val="00A829DF"/>
    <w:rsid w:val="00AA6DB2"/>
    <w:rsid w:val="00B03488"/>
    <w:rsid w:val="00B10F06"/>
    <w:rsid w:val="00B1416A"/>
    <w:rsid w:val="00B141E0"/>
    <w:rsid w:val="00B22A98"/>
    <w:rsid w:val="00B35EDE"/>
    <w:rsid w:val="00B456A4"/>
    <w:rsid w:val="00B51D2F"/>
    <w:rsid w:val="00B54779"/>
    <w:rsid w:val="00B82064"/>
    <w:rsid w:val="00B92F58"/>
    <w:rsid w:val="00B9419E"/>
    <w:rsid w:val="00BA127F"/>
    <w:rsid w:val="00BB4B1F"/>
    <w:rsid w:val="00BB4B68"/>
    <w:rsid w:val="00BC01CC"/>
    <w:rsid w:val="00BC0A6F"/>
    <w:rsid w:val="00BC4A39"/>
    <w:rsid w:val="00BF6758"/>
    <w:rsid w:val="00C0530E"/>
    <w:rsid w:val="00C13B64"/>
    <w:rsid w:val="00C27704"/>
    <w:rsid w:val="00C27812"/>
    <w:rsid w:val="00C433A2"/>
    <w:rsid w:val="00C462FE"/>
    <w:rsid w:val="00C47C75"/>
    <w:rsid w:val="00C53E70"/>
    <w:rsid w:val="00C64666"/>
    <w:rsid w:val="00C652E0"/>
    <w:rsid w:val="00C843BA"/>
    <w:rsid w:val="00C97091"/>
    <w:rsid w:val="00CA5394"/>
    <w:rsid w:val="00CD2E62"/>
    <w:rsid w:val="00CE403B"/>
    <w:rsid w:val="00D05049"/>
    <w:rsid w:val="00D20C77"/>
    <w:rsid w:val="00D51285"/>
    <w:rsid w:val="00D7630C"/>
    <w:rsid w:val="00DB6C62"/>
    <w:rsid w:val="00DC3643"/>
    <w:rsid w:val="00DE4C87"/>
    <w:rsid w:val="00DF6788"/>
    <w:rsid w:val="00E44B35"/>
    <w:rsid w:val="00E515C6"/>
    <w:rsid w:val="00E532CF"/>
    <w:rsid w:val="00E55203"/>
    <w:rsid w:val="00E7205D"/>
    <w:rsid w:val="00ED3959"/>
    <w:rsid w:val="00EE2649"/>
    <w:rsid w:val="00EE3FDD"/>
    <w:rsid w:val="00EF1B7C"/>
    <w:rsid w:val="00F1746A"/>
    <w:rsid w:val="00F23794"/>
    <w:rsid w:val="00F3054A"/>
    <w:rsid w:val="00F30E2B"/>
    <w:rsid w:val="00F7102C"/>
    <w:rsid w:val="00F723B4"/>
    <w:rsid w:val="00F86F20"/>
    <w:rsid w:val="00FE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F69C1"/>
  <w15:docId w15:val="{C1C221DF-8E57-704C-A69D-F071E20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7B535E"/>
    <w:pPr>
      <w:spacing w:before="100" w:beforeAutospacing="1" w:after="100" w:afterAutospacing="1"/>
    </w:pPr>
    <w:rPr>
      <w:szCs w:val="24"/>
      <w:lang w:eastAsia="es-PR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Emphasis">
    <w:name w:val="Emphasis"/>
    <w:qFormat/>
    <w:rsid w:val="00645F52"/>
    <w:rPr>
      <w:i/>
      <w:iCs/>
    </w:rPr>
  </w:style>
  <w:style w:type="paragraph" w:styleId="BalloonText">
    <w:name w:val="Balloon Text"/>
    <w:basedOn w:val="Normal"/>
    <w:link w:val="BalloonTextChar"/>
    <w:rsid w:val="00770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700E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7700E0"/>
    <w:pPr>
      <w:ind w:left="720"/>
      <w:contextualSpacing/>
    </w:pPr>
  </w:style>
  <w:style w:type="character" w:styleId="Hyperlink">
    <w:name w:val="Hyperlink"/>
    <w:rsid w:val="00F7102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6367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807BA1"/>
    <w:rPr>
      <w:sz w:val="20"/>
    </w:rPr>
  </w:style>
  <w:style w:type="character" w:customStyle="1" w:styleId="FootnoteTextChar">
    <w:name w:val="Footnote Text Char"/>
    <w:link w:val="FootnoteText"/>
    <w:semiHidden/>
    <w:rsid w:val="00807BA1"/>
    <w:rPr>
      <w:lang w:val="en-US" w:eastAsia="en-US"/>
    </w:rPr>
  </w:style>
  <w:style w:type="character" w:styleId="FootnoteReference">
    <w:name w:val="footnote reference"/>
    <w:semiHidden/>
    <w:unhideWhenUsed/>
    <w:rsid w:val="00807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0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5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4872759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170943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115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299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8635916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060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6644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94244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65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464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37407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398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3132485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1068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6071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6483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97722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71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3043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36856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408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9962902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8372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659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4596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6122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10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724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3474067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774766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089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villafane\Desktop\Medida-v202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505B4A-6BB2-463E-A389-B2F9070910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4E9CF9-431D-4F5E-98A4-C2172C1A3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1933AD-06EC-454B-829A-E6682026BE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907271-6A86-40CC-97A5-95E3766FA7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5BBC1E8-E5F7-437E-9489-6C65853928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Medida-v2022</Template>
  <TotalTime>16</TotalTime>
  <Pages>5</Pages>
  <Words>1344</Words>
  <Characters>7531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8858</CharactersWithSpaces>
  <SharedDoc>false</SharedDoc>
  <HLinks>
    <vt:vector size="12" baseType="variant">
      <vt:variant>
        <vt:i4>7340129</vt:i4>
      </vt:variant>
      <vt:variant>
        <vt:i4>3</vt:i4>
      </vt:variant>
      <vt:variant>
        <vt:i4>0</vt:i4>
      </vt:variant>
      <vt:variant>
        <vt:i4>5</vt:i4>
      </vt:variant>
      <vt:variant>
        <vt:lpwstr>https://www.ojp.gov/ncjrs/virtual-library/abstracts/neglected-dropouts-gifted-and-talented</vt:lpwstr>
      </vt:variant>
      <vt:variant>
        <vt:lpwstr>:~:text=Experts%20estimate%20that%2025%20percent,student%20population%2C%20also%20drop%20out</vt:lpwstr>
      </vt:variant>
      <vt:variant>
        <vt:i4>4653132</vt:i4>
      </vt:variant>
      <vt:variant>
        <vt:i4>0</vt:i4>
      </vt:variant>
      <vt:variant>
        <vt:i4>0</vt:i4>
      </vt:variant>
      <vt:variant>
        <vt:i4>5</vt:i4>
      </vt:variant>
      <vt:variant>
        <vt:lpwstr>https://www.elmundodelsuperdotado.com/informe-educacion-superdotados/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William E. Villafañe Ramos (Senador)</dc:creator>
  <cp:keywords/>
  <cp:lastModifiedBy>Gladys J. Burgos Torres</cp:lastModifiedBy>
  <cp:revision>5</cp:revision>
  <cp:lastPrinted>2025-01-24T16:56:00Z</cp:lastPrinted>
  <dcterms:created xsi:type="dcterms:W3CDTF">2025-01-28T18:41:00Z</dcterms:created>
  <dcterms:modified xsi:type="dcterms:W3CDTF">2025-01-30T16:02:00Z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4SQX5P7U7WPY-958212181-778934</vt:lpwstr>
  </property>
  <property fmtid="{D5CDD505-2E9C-101B-9397-08002B2CF9AE}" pid="3" name="_dlc_DocIdItemGuid">
    <vt:lpwstr>8333cb1c-5dcf-4279-b999-641237a62238</vt:lpwstr>
  </property>
  <property fmtid="{D5CDD505-2E9C-101B-9397-08002B2CF9AE}" pid="4" name="_dlc_DocIdUrl">
    <vt:lpwstr>https://senpr.sharepoint.com/sites/obralegislativa/_layouts/15/DocIdRedir.aspx?ID=4SQX5P7U7WPY-958212181-778934, 4SQX5P7U7WPY-958212181-778934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ContentTypeId">
    <vt:lpwstr>0x0101005F5A295FD8DD8242B2E1E79315B308BF</vt:lpwstr>
  </property>
</Properties>
</file>