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278AD74"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Pr>
          <w:rFonts w:ascii="Book Antiqua" w:eastAsia="Times New Roman" w:hAnsi="Book Antiqua" w:cs="Times New Roman"/>
          <w:sz w:val="24"/>
          <w:szCs w:val="20"/>
          <w:lang w:val="es-ES_tradnl"/>
        </w:rPr>
        <w:t>1</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16EC5164" w:rsidR="002573CC" w:rsidRPr="002573CC" w:rsidRDefault="00EE2682" w:rsidP="002573CC">
      <w:pPr>
        <w:spacing w:after="0" w:line="240" w:lineRule="auto"/>
        <w:jc w:val="center"/>
        <w:rPr>
          <w:rFonts w:ascii="Book Antiqua" w:eastAsia="Times New Roman" w:hAnsi="Book Antiqua" w:cs="Times New Roman"/>
          <w:b/>
          <w:sz w:val="52"/>
          <w:szCs w:val="52"/>
          <w:lang w:val="es-ES_tradnl"/>
        </w:rPr>
      </w:pPr>
      <w:r>
        <w:rPr>
          <w:rFonts w:ascii="Book Antiqua" w:eastAsia="Times New Roman" w:hAnsi="Book Antiqua" w:cs="Times New Roman"/>
          <w:b/>
          <w:sz w:val="52"/>
          <w:szCs w:val="52"/>
          <w:lang w:val="es-ES_tradnl"/>
        </w:rPr>
        <w:t>R</w:t>
      </w:r>
      <w:r w:rsidR="002573CC" w:rsidRPr="002573CC">
        <w:rPr>
          <w:rFonts w:ascii="Book Antiqua" w:eastAsia="Times New Roman" w:hAnsi="Book Antiqua" w:cs="Times New Roman"/>
          <w:b/>
          <w:sz w:val="52"/>
          <w:szCs w:val="52"/>
          <w:lang w:val="es-ES_tradnl"/>
        </w:rPr>
        <w:t>. de</w:t>
      </w:r>
      <w:r w:rsidR="00635DE6">
        <w:rPr>
          <w:rFonts w:ascii="Book Antiqua" w:eastAsia="Times New Roman" w:hAnsi="Book Antiqua" w:cs="Times New Roman"/>
          <w:b/>
          <w:sz w:val="52"/>
          <w:szCs w:val="52"/>
          <w:lang w:val="es-ES_tradnl"/>
        </w:rPr>
        <w:t xml:space="preserve"> </w:t>
      </w:r>
      <w:r w:rsidR="007B3187">
        <w:rPr>
          <w:rFonts w:ascii="Book Antiqua" w:eastAsia="Times New Roman" w:hAnsi="Book Antiqua" w:cs="Times New Roman"/>
          <w:b/>
          <w:sz w:val="52"/>
          <w:szCs w:val="52"/>
          <w:lang w:val="es-ES_tradnl"/>
        </w:rPr>
        <w:t>l</w:t>
      </w:r>
      <w:r w:rsidR="00635DE6">
        <w:rPr>
          <w:rFonts w:ascii="Book Antiqua" w:eastAsia="Times New Roman" w:hAnsi="Book Antiqua" w:cs="Times New Roman"/>
          <w:b/>
          <w:sz w:val="52"/>
          <w:szCs w:val="52"/>
          <w:lang w:val="es-ES_tradnl"/>
        </w:rPr>
        <w:t>a C</w:t>
      </w:r>
      <w:r w:rsidR="00B03370">
        <w:rPr>
          <w:rFonts w:ascii="Book Antiqua" w:eastAsia="Times New Roman" w:hAnsi="Book Antiqua" w:cs="Times New Roman"/>
          <w:b/>
          <w:sz w:val="52"/>
          <w:szCs w:val="52"/>
          <w:lang w:val="es-ES_tradnl"/>
        </w:rPr>
        <w:t xml:space="preserve">. </w:t>
      </w:r>
      <w:r>
        <w:rPr>
          <w:rFonts w:ascii="Book Antiqua" w:eastAsia="Times New Roman" w:hAnsi="Book Antiqua" w:cs="Times New Roman"/>
          <w:b/>
          <w:sz w:val="52"/>
          <w:szCs w:val="52"/>
          <w:lang w:val="es-ES_tradnl"/>
        </w:rPr>
        <w:t>88</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38A750ED"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45FA0983" w:rsidR="002573CC" w:rsidRPr="002573CC" w:rsidRDefault="00D94489"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 xml:space="preserve"> </w:t>
      </w:r>
      <w:r w:rsidR="0091508E">
        <w:rPr>
          <w:rFonts w:ascii="Book Antiqua" w:eastAsia="Times New Roman" w:hAnsi="Book Antiqua" w:cs="Times New Roman"/>
          <w:sz w:val="24"/>
          <w:szCs w:val="24"/>
          <w:lang w:val="es-ES_tradnl"/>
        </w:rPr>
        <w:t>23</w:t>
      </w:r>
      <w:r w:rsidR="00A35ADF">
        <w:rPr>
          <w:rFonts w:ascii="Book Antiqua" w:eastAsia="Times New Roman" w:hAnsi="Book Antiqua" w:cs="Times New Roman"/>
          <w:sz w:val="24"/>
          <w:szCs w:val="24"/>
          <w:lang w:val="es-ES_tradnl"/>
        </w:rPr>
        <w:t xml:space="preserve"> </w:t>
      </w:r>
      <w:r w:rsidR="007B3187">
        <w:rPr>
          <w:rFonts w:ascii="Book Antiqua" w:eastAsia="Times New Roman" w:hAnsi="Book Antiqua" w:cs="Times New Roman"/>
          <w:sz w:val="24"/>
          <w:szCs w:val="24"/>
          <w:lang w:val="es-ES_tradnl"/>
        </w:rPr>
        <w:t>de junio</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09B2672C"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EE2682">
        <w:rPr>
          <w:rFonts w:ascii="Book Antiqua" w:eastAsia="Times New Roman" w:hAnsi="Book Antiqua" w:cs="Times New Roman"/>
          <w:sz w:val="24"/>
          <w:szCs w:val="24"/>
          <w:lang w:val="es-ES_tradnl"/>
        </w:rPr>
        <w:t xml:space="preserve"> Asuntos del Consumidor</w:t>
      </w:r>
      <w:r w:rsidR="004620B0" w:rsidRPr="0023263A">
        <w:rPr>
          <w:rFonts w:ascii="Book Antiqua" w:eastAsia="Times New Roman" w:hAnsi="Book Antiqua" w:cs="Times New Roman"/>
          <w:sz w:val="24"/>
          <w:szCs w:val="24"/>
          <w:lang w:val="es-ES_tradnl"/>
        </w:rPr>
        <w:t xml:space="preserve">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xml:space="preserve">, previo estudio y </w:t>
      </w:r>
      <w:r w:rsidR="009E4BBB">
        <w:rPr>
          <w:rFonts w:ascii="Book Antiqua" w:eastAsia="Times New Roman" w:hAnsi="Book Antiqua" w:cs="Times New Roman"/>
          <w:sz w:val="24"/>
          <w:szCs w:val="24"/>
          <w:lang w:val="es-ES_tradnl"/>
        </w:rPr>
        <w:t>análisis</w:t>
      </w:r>
      <w:r w:rsidRPr="0023263A">
        <w:rPr>
          <w:rFonts w:ascii="Book Antiqua" w:eastAsia="Times New Roman" w:hAnsi="Book Antiqua" w:cs="Times New Roman"/>
          <w:sz w:val="24"/>
          <w:szCs w:val="24"/>
          <w:lang w:val="es-ES_tradnl"/>
        </w:rPr>
        <w:t xml:space="preserve"> de</w:t>
      </w:r>
      <w:r w:rsidR="00840694">
        <w:rPr>
          <w:rFonts w:ascii="Book Antiqua" w:eastAsia="Times New Roman" w:hAnsi="Book Antiqua" w:cs="Times New Roman"/>
          <w:sz w:val="24"/>
          <w:szCs w:val="24"/>
          <w:lang w:val="es-ES_tradnl"/>
        </w:rPr>
        <w:t xml:space="preserve"> </w:t>
      </w:r>
      <w:r w:rsidRPr="0023263A">
        <w:rPr>
          <w:rFonts w:ascii="Book Antiqua" w:eastAsia="Times New Roman" w:hAnsi="Book Antiqua" w:cs="Times New Roman"/>
          <w:sz w:val="24"/>
          <w:szCs w:val="24"/>
          <w:lang w:val="es-ES_tradnl"/>
        </w:rPr>
        <w:t>l</w:t>
      </w:r>
      <w:r w:rsidR="00840694">
        <w:rPr>
          <w:rFonts w:ascii="Book Antiqua" w:eastAsia="Times New Roman" w:hAnsi="Book Antiqua" w:cs="Times New Roman"/>
          <w:sz w:val="24"/>
          <w:szCs w:val="24"/>
          <w:lang w:val="es-ES_tradnl"/>
        </w:rPr>
        <w:t>a</w:t>
      </w:r>
      <w:r w:rsidR="00470B60" w:rsidRPr="0023263A">
        <w:rPr>
          <w:rFonts w:ascii="Book Antiqua" w:eastAsia="Times New Roman" w:hAnsi="Book Antiqua" w:cs="Times New Roman"/>
          <w:sz w:val="24"/>
          <w:szCs w:val="24"/>
          <w:lang w:val="es-ES_tradnl"/>
        </w:rPr>
        <w:t xml:space="preserve"> </w:t>
      </w:r>
      <w:r w:rsidR="00840694">
        <w:rPr>
          <w:rFonts w:ascii="Book Antiqua" w:eastAsia="Times New Roman" w:hAnsi="Book Antiqua" w:cs="Times New Roman"/>
          <w:b/>
          <w:bCs/>
          <w:sz w:val="24"/>
          <w:szCs w:val="24"/>
          <w:lang w:val="es-ES_tradnl"/>
        </w:rPr>
        <w:t>Resolución</w:t>
      </w:r>
      <w:r w:rsidR="00470B60" w:rsidRPr="0023263A">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de</w:t>
      </w:r>
      <w:r w:rsidR="005E0023">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l</w:t>
      </w:r>
      <w:r w:rsidR="005E0023">
        <w:rPr>
          <w:rFonts w:ascii="Book Antiqua" w:eastAsia="Times New Roman" w:hAnsi="Book Antiqua" w:cs="Times New Roman"/>
          <w:b/>
          <w:bCs/>
          <w:sz w:val="24"/>
          <w:szCs w:val="24"/>
          <w:lang w:val="es-ES_tradnl"/>
        </w:rPr>
        <w:t>a</w:t>
      </w:r>
      <w:r w:rsidR="007B3187" w:rsidRPr="0023263A">
        <w:rPr>
          <w:rFonts w:ascii="Book Antiqua" w:eastAsia="Times New Roman" w:hAnsi="Book Antiqua" w:cs="Times New Roman"/>
          <w:b/>
          <w:bCs/>
          <w:sz w:val="24"/>
          <w:szCs w:val="24"/>
          <w:lang w:val="es-ES_tradnl"/>
        </w:rPr>
        <w:t xml:space="preserve"> </w:t>
      </w:r>
      <w:r w:rsidR="005E0023">
        <w:rPr>
          <w:rFonts w:ascii="Book Antiqua" w:eastAsia="Times New Roman" w:hAnsi="Book Antiqua" w:cs="Times New Roman"/>
          <w:b/>
          <w:bCs/>
          <w:sz w:val="24"/>
          <w:szCs w:val="24"/>
          <w:lang w:val="es-ES_tradnl"/>
        </w:rPr>
        <w:t xml:space="preserve">Cámara </w:t>
      </w:r>
      <w:r w:rsidR="006264FA">
        <w:rPr>
          <w:rFonts w:ascii="Book Antiqua" w:eastAsia="Times New Roman" w:hAnsi="Book Antiqua" w:cs="Times New Roman"/>
          <w:b/>
          <w:bCs/>
          <w:sz w:val="24"/>
          <w:szCs w:val="24"/>
          <w:lang w:val="es-ES_tradnl"/>
        </w:rPr>
        <w:t>88</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w:t>
      </w:r>
      <w:r w:rsidR="00B2513D">
        <w:rPr>
          <w:rFonts w:ascii="Book Antiqua" w:eastAsia="Times New Roman" w:hAnsi="Book Antiqua" w:cs="Times New Roman"/>
          <w:sz w:val="24"/>
          <w:szCs w:val="24"/>
          <w:lang w:val="es-ES_tradnl"/>
        </w:rPr>
        <w:t>somete a este Cuerpo el presente Informe Final con sus hallazgos, conclusiones y recomendaciones, solicitando su aprobación</w:t>
      </w:r>
      <w:r w:rsidR="007B3187" w:rsidRPr="0023263A">
        <w:rPr>
          <w:rFonts w:ascii="Book Antiqua" w:eastAsia="Times New Roman" w:hAnsi="Book Antiqua" w:cs="Times New Roman"/>
          <w:bCs/>
          <w:sz w:val="24"/>
          <w:szCs w:val="24"/>
          <w:lang w:val="es-ES_tradnl"/>
        </w:rPr>
        <w:t>.</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08494D4E" w14:textId="1B3706AC" w:rsidR="007B3187" w:rsidRDefault="006415F8" w:rsidP="007B3187">
      <w:pPr>
        <w:pStyle w:val="NormalWeb"/>
        <w:spacing w:before="0" w:beforeAutospacing="0" w:after="0" w:afterAutospacing="0"/>
        <w:ind w:firstLine="708"/>
        <w:jc w:val="both"/>
        <w:rPr>
          <w:rFonts w:ascii="Book Antiqua" w:hAnsi="Book Antiqua"/>
          <w:bCs/>
          <w:lang w:val="es-ES"/>
        </w:rPr>
      </w:pPr>
      <w:r>
        <w:rPr>
          <w:rFonts w:ascii="Book Antiqua" w:hAnsi="Book Antiqua"/>
          <w:bCs/>
          <w:lang w:val="es-ES"/>
        </w:rPr>
        <w:t xml:space="preserve">La Resolución </w:t>
      </w:r>
      <w:r w:rsidR="00DC7AB9">
        <w:rPr>
          <w:rFonts w:ascii="Book Antiqua" w:hAnsi="Book Antiqua"/>
          <w:bCs/>
          <w:lang w:val="es-ES"/>
        </w:rPr>
        <w:t xml:space="preserve">de la Cámara 88 fue presentada por el representante Santiago Guzmán, y la misma tiene como propósito </w:t>
      </w:r>
      <w:r w:rsidR="0001634C" w:rsidRPr="00D22D5E">
        <w:rPr>
          <w:rFonts w:ascii="Book Antiqua" w:hAnsi="Book Antiqua"/>
          <w:lang w:val="es-ES_tradnl"/>
        </w:rPr>
        <w:t>ordenar a la Comisión de Asuntos del Consumidor de la Cámara de Representantes realizar una investigación exhaustiva sobre las interrupciones y fluctuaciones de voltaje en el servicio eléctrico, su impacto en los consumidores; examinar el proceso de reclamación de daños a enseres eléctricos, su accesibilidad, transparencia y efectividad; evaluar el rol de la Oficina Independiente de Protección al Consumidor (OIPC) en la supervisión y fiscalización de estas reclamaciones; analizar las deficiencias operacionales, administrativas y de transparencia en la gestión de LUMA Energy, Inc. relacionadas con las reclamaciones de los consumidores; y para otros fines relacionados</w:t>
      </w:r>
      <w:r w:rsidR="006218B9">
        <w:rPr>
          <w:rFonts w:ascii="Book Antiqua" w:hAnsi="Book Antiqua"/>
          <w:lang w:val="es-ES_tradnl"/>
        </w:rPr>
        <w:t>.</w:t>
      </w:r>
    </w:p>
    <w:p w14:paraId="445F016E" w14:textId="77777777" w:rsidR="00934DEB" w:rsidRDefault="00934DEB" w:rsidP="007B3187">
      <w:pPr>
        <w:pStyle w:val="NormalWeb"/>
        <w:spacing w:before="0" w:beforeAutospacing="0" w:after="0" w:afterAutospacing="0"/>
        <w:ind w:firstLine="708"/>
        <w:jc w:val="both"/>
        <w:rPr>
          <w:rFonts w:ascii="Book Antiqua" w:hAnsi="Book Antiqua"/>
          <w:bCs/>
          <w:lang w:val="es-ES"/>
        </w:rPr>
      </w:pPr>
    </w:p>
    <w:p w14:paraId="5A47FAFC" w14:textId="31101967" w:rsidR="007B3187" w:rsidRPr="000B2BA9" w:rsidRDefault="00934DEB" w:rsidP="000B2BA9">
      <w:pPr>
        <w:pStyle w:val="NormalWeb"/>
        <w:spacing w:before="0" w:beforeAutospacing="0" w:after="0" w:afterAutospacing="0"/>
        <w:ind w:firstLine="708"/>
        <w:jc w:val="both"/>
        <w:rPr>
          <w:rFonts w:ascii="Book Antiqua" w:hAnsi="Book Antiqua"/>
          <w:bCs/>
          <w:lang w:val="es-ES"/>
        </w:rPr>
      </w:pPr>
      <w:r>
        <w:rPr>
          <w:rFonts w:ascii="Book Antiqua" w:hAnsi="Book Antiqua"/>
          <w:bCs/>
          <w:lang w:val="es-ES"/>
        </w:rPr>
        <w:t xml:space="preserve">Se desprende de la Exposición de Motivos de la Resolución que es objeto de </w:t>
      </w:r>
      <w:r w:rsidR="007C0E2E">
        <w:rPr>
          <w:rFonts w:ascii="Book Antiqua" w:hAnsi="Book Antiqua"/>
          <w:bCs/>
          <w:lang w:val="es-ES"/>
        </w:rPr>
        <w:t xml:space="preserve">análisis </w:t>
      </w:r>
      <w:r w:rsidR="00E93811">
        <w:rPr>
          <w:rFonts w:ascii="Book Antiqua" w:hAnsi="Book Antiqua"/>
          <w:bCs/>
          <w:lang w:val="es-ES"/>
        </w:rPr>
        <w:t>que</w:t>
      </w:r>
      <w:r w:rsidR="00C95B4C">
        <w:rPr>
          <w:rFonts w:ascii="Book Antiqua" w:hAnsi="Book Antiqua"/>
          <w:bCs/>
          <w:lang w:val="es-ES"/>
        </w:rPr>
        <w:t>,</w:t>
      </w:r>
      <w:r w:rsidR="00E93811">
        <w:rPr>
          <w:rFonts w:ascii="Book Antiqua" w:hAnsi="Book Antiqua"/>
          <w:bCs/>
          <w:lang w:val="es-ES"/>
        </w:rPr>
        <w:t xml:space="preserve"> </w:t>
      </w:r>
      <w:r w:rsidR="00E93811">
        <w:rPr>
          <w:rFonts w:ascii="Book Antiqua" w:hAnsi="Book Antiqua"/>
          <w:lang w:val="es-ES_tradnl"/>
        </w:rPr>
        <w:t>e</w:t>
      </w:r>
      <w:r w:rsidR="00E93811" w:rsidRPr="00D22D5E">
        <w:rPr>
          <w:rFonts w:ascii="Book Antiqua" w:hAnsi="Book Antiqua"/>
          <w:lang w:val="es-ES_tradnl"/>
        </w:rPr>
        <w:t>n Puerto Rico, los abonados han enfrentado constantes interrupciones y fluctuaciones de voltaje en el servicio eléctrico provisto por LUMA Energy, lo que ha ocasionado daños significativos a enseres eléctricos, pérdidas económicas y un impacto adverso en hogares, negocios y comunidades. Estas deficiencias en el servicio han generado múltiples preocupaciones entre los consumidores, quienes enfrentan barreras para presentar reclamaciones de manera efectiva y transparente.</w:t>
      </w:r>
      <w:r w:rsidR="000B2BA9">
        <w:rPr>
          <w:rFonts w:ascii="Book Antiqua" w:hAnsi="Book Antiqua"/>
          <w:bCs/>
          <w:lang w:val="es-ES_tradnl"/>
        </w:rPr>
        <w:t xml:space="preserve"> </w:t>
      </w:r>
      <w:r w:rsidR="007C0E2E">
        <w:rPr>
          <w:rFonts w:ascii="Book Antiqua" w:hAnsi="Book Antiqua"/>
          <w:bCs/>
          <w:lang w:val="es-ES"/>
        </w:rPr>
        <w:t>Ante esa realidad, es preciso</w:t>
      </w:r>
      <w:r w:rsidR="00785BAD">
        <w:rPr>
          <w:rFonts w:ascii="Book Antiqua" w:hAnsi="Book Antiqua"/>
          <w:bCs/>
          <w:lang w:val="es-ES"/>
        </w:rPr>
        <w:t xml:space="preserve"> realizar una investigación sobre el particular.</w:t>
      </w:r>
    </w:p>
    <w:p w14:paraId="2EF835E6" w14:textId="77777777"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lastRenderedPageBreak/>
        <w:t>ANÁLISIS DE LA MEDIDA</w:t>
      </w:r>
    </w:p>
    <w:p w14:paraId="0338935F" w14:textId="77777777" w:rsidR="007B3187" w:rsidRPr="0023263A" w:rsidRDefault="007B3187" w:rsidP="007B3187">
      <w:pPr>
        <w:spacing w:after="0" w:line="240" w:lineRule="auto"/>
        <w:jc w:val="center"/>
        <w:rPr>
          <w:rFonts w:ascii="Book Antiqua" w:eastAsia="Times New Roman" w:hAnsi="Book Antiqua"/>
          <w:b/>
          <w:sz w:val="24"/>
          <w:szCs w:val="24"/>
          <w:lang w:val="es-ES"/>
        </w:rPr>
      </w:pPr>
    </w:p>
    <w:p w14:paraId="04414013" w14:textId="3224A208" w:rsidR="003657E1" w:rsidRDefault="006545C1" w:rsidP="0001109F">
      <w:pPr>
        <w:spacing w:after="0" w:line="240" w:lineRule="auto"/>
        <w:ind w:firstLine="708"/>
        <w:jc w:val="both"/>
        <w:rPr>
          <w:rFonts w:ascii="Book Antiqua" w:hAnsi="Book Antiqua"/>
          <w:sz w:val="24"/>
          <w:szCs w:val="24"/>
        </w:rPr>
      </w:pPr>
      <w:r>
        <w:rPr>
          <w:rFonts w:ascii="Book Antiqua" w:hAnsi="Book Antiqua"/>
          <w:sz w:val="24"/>
          <w:szCs w:val="24"/>
        </w:rPr>
        <w:t xml:space="preserve">Para la evaluación de la medida la Comisión de Asuntos del Consumidor </w:t>
      </w:r>
      <w:r w:rsidR="00464323">
        <w:rPr>
          <w:rFonts w:ascii="Book Antiqua" w:hAnsi="Book Antiqua"/>
          <w:sz w:val="24"/>
          <w:szCs w:val="24"/>
        </w:rPr>
        <w:t>solicitó memoriales explicativos a</w:t>
      </w:r>
      <w:r w:rsidR="00582EEB">
        <w:rPr>
          <w:rFonts w:ascii="Book Antiqua" w:hAnsi="Book Antiqua"/>
          <w:sz w:val="24"/>
          <w:szCs w:val="24"/>
        </w:rPr>
        <w:t>l Departamento de Asuntos del Consumidor, a la Oficina Independiente de Protección del Consumidor</w:t>
      </w:r>
      <w:r w:rsidR="001F60C9">
        <w:rPr>
          <w:rFonts w:ascii="Book Antiqua" w:hAnsi="Book Antiqua"/>
          <w:sz w:val="24"/>
          <w:szCs w:val="24"/>
        </w:rPr>
        <w:t xml:space="preserve"> (OIPC)</w:t>
      </w:r>
      <w:r w:rsidR="00582EEB">
        <w:rPr>
          <w:rFonts w:ascii="Book Antiqua" w:hAnsi="Book Antiqua"/>
          <w:sz w:val="24"/>
          <w:szCs w:val="24"/>
        </w:rPr>
        <w:t xml:space="preserve">, al Negociado de Energía de Puerto Rico, a LUMA Energy, </w:t>
      </w:r>
      <w:r w:rsidR="00414166">
        <w:rPr>
          <w:rFonts w:ascii="Book Antiqua" w:hAnsi="Book Antiqua"/>
          <w:sz w:val="24"/>
          <w:szCs w:val="24"/>
        </w:rPr>
        <w:t xml:space="preserve">a la Autoridad de Energía Eléctrica, </w:t>
      </w:r>
      <w:r w:rsidR="00856BD4">
        <w:rPr>
          <w:rFonts w:ascii="Book Antiqua" w:hAnsi="Book Antiqua"/>
          <w:sz w:val="24"/>
          <w:szCs w:val="24"/>
        </w:rPr>
        <w:t xml:space="preserve">a la Oficina del Ombudsman, </w:t>
      </w:r>
      <w:r w:rsidR="00582EEB">
        <w:rPr>
          <w:rFonts w:ascii="Book Antiqua" w:hAnsi="Book Antiqua"/>
          <w:sz w:val="24"/>
          <w:szCs w:val="24"/>
        </w:rPr>
        <w:t>y al Colegio de Peritos Electricistas de Puerto Rico.</w:t>
      </w:r>
      <w:r w:rsidR="00856BD4">
        <w:rPr>
          <w:rFonts w:ascii="Book Antiqua" w:hAnsi="Book Antiqua"/>
          <w:sz w:val="24"/>
          <w:szCs w:val="24"/>
        </w:rPr>
        <w:t xml:space="preserve"> </w:t>
      </w:r>
      <w:r w:rsidR="001F60C9">
        <w:rPr>
          <w:rFonts w:ascii="Book Antiqua" w:hAnsi="Book Antiqua"/>
          <w:sz w:val="24"/>
          <w:szCs w:val="24"/>
        </w:rPr>
        <w:t>En el caso del Negociado de Energía, se les excusó de someter memorial, toda vez que la jurisdicción sobre el asunto recaía sobre la OIPC.</w:t>
      </w:r>
    </w:p>
    <w:p w14:paraId="4BA2D37E" w14:textId="77777777" w:rsidR="001F60C9" w:rsidRDefault="001F60C9" w:rsidP="007B3187">
      <w:pPr>
        <w:spacing w:after="0" w:line="240" w:lineRule="auto"/>
        <w:jc w:val="both"/>
        <w:rPr>
          <w:rFonts w:ascii="Book Antiqua" w:hAnsi="Book Antiqua"/>
          <w:sz w:val="24"/>
          <w:szCs w:val="24"/>
        </w:rPr>
      </w:pPr>
    </w:p>
    <w:p w14:paraId="30D2754B" w14:textId="2CB74F26" w:rsidR="001F60C9" w:rsidRDefault="00EC05A2" w:rsidP="0001109F">
      <w:pPr>
        <w:spacing w:after="0" w:line="240" w:lineRule="auto"/>
        <w:ind w:firstLine="708"/>
        <w:jc w:val="both"/>
        <w:rPr>
          <w:rFonts w:ascii="Book Antiqua" w:hAnsi="Book Antiqua"/>
          <w:sz w:val="24"/>
          <w:szCs w:val="24"/>
          <w:lang w:val="es-ES"/>
        </w:rPr>
      </w:pPr>
      <w:r>
        <w:rPr>
          <w:rFonts w:ascii="Book Antiqua" w:hAnsi="Book Antiqua"/>
          <w:sz w:val="24"/>
          <w:szCs w:val="24"/>
        </w:rPr>
        <w:t>Con el beneficio de estos procedemos a esbozar los hallazgos de la investigación realizada</w:t>
      </w:r>
      <w:r w:rsidR="00EE4A14" w:rsidRPr="00EE4A14">
        <w:rPr>
          <w:rFonts w:ascii="Book Antiqua" w:hAnsi="Book Antiqua"/>
          <w:sz w:val="24"/>
          <w:szCs w:val="24"/>
          <w:lang w:val="es-ES"/>
        </w:rPr>
        <w:t>:</w:t>
      </w:r>
    </w:p>
    <w:p w14:paraId="11A7A9EE" w14:textId="77777777" w:rsidR="00EE4A14" w:rsidRDefault="00EE4A14" w:rsidP="007B3187">
      <w:pPr>
        <w:spacing w:after="0" w:line="240" w:lineRule="auto"/>
        <w:jc w:val="both"/>
        <w:rPr>
          <w:rFonts w:ascii="Book Antiqua" w:hAnsi="Book Antiqua"/>
          <w:sz w:val="24"/>
          <w:szCs w:val="24"/>
          <w:lang w:val="es-ES"/>
        </w:rPr>
      </w:pPr>
    </w:p>
    <w:p w14:paraId="660776B3" w14:textId="05A37466" w:rsidR="00EE4A14" w:rsidRPr="00EE4A14" w:rsidRDefault="00EE4A14" w:rsidP="007B3187">
      <w:pPr>
        <w:spacing w:after="0" w:line="240" w:lineRule="auto"/>
        <w:jc w:val="both"/>
        <w:rPr>
          <w:rFonts w:ascii="Book Antiqua" w:hAnsi="Book Antiqua"/>
          <w:b/>
          <w:bCs/>
          <w:color w:val="000000"/>
          <w:sz w:val="24"/>
          <w:szCs w:val="24"/>
          <w:u w:val="single"/>
          <w:lang w:val="es-ES"/>
        </w:rPr>
      </w:pPr>
      <w:r>
        <w:rPr>
          <w:rFonts w:ascii="Book Antiqua" w:hAnsi="Book Antiqua"/>
          <w:b/>
          <w:bCs/>
          <w:sz w:val="24"/>
          <w:szCs w:val="24"/>
          <w:u w:val="single"/>
          <w:lang w:val="es-ES"/>
        </w:rPr>
        <w:t>DEPARTAMENTO DE ASUNTOS DEL CONSUMIDOR</w:t>
      </w:r>
    </w:p>
    <w:p w14:paraId="2E36052C" w14:textId="77777777" w:rsidR="00472793" w:rsidRDefault="00472793" w:rsidP="007B3187">
      <w:pPr>
        <w:spacing w:after="0" w:line="240" w:lineRule="auto"/>
        <w:jc w:val="both"/>
        <w:rPr>
          <w:rFonts w:ascii="Book Antiqua" w:hAnsi="Book Antiqua"/>
          <w:color w:val="000000"/>
          <w:sz w:val="24"/>
          <w:szCs w:val="24"/>
        </w:rPr>
      </w:pPr>
    </w:p>
    <w:p w14:paraId="44890D51" w14:textId="77777777" w:rsidR="004F40E0" w:rsidRDefault="00311DBC" w:rsidP="0001109F">
      <w:pPr>
        <w:spacing w:after="0" w:line="240" w:lineRule="auto"/>
        <w:ind w:firstLine="708"/>
        <w:jc w:val="both"/>
        <w:rPr>
          <w:rFonts w:ascii="Book Antiqua" w:hAnsi="Book Antiqua"/>
          <w:color w:val="000000"/>
          <w:sz w:val="24"/>
          <w:szCs w:val="24"/>
        </w:rPr>
      </w:pPr>
      <w:r>
        <w:rPr>
          <w:rFonts w:ascii="Book Antiqua" w:hAnsi="Book Antiqua"/>
          <w:color w:val="000000"/>
          <w:sz w:val="24"/>
          <w:szCs w:val="24"/>
        </w:rPr>
        <w:t>El Departamento de Asuntos del Consumidor (DACO), por conducto de su secretar</w:t>
      </w:r>
      <w:r w:rsidR="00F50AA1">
        <w:rPr>
          <w:rFonts w:ascii="Book Antiqua" w:hAnsi="Book Antiqua"/>
          <w:color w:val="000000"/>
          <w:sz w:val="24"/>
          <w:szCs w:val="24"/>
        </w:rPr>
        <w:t>ia, Lcda. Valerie M. Rodríguez-Erazo,</w:t>
      </w:r>
      <w:r w:rsidR="004F40E0">
        <w:rPr>
          <w:rFonts w:ascii="Book Antiqua" w:hAnsi="Book Antiqua"/>
          <w:color w:val="000000"/>
          <w:sz w:val="24"/>
          <w:szCs w:val="24"/>
        </w:rPr>
        <w:t xml:space="preserve"> presentó cometarios por escrito, de los cuales se desprenden los siguientes hallazgos:</w:t>
      </w:r>
    </w:p>
    <w:p w14:paraId="51A68036" w14:textId="0B67F99F" w:rsidR="00311DBC" w:rsidRDefault="00EB1719" w:rsidP="004F40E0">
      <w:pPr>
        <w:pStyle w:val="ListParagraph"/>
        <w:numPr>
          <w:ilvl w:val="0"/>
          <w:numId w:val="11"/>
        </w:numPr>
        <w:spacing w:after="0" w:line="240" w:lineRule="auto"/>
        <w:jc w:val="both"/>
        <w:rPr>
          <w:rFonts w:ascii="Book Antiqua" w:hAnsi="Book Antiqua"/>
          <w:color w:val="000000"/>
          <w:sz w:val="24"/>
          <w:szCs w:val="24"/>
        </w:rPr>
      </w:pPr>
      <w:r>
        <w:rPr>
          <w:rFonts w:ascii="Book Antiqua" w:hAnsi="Book Antiqua"/>
          <w:color w:val="000000"/>
          <w:sz w:val="24"/>
          <w:szCs w:val="24"/>
        </w:rPr>
        <w:t>En cuanto al tema de energía eléctrica, la jurisdicción del DACO es limitada</w:t>
      </w:r>
      <w:r w:rsidR="00BF6143">
        <w:rPr>
          <w:rFonts w:ascii="Book Antiqua" w:hAnsi="Book Antiqua"/>
          <w:color w:val="000000"/>
          <w:sz w:val="24"/>
          <w:szCs w:val="24"/>
        </w:rPr>
        <w:t>, pero cumplen con su responsabilidad de vindicar los derechos del consumidor</w:t>
      </w:r>
      <w:r>
        <w:rPr>
          <w:rFonts w:ascii="Book Antiqua" w:hAnsi="Book Antiqua"/>
          <w:color w:val="000000"/>
          <w:sz w:val="24"/>
          <w:szCs w:val="24"/>
        </w:rPr>
        <w:t>.</w:t>
      </w:r>
    </w:p>
    <w:p w14:paraId="1F9E3A40" w14:textId="4A576743" w:rsidR="00EB1719" w:rsidRDefault="00982266" w:rsidP="004F40E0">
      <w:pPr>
        <w:pStyle w:val="ListParagraph"/>
        <w:numPr>
          <w:ilvl w:val="0"/>
          <w:numId w:val="11"/>
        </w:numPr>
        <w:spacing w:after="0" w:line="240" w:lineRule="auto"/>
        <w:jc w:val="both"/>
        <w:rPr>
          <w:rFonts w:ascii="Book Antiqua" w:hAnsi="Book Antiqua"/>
          <w:color w:val="000000"/>
          <w:sz w:val="24"/>
          <w:szCs w:val="24"/>
        </w:rPr>
      </w:pPr>
      <w:r>
        <w:rPr>
          <w:rFonts w:ascii="Book Antiqua" w:hAnsi="Book Antiqua"/>
          <w:color w:val="000000"/>
          <w:sz w:val="24"/>
          <w:szCs w:val="24"/>
        </w:rPr>
        <w:t>El foro adjudicativo del DACO cuenta con jurisdicción para atender</w:t>
      </w:r>
      <w:r w:rsidR="00C003AF">
        <w:rPr>
          <w:rFonts w:ascii="Book Antiqua" w:hAnsi="Book Antiqua"/>
          <w:color w:val="000000"/>
          <w:sz w:val="24"/>
          <w:szCs w:val="24"/>
        </w:rPr>
        <w:t xml:space="preserve"> querellas relacionadas a servicios de paneles o placas solares, siempre que tales reclamos no contengan alegaciones que giren en torno a aspectos de jurisdicción primaria del Negociado de Energía de Puerto Rico</w:t>
      </w:r>
      <w:r w:rsidR="00FD385C">
        <w:rPr>
          <w:rFonts w:ascii="Book Antiqua" w:hAnsi="Book Antiqua"/>
          <w:color w:val="000000"/>
          <w:sz w:val="24"/>
          <w:szCs w:val="24"/>
        </w:rPr>
        <w:t xml:space="preserve"> (NEPR)</w:t>
      </w:r>
      <w:r w:rsidR="00C003AF">
        <w:rPr>
          <w:rFonts w:ascii="Book Antiqua" w:hAnsi="Book Antiqua"/>
          <w:color w:val="000000"/>
          <w:sz w:val="24"/>
          <w:szCs w:val="24"/>
        </w:rPr>
        <w:t>.</w:t>
      </w:r>
    </w:p>
    <w:p w14:paraId="262F383A" w14:textId="012BED2C" w:rsidR="00C003AF" w:rsidRDefault="00FD385C" w:rsidP="004F40E0">
      <w:pPr>
        <w:pStyle w:val="ListParagraph"/>
        <w:numPr>
          <w:ilvl w:val="0"/>
          <w:numId w:val="11"/>
        </w:numPr>
        <w:spacing w:after="0" w:line="240" w:lineRule="auto"/>
        <w:jc w:val="both"/>
        <w:rPr>
          <w:rFonts w:ascii="Book Antiqua" w:hAnsi="Book Antiqua"/>
          <w:color w:val="000000"/>
          <w:sz w:val="24"/>
          <w:szCs w:val="24"/>
        </w:rPr>
      </w:pPr>
      <w:r>
        <w:rPr>
          <w:rFonts w:ascii="Book Antiqua" w:hAnsi="Book Antiqua"/>
          <w:color w:val="000000"/>
          <w:sz w:val="24"/>
          <w:szCs w:val="24"/>
        </w:rPr>
        <w:t xml:space="preserve">El NEPR tiene la jurisdicción </w:t>
      </w:r>
      <w:r w:rsidR="006D0ECD">
        <w:rPr>
          <w:rFonts w:ascii="Book Antiqua" w:hAnsi="Book Antiqua"/>
          <w:color w:val="000000"/>
          <w:sz w:val="24"/>
          <w:szCs w:val="24"/>
        </w:rPr>
        <w:t>primaria exclusiva sobre controversias en torno al cumplimiento de la política energética</w:t>
      </w:r>
      <w:r w:rsidR="0019467B">
        <w:rPr>
          <w:rFonts w:ascii="Book Antiqua" w:hAnsi="Book Antiqua"/>
          <w:color w:val="000000"/>
          <w:sz w:val="24"/>
          <w:szCs w:val="24"/>
        </w:rPr>
        <w:t xml:space="preserve"> como lo es la facturación y cobro de energía</w:t>
      </w:r>
      <w:r w:rsidR="00CA7298">
        <w:rPr>
          <w:rFonts w:ascii="Book Antiqua" w:hAnsi="Book Antiqua"/>
          <w:color w:val="000000"/>
          <w:sz w:val="24"/>
          <w:szCs w:val="24"/>
        </w:rPr>
        <w:t xml:space="preserve"> (tarifas y cargos); trasbordo de energía</w:t>
      </w:r>
      <w:r w:rsidR="00D0486F">
        <w:rPr>
          <w:rFonts w:ascii="Book Antiqua" w:hAnsi="Book Antiqua"/>
          <w:color w:val="000000"/>
          <w:sz w:val="24"/>
          <w:szCs w:val="24"/>
        </w:rPr>
        <w:t xml:space="preserve"> o interconexión; y contratos con los productores independientes</w:t>
      </w:r>
      <w:r w:rsidR="0019467B">
        <w:rPr>
          <w:rFonts w:ascii="Book Antiqua" w:hAnsi="Book Antiqua"/>
          <w:color w:val="000000"/>
          <w:sz w:val="24"/>
          <w:szCs w:val="24"/>
        </w:rPr>
        <w:t>.</w:t>
      </w:r>
    </w:p>
    <w:p w14:paraId="16E51E19" w14:textId="77777777" w:rsidR="0019467B" w:rsidRPr="004F40E0" w:rsidRDefault="0019467B" w:rsidP="00B2623B">
      <w:pPr>
        <w:pStyle w:val="ListParagraph"/>
        <w:spacing w:after="0" w:line="240" w:lineRule="auto"/>
        <w:jc w:val="both"/>
        <w:rPr>
          <w:rFonts w:ascii="Book Antiqua" w:hAnsi="Book Antiqua"/>
          <w:color w:val="000000"/>
          <w:sz w:val="24"/>
          <w:szCs w:val="24"/>
        </w:rPr>
      </w:pPr>
    </w:p>
    <w:p w14:paraId="731BADD0" w14:textId="77777777" w:rsidR="0023263A" w:rsidRDefault="0023263A" w:rsidP="007B3187">
      <w:pPr>
        <w:spacing w:after="0" w:line="240" w:lineRule="auto"/>
        <w:jc w:val="both"/>
        <w:rPr>
          <w:rFonts w:ascii="Book Antiqua" w:hAnsi="Book Antiqua"/>
          <w:color w:val="000000"/>
          <w:sz w:val="24"/>
          <w:szCs w:val="24"/>
        </w:rPr>
      </w:pPr>
    </w:p>
    <w:p w14:paraId="79A83354" w14:textId="06552E9B" w:rsidR="00E6738B" w:rsidRDefault="00E6738B" w:rsidP="007B3187">
      <w:pPr>
        <w:spacing w:after="0" w:line="240" w:lineRule="auto"/>
        <w:jc w:val="both"/>
        <w:rPr>
          <w:rFonts w:ascii="Book Antiqua" w:hAnsi="Book Antiqua"/>
          <w:b/>
          <w:bCs/>
          <w:color w:val="000000"/>
          <w:sz w:val="24"/>
          <w:szCs w:val="24"/>
          <w:u w:val="single"/>
        </w:rPr>
      </w:pPr>
      <w:r>
        <w:rPr>
          <w:rFonts w:ascii="Book Antiqua" w:hAnsi="Book Antiqua"/>
          <w:b/>
          <w:bCs/>
          <w:color w:val="000000"/>
          <w:sz w:val="24"/>
          <w:szCs w:val="24"/>
          <w:u w:val="single"/>
        </w:rPr>
        <w:t>OFICINA INDEPENDIENTE DE PROTECCIÓN AL CONSUMIDOR (OIPC)</w:t>
      </w:r>
    </w:p>
    <w:p w14:paraId="78B63947" w14:textId="0F8A3913" w:rsidR="00E6738B" w:rsidRDefault="00E6738B" w:rsidP="007B3187">
      <w:pPr>
        <w:spacing w:after="0" w:line="240" w:lineRule="auto"/>
        <w:jc w:val="both"/>
        <w:rPr>
          <w:rFonts w:ascii="Book Antiqua" w:hAnsi="Book Antiqua"/>
          <w:b/>
          <w:bCs/>
          <w:color w:val="000000"/>
          <w:sz w:val="24"/>
          <w:szCs w:val="24"/>
          <w:u w:val="single"/>
        </w:rPr>
      </w:pPr>
    </w:p>
    <w:p w14:paraId="088630FD" w14:textId="7C3D124E" w:rsidR="00117919" w:rsidRDefault="00117919" w:rsidP="0001109F">
      <w:pPr>
        <w:spacing w:after="0" w:line="240" w:lineRule="auto"/>
        <w:ind w:firstLine="708"/>
        <w:jc w:val="both"/>
        <w:rPr>
          <w:rFonts w:ascii="Book Antiqua" w:hAnsi="Book Antiqua"/>
          <w:color w:val="000000"/>
          <w:sz w:val="24"/>
          <w:szCs w:val="24"/>
        </w:rPr>
      </w:pPr>
      <w:r>
        <w:rPr>
          <w:rFonts w:ascii="Book Antiqua" w:hAnsi="Book Antiqua"/>
          <w:color w:val="000000"/>
          <w:sz w:val="24"/>
          <w:szCs w:val="24"/>
        </w:rPr>
        <w:t>La Oficina Independiente de Protecci</w:t>
      </w:r>
      <w:r w:rsidR="00442186">
        <w:rPr>
          <w:rFonts w:ascii="Book Antiqua" w:hAnsi="Book Antiqua"/>
          <w:color w:val="000000"/>
          <w:sz w:val="24"/>
          <w:szCs w:val="24"/>
        </w:rPr>
        <w:t>ón al Consumidor (OIPC), por conducto de su directora, Lcda. Hannia B. Rivera Díaz</w:t>
      </w:r>
      <w:r w:rsidR="00D7610D">
        <w:rPr>
          <w:rFonts w:ascii="Book Antiqua" w:hAnsi="Book Antiqua"/>
          <w:color w:val="000000"/>
          <w:sz w:val="24"/>
          <w:szCs w:val="24"/>
        </w:rPr>
        <w:t>, presentó cometarios por escrito, de los cuales se desprenden los siguientes hallazgos:</w:t>
      </w:r>
    </w:p>
    <w:p w14:paraId="37A77DA8" w14:textId="77777777" w:rsidR="00560B27" w:rsidRDefault="00560B27" w:rsidP="007B3187">
      <w:pPr>
        <w:spacing w:after="0" w:line="240" w:lineRule="auto"/>
        <w:jc w:val="both"/>
        <w:rPr>
          <w:rFonts w:ascii="Book Antiqua" w:hAnsi="Book Antiqua"/>
          <w:color w:val="000000"/>
          <w:sz w:val="24"/>
          <w:szCs w:val="24"/>
        </w:rPr>
      </w:pPr>
    </w:p>
    <w:p w14:paraId="35BE93F4" w14:textId="177EAEC1" w:rsidR="00560B27" w:rsidRDefault="00560B27" w:rsidP="00560B27">
      <w:pPr>
        <w:pStyle w:val="ListParagraph"/>
        <w:numPr>
          <w:ilvl w:val="0"/>
          <w:numId w:val="10"/>
        </w:numPr>
        <w:spacing w:after="0" w:line="240" w:lineRule="auto"/>
        <w:jc w:val="both"/>
        <w:rPr>
          <w:rFonts w:ascii="Book Antiqua" w:hAnsi="Book Antiqua"/>
          <w:color w:val="000000"/>
          <w:sz w:val="24"/>
          <w:szCs w:val="24"/>
        </w:rPr>
      </w:pPr>
      <w:r>
        <w:rPr>
          <w:rFonts w:ascii="Book Antiqua" w:hAnsi="Book Antiqua"/>
          <w:color w:val="000000"/>
          <w:sz w:val="24"/>
          <w:szCs w:val="24"/>
        </w:rPr>
        <w:t>La OIPC fue creada en virtud de la Ley 57-2014</w:t>
      </w:r>
      <w:r w:rsidR="004D4B37">
        <w:rPr>
          <w:rFonts w:ascii="Book Antiqua" w:hAnsi="Book Antiqua"/>
          <w:color w:val="000000"/>
          <w:sz w:val="24"/>
          <w:szCs w:val="24"/>
        </w:rPr>
        <w:t>, conocida como “Ley de Transformación y Alivio Energético de Puerto Rico, con el fin de educar, orientar, asistir y representar</w:t>
      </w:r>
      <w:r w:rsidR="00F51E02">
        <w:rPr>
          <w:rFonts w:ascii="Book Antiqua" w:hAnsi="Book Antiqua"/>
          <w:color w:val="000000"/>
          <w:sz w:val="24"/>
          <w:szCs w:val="24"/>
        </w:rPr>
        <w:t xml:space="preserve"> a los clientes de los servicios bajo la jurisdicción de la Junta </w:t>
      </w:r>
      <w:proofErr w:type="spellStart"/>
      <w:r w:rsidR="00F51E02">
        <w:rPr>
          <w:rFonts w:ascii="Book Antiqua" w:hAnsi="Book Antiqua"/>
          <w:color w:val="000000"/>
          <w:sz w:val="24"/>
          <w:szCs w:val="24"/>
        </w:rPr>
        <w:t>Reglamentadora</w:t>
      </w:r>
      <w:proofErr w:type="spellEnd"/>
      <w:r w:rsidR="00F51E02">
        <w:rPr>
          <w:rFonts w:ascii="Book Antiqua" w:hAnsi="Book Antiqua"/>
          <w:color w:val="000000"/>
          <w:sz w:val="24"/>
          <w:szCs w:val="24"/>
        </w:rPr>
        <w:t xml:space="preserve"> de Servicio Público</w:t>
      </w:r>
      <w:r w:rsidR="008C1C17">
        <w:rPr>
          <w:rFonts w:ascii="Book Antiqua" w:hAnsi="Book Antiqua"/>
          <w:color w:val="000000"/>
          <w:sz w:val="24"/>
          <w:szCs w:val="24"/>
        </w:rPr>
        <w:t xml:space="preserve">, y son portavoces de los </w:t>
      </w:r>
      <w:r w:rsidR="0070733E">
        <w:rPr>
          <w:rFonts w:ascii="Book Antiqua" w:hAnsi="Book Antiqua"/>
          <w:color w:val="000000"/>
          <w:sz w:val="24"/>
          <w:szCs w:val="24"/>
        </w:rPr>
        <w:t>consumidores en los asuntos ante la consideración del Negociado de Energía</w:t>
      </w:r>
      <w:r w:rsidR="002A5740">
        <w:rPr>
          <w:rFonts w:ascii="Book Antiqua" w:hAnsi="Book Antiqua"/>
          <w:color w:val="000000"/>
          <w:sz w:val="24"/>
          <w:szCs w:val="24"/>
        </w:rPr>
        <w:t>; incluyendo asuntos sobre tarifas y cargos del servicio eléctrico.</w:t>
      </w:r>
    </w:p>
    <w:p w14:paraId="733E82B6" w14:textId="682B23FC" w:rsidR="00D41838" w:rsidRDefault="00D41838" w:rsidP="00560B27">
      <w:pPr>
        <w:pStyle w:val="ListParagraph"/>
        <w:numPr>
          <w:ilvl w:val="0"/>
          <w:numId w:val="10"/>
        </w:numPr>
        <w:spacing w:after="0" w:line="240" w:lineRule="auto"/>
        <w:jc w:val="both"/>
        <w:rPr>
          <w:rFonts w:ascii="Book Antiqua" w:hAnsi="Book Antiqua"/>
          <w:color w:val="000000"/>
          <w:sz w:val="24"/>
          <w:szCs w:val="24"/>
        </w:rPr>
      </w:pPr>
      <w:r>
        <w:rPr>
          <w:rFonts w:ascii="Book Antiqua" w:hAnsi="Book Antiqua"/>
          <w:color w:val="000000"/>
          <w:sz w:val="24"/>
          <w:szCs w:val="24"/>
        </w:rPr>
        <w:t>De enero a abril de 2025, la OIPC ha orientado a sobre 3,400 consumidores</w:t>
      </w:r>
      <w:r w:rsidR="00115530">
        <w:rPr>
          <w:rFonts w:ascii="Book Antiqua" w:hAnsi="Book Antiqua"/>
          <w:color w:val="000000"/>
          <w:sz w:val="24"/>
          <w:szCs w:val="24"/>
        </w:rPr>
        <w:t>.</w:t>
      </w:r>
    </w:p>
    <w:p w14:paraId="44D78E35" w14:textId="0E999AFC" w:rsidR="00115530" w:rsidRDefault="00115530" w:rsidP="00560B27">
      <w:pPr>
        <w:pStyle w:val="ListParagraph"/>
        <w:numPr>
          <w:ilvl w:val="0"/>
          <w:numId w:val="10"/>
        </w:numPr>
        <w:spacing w:after="0" w:line="240" w:lineRule="auto"/>
        <w:jc w:val="both"/>
        <w:rPr>
          <w:rFonts w:ascii="Book Antiqua" w:hAnsi="Book Antiqua"/>
          <w:color w:val="000000"/>
          <w:sz w:val="24"/>
          <w:szCs w:val="24"/>
        </w:rPr>
      </w:pPr>
      <w:r>
        <w:rPr>
          <w:rFonts w:ascii="Book Antiqua" w:hAnsi="Book Antiqua"/>
          <w:color w:val="000000"/>
          <w:sz w:val="24"/>
          <w:szCs w:val="24"/>
        </w:rPr>
        <w:lastRenderedPageBreak/>
        <w:t>De esas orientaciones, 3,152 están relacionadas a asuntos energéticos.</w:t>
      </w:r>
    </w:p>
    <w:p w14:paraId="3927149E" w14:textId="70C45EB2" w:rsidR="00073F7F" w:rsidRDefault="00073F7F" w:rsidP="00560B27">
      <w:pPr>
        <w:pStyle w:val="ListParagraph"/>
        <w:numPr>
          <w:ilvl w:val="0"/>
          <w:numId w:val="10"/>
        </w:numPr>
        <w:spacing w:after="0" w:line="240" w:lineRule="auto"/>
        <w:jc w:val="both"/>
        <w:rPr>
          <w:rFonts w:ascii="Book Antiqua" w:hAnsi="Book Antiqua"/>
          <w:color w:val="000000"/>
          <w:sz w:val="24"/>
          <w:szCs w:val="24"/>
        </w:rPr>
      </w:pPr>
      <w:r>
        <w:rPr>
          <w:rFonts w:ascii="Book Antiqua" w:hAnsi="Book Antiqua"/>
          <w:color w:val="000000"/>
          <w:sz w:val="24"/>
          <w:szCs w:val="24"/>
        </w:rPr>
        <w:t>Atendiendo los reclamos de los consumidores puertorriqueños que han visto sus enseres dañados a causa de las fluctuaciones de voltaje de LUMA Energy,</w:t>
      </w:r>
      <w:r w:rsidR="007E344C">
        <w:rPr>
          <w:rFonts w:ascii="Book Antiqua" w:hAnsi="Book Antiqua"/>
          <w:color w:val="000000"/>
          <w:sz w:val="24"/>
          <w:szCs w:val="24"/>
        </w:rPr>
        <w:t xml:space="preserve"> han fungido como portavoces y les han orientado sobre sus derechos; para lo cual han desarrollado y distribuido folletos informativos.</w:t>
      </w:r>
    </w:p>
    <w:p w14:paraId="0AC3106C" w14:textId="376C34B0" w:rsidR="000F1464" w:rsidRDefault="000F1464" w:rsidP="00560B27">
      <w:pPr>
        <w:pStyle w:val="ListParagraph"/>
        <w:numPr>
          <w:ilvl w:val="0"/>
          <w:numId w:val="10"/>
        </w:numPr>
        <w:spacing w:after="0" w:line="240" w:lineRule="auto"/>
        <w:jc w:val="both"/>
        <w:rPr>
          <w:rFonts w:ascii="Book Antiqua" w:hAnsi="Book Antiqua"/>
          <w:color w:val="000000"/>
          <w:sz w:val="24"/>
          <w:szCs w:val="24"/>
        </w:rPr>
      </w:pPr>
      <w:r>
        <w:rPr>
          <w:rFonts w:ascii="Book Antiqua" w:hAnsi="Book Antiqua"/>
          <w:color w:val="000000"/>
          <w:sz w:val="24"/>
          <w:szCs w:val="24"/>
        </w:rPr>
        <w:t>Los consumidores afectados por fluctuaciones de voltaje e interrupciones de servicio el</w:t>
      </w:r>
      <w:r w:rsidR="000A06E8">
        <w:rPr>
          <w:rFonts w:ascii="Book Antiqua" w:hAnsi="Book Antiqua"/>
          <w:color w:val="000000"/>
          <w:sz w:val="24"/>
          <w:szCs w:val="24"/>
        </w:rPr>
        <w:t>éctrico tienen derecho a presentar sus reclamaciones ante LUMA</w:t>
      </w:r>
      <w:r w:rsidR="00114E04">
        <w:rPr>
          <w:rFonts w:ascii="Book Antiqua" w:hAnsi="Book Antiqua"/>
          <w:color w:val="000000"/>
          <w:sz w:val="24"/>
          <w:szCs w:val="24"/>
        </w:rPr>
        <w:t>, por lo cual les orientan para que completen formulario de Informe de Investigación</w:t>
      </w:r>
      <w:r w:rsidR="00E54C54">
        <w:rPr>
          <w:rFonts w:ascii="Book Antiqua" w:hAnsi="Book Antiqua"/>
          <w:color w:val="000000"/>
          <w:sz w:val="24"/>
          <w:szCs w:val="24"/>
        </w:rPr>
        <w:t xml:space="preserve"> de Reclamaciones por Daños a la Propiedad”</w:t>
      </w:r>
      <w:r w:rsidR="000A06E8">
        <w:rPr>
          <w:rFonts w:ascii="Book Antiqua" w:hAnsi="Book Antiqua"/>
          <w:color w:val="000000"/>
          <w:sz w:val="24"/>
          <w:szCs w:val="24"/>
        </w:rPr>
        <w:t>.</w:t>
      </w:r>
    </w:p>
    <w:p w14:paraId="6A0E8852" w14:textId="69FBB61D" w:rsidR="000A06E8" w:rsidRDefault="0088037B" w:rsidP="00560B27">
      <w:pPr>
        <w:pStyle w:val="ListParagraph"/>
        <w:numPr>
          <w:ilvl w:val="0"/>
          <w:numId w:val="10"/>
        </w:numPr>
        <w:spacing w:after="0" w:line="240" w:lineRule="auto"/>
        <w:jc w:val="both"/>
        <w:rPr>
          <w:rFonts w:ascii="Book Antiqua" w:hAnsi="Book Antiqua"/>
          <w:color w:val="000000"/>
          <w:sz w:val="24"/>
          <w:szCs w:val="24"/>
        </w:rPr>
      </w:pPr>
      <w:r>
        <w:rPr>
          <w:rFonts w:ascii="Book Antiqua" w:hAnsi="Book Antiqua"/>
          <w:color w:val="000000"/>
          <w:sz w:val="24"/>
          <w:szCs w:val="24"/>
        </w:rPr>
        <w:t>Para completar la reclamación, resulta necesario que se acompa</w:t>
      </w:r>
      <w:r w:rsidR="00430942">
        <w:rPr>
          <w:rFonts w:ascii="Book Antiqua" w:hAnsi="Book Antiqua"/>
          <w:color w:val="000000"/>
          <w:sz w:val="24"/>
          <w:szCs w:val="24"/>
        </w:rPr>
        <w:t>ñe recibo, factura o el estimado en original preparado por un técnico o perito certificado</w:t>
      </w:r>
      <w:r w:rsidR="00CD2053">
        <w:rPr>
          <w:rFonts w:ascii="Book Antiqua" w:hAnsi="Book Antiqua"/>
          <w:color w:val="000000"/>
          <w:sz w:val="24"/>
          <w:szCs w:val="24"/>
        </w:rPr>
        <w:t>. Se debe detallar la labor, costo de piezas y materiales, el trabajo o equipo para la reparación de los daños o una certificación de pérdida total firmada por un técnico o perito certificado.</w:t>
      </w:r>
    </w:p>
    <w:p w14:paraId="5732FD1A" w14:textId="516A31EF" w:rsidR="00CD2053" w:rsidRDefault="00CD2053" w:rsidP="00560B27">
      <w:pPr>
        <w:pStyle w:val="ListParagraph"/>
        <w:numPr>
          <w:ilvl w:val="0"/>
          <w:numId w:val="10"/>
        </w:numPr>
        <w:spacing w:after="0" w:line="240" w:lineRule="auto"/>
        <w:jc w:val="both"/>
        <w:rPr>
          <w:rFonts w:ascii="Book Antiqua" w:hAnsi="Book Antiqua"/>
          <w:color w:val="000000"/>
          <w:sz w:val="24"/>
          <w:szCs w:val="24"/>
        </w:rPr>
      </w:pPr>
      <w:r>
        <w:rPr>
          <w:rFonts w:ascii="Book Antiqua" w:hAnsi="Book Antiqua"/>
          <w:color w:val="000000"/>
          <w:sz w:val="24"/>
          <w:szCs w:val="24"/>
        </w:rPr>
        <w:t>LUMA tiene noventa (90) días calendario para completar la reclamación.</w:t>
      </w:r>
    </w:p>
    <w:p w14:paraId="7CE04FF1" w14:textId="2437882D" w:rsidR="00CD2053" w:rsidRDefault="00936511" w:rsidP="00560B27">
      <w:pPr>
        <w:pStyle w:val="ListParagraph"/>
        <w:numPr>
          <w:ilvl w:val="0"/>
          <w:numId w:val="10"/>
        </w:numPr>
        <w:spacing w:after="0" w:line="240" w:lineRule="auto"/>
        <w:jc w:val="both"/>
        <w:rPr>
          <w:rFonts w:ascii="Book Antiqua" w:hAnsi="Book Antiqua"/>
          <w:color w:val="000000"/>
          <w:sz w:val="24"/>
          <w:szCs w:val="24"/>
        </w:rPr>
      </w:pPr>
      <w:r>
        <w:rPr>
          <w:rFonts w:ascii="Book Antiqua" w:hAnsi="Book Antiqua"/>
          <w:color w:val="000000"/>
          <w:sz w:val="24"/>
          <w:szCs w:val="24"/>
        </w:rPr>
        <w:t>La OIPC tiene jurisdicción para presentar querellas o recursos legales ante el Negociado de Energía</w:t>
      </w:r>
      <w:r w:rsidR="00206FEF">
        <w:rPr>
          <w:rFonts w:ascii="Book Antiqua" w:hAnsi="Book Antiqua"/>
          <w:color w:val="000000"/>
          <w:sz w:val="24"/>
          <w:szCs w:val="24"/>
        </w:rPr>
        <w:t xml:space="preserve">, </w:t>
      </w:r>
      <w:proofErr w:type="gramStart"/>
      <w:r w:rsidR="00206FEF">
        <w:rPr>
          <w:rFonts w:ascii="Book Antiqua" w:hAnsi="Book Antiqua"/>
          <w:color w:val="000000"/>
          <w:sz w:val="24"/>
          <w:szCs w:val="24"/>
        </w:rPr>
        <w:t>en relación a</w:t>
      </w:r>
      <w:proofErr w:type="gramEnd"/>
      <w:r w:rsidR="00206FEF">
        <w:rPr>
          <w:rFonts w:ascii="Book Antiqua" w:hAnsi="Book Antiqua"/>
          <w:color w:val="000000"/>
          <w:sz w:val="24"/>
          <w:szCs w:val="24"/>
        </w:rPr>
        <w:t xml:space="preserve"> controversias sobre cualquier asunto que afecte el servicio, ta</w:t>
      </w:r>
      <w:r w:rsidR="00435D5C">
        <w:rPr>
          <w:rFonts w:ascii="Book Antiqua" w:hAnsi="Book Antiqua"/>
          <w:color w:val="000000"/>
          <w:sz w:val="24"/>
          <w:szCs w:val="24"/>
        </w:rPr>
        <w:t>rifas, o que afecte los derechos de los clientes del servicio eléctrico.</w:t>
      </w:r>
    </w:p>
    <w:p w14:paraId="3B40A29C" w14:textId="73BCA664" w:rsidR="00435D5C" w:rsidRDefault="002B5CAD" w:rsidP="00560B27">
      <w:pPr>
        <w:pStyle w:val="ListParagraph"/>
        <w:numPr>
          <w:ilvl w:val="0"/>
          <w:numId w:val="10"/>
        </w:numPr>
        <w:spacing w:after="0" w:line="240" w:lineRule="auto"/>
        <w:jc w:val="both"/>
        <w:rPr>
          <w:rFonts w:ascii="Book Antiqua" w:hAnsi="Book Antiqua"/>
          <w:color w:val="000000"/>
          <w:sz w:val="24"/>
          <w:szCs w:val="24"/>
        </w:rPr>
      </w:pPr>
      <w:r>
        <w:rPr>
          <w:rFonts w:ascii="Book Antiqua" w:hAnsi="Book Antiqua"/>
          <w:color w:val="000000"/>
          <w:sz w:val="24"/>
          <w:szCs w:val="24"/>
        </w:rPr>
        <w:t>La OIPC está impedida de representar a los clientes en reclamaciones presentadas contra LUMA Energy</w:t>
      </w:r>
      <w:r w:rsidR="003468C5">
        <w:rPr>
          <w:rFonts w:ascii="Book Antiqua" w:hAnsi="Book Antiqua"/>
          <w:color w:val="000000"/>
          <w:sz w:val="24"/>
          <w:szCs w:val="24"/>
        </w:rPr>
        <w:t>, tal como lo son los casos de reclamaciones por daños a enseres, entre otras.</w:t>
      </w:r>
    </w:p>
    <w:p w14:paraId="648BCEE6" w14:textId="4B25AB2E" w:rsidR="00590933" w:rsidRDefault="00590933" w:rsidP="00560B27">
      <w:pPr>
        <w:pStyle w:val="ListParagraph"/>
        <w:numPr>
          <w:ilvl w:val="0"/>
          <w:numId w:val="10"/>
        </w:numPr>
        <w:spacing w:after="0" w:line="240" w:lineRule="auto"/>
        <w:jc w:val="both"/>
        <w:rPr>
          <w:rFonts w:ascii="Book Antiqua" w:hAnsi="Book Antiqua"/>
          <w:color w:val="000000"/>
          <w:sz w:val="24"/>
          <w:szCs w:val="24"/>
        </w:rPr>
      </w:pPr>
      <w:r>
        <w:rPr>
          <w:rFonts w:ascii="Book Antiqua" w:hAnsi="Book Antiqua"/>
          <w:color w:val="000000"/>
          <w:sz w:val="24"/>
          <w:szCs w:val="24"/>
        </w:rPr>
        <w:t xml:space="preserve">En lo que va de año, han atendido 738 consumidores quienes </w:t>
      </w:r>
      <w:r w:rsidR="007355C5">
        <w:rPr>
          <w:rFonts w:ascii="Book Antiqua" w:hAnsi="Book Antiqua"/>
          <w:color w:val="000000"/>
          <w:sz w:val="24"/>
          <w:szCs w:val="24"/>
        </w:rPr>
        <w:t>han procurado sus servicios al enfrentar este tipo de problemas; y los han orientado sobre el proceso a seguir.</w:t>
      </w:r>
      <w:r w:rsidR="003F0CD5">
        <w:rPr>
          <w:rFonts w:ascii="Book Antiqua" w:hAnsi="Book Antiqua"/>
          <w:color w:val="000000"/>
          <w:sz w:val="24"/>
          <w:szCs w:val="24"/>
        </w:rPr>
        <w:t xml:space="preserve"> Sobre esto, destacan que han logrado que LUMA corrija el problema el un 100% de los casos; mas no se ha logrado </w:t>
      </w:r>
      <w:r w:rsidR="00C50071">
        <w:rPr>
          <w:rFonts w:ascii="Book Antiqua" w:hAnsi="Book Antiqua"/>
          <w:color w:val="000000"/>
          <w:sz w:val="24"/>
          <w:szCs w:val="24"/>
        </w:rPr>
        <w:t>remediar</w:t>
      </w:r>
      <w:r w:rsidR="003F0CD5">
        <w:rPr>
          <w:rFonts w:ascii="Book Antiqua" w:hAnsi="Book Antiqua"/>
          <w:color w:val="000000"/>
          <w:sz w:val="24"/>
          <w:szCs w:val="24"/>
        </w:rPr>
        <w:t xml:space="preserve"> los daños. (Solo corrigen el problema de voltaje existente).</w:t>
      </w:r>
    </w:p>
    <w:p w14:paraId="3BC9445F" w14:textId="77777777" w:rsidR="007355C5" w:rsidRPr="00560B27" w:rsidRDefault="007355C5" w:rsidP="00AA3956">
      <w:pPr>
        <w:pStyle w:val="ListParagraph"/>
        <w:spacing w:after="0" w:line="240" w:lineRule="auto"/>
        <w:jc w:val="both"/>
        <w:rPr>
          <w:rFonts w:ascii="Book Antiqua" w:hAnsi="Book Antiqua"/>
          <w:color w:val="000000"/>
          <w:sz w:val="24"/>
          <w:szCs w:val="24"/>
        </w:rPr>
      </w:pPr>
    </w:p>
    <w:p w14:paraId="6B66A49B" w14:textId="77777777" w:rsidR="00E6738B" w:rsidRDefault="00E6738B" w:rsidP="007B3187">
      <w:pPr>
        <w:spacing w:after="0" w:line="240" w:lineRule="auto"/>
        <w:jc w:val="both"/>
        <w:rPr>
          <w:rFonts w:ascii="Book Antiqua" w:hAnsi="Book Antiqua"/>
          <w:b/>
          <w:bCs/>
          <w:color w:val="000000"/>
          <w:sz w:val="24"/>
          <w:szCs w:val="24"/>
          <w:u w:val="single"/>
        </w:rPr>
      </w:pPr>
    </w:p>
    <w:p w14:paraId="48D2DB06" w14:textId="497011C6" w:rsidR="00E6738B" w:rsidRDefault="00E6738B" w:rsidP="007B3187">
      <w:pPr>
        <w:spacing w:after="0" w:line="240" w:lineRule="auto"/>
        <w:jc w:val="both"/>
        <w:rPr>
          <w:rFonts w:ascii="Book Antiqua" w:hAnsi="Book Antiqua"/>
          <w:b/>
          <w:bCs/>
          <w:color w:val="000000"/>
          <w:sz w:val="24"/>
          <w:szCs w:val="24"/>
          <w:u w:val="single"/>
        </w:rPr>
      </w:pPr>
      <w:r>
        <w:rPr>
          <w:rFonts w:ascii="Book Antiqua" w:hAnsi="Book Antiqua"/>
          <w:b/>
          <w:bCs/>
          <w:color w:val="000000"/>
          <w:sz w:val="24"/>
          <w:szCs w:val="24"/>
          <w:u w:val="single"/>
        </w:rPr>
        <w:t>LUMA ENERGY</w:t>
      </w:r>
    </w:p>
    <w:p w14:paraId="4B712D4A" w14:textId="77777777" w:rsidR="00E6738B" w:rsidRDefault="00E6738B" w:rsidP="007B3187">
      <w:pPr>
        <w:spacing w:after="0" w:line="240" w:lineRule="auto"/>
        <w:jc w:val="both"/>
        <w:rPr>
          <w:rFonts w:ascii="Book Antiqua" w:hAnsi="Book Antiqua"/>
          <w:b/>
          <w:bCs/>
          <w:color w:val="000000"/>
          <w:sz w:val="24"/>
          <w:szCs w:val="24"/>
          <w:u w:val="single"/>
        </w:rPr>
      </w:pPr>
    </w:p>
    <w:p w14:paraId="34D42D3A" w14:textId="212F3088" w:rsidR="00836722" w:rsidRDefault="00836722" w:rsidP="00775B08">
      <w:pPr>
        <w:spacing w:after="0" w:line="240" w:lineRule="auto"/>
        <w:ind w:firstLine="708"/>
        <w:jc w:val="both"/>
        <w:rPr>
          <w:rFonts w:ascii="Book Antiqua" w:hAnsi="Book Antiqua"/>
          <w:color w:val="000000"/>
          <w:sz w:val="24"/>
          <w:szCs w:val="24"/>
        </w:rPr>
      </w:pPr>
      <w:r>
        <w:rPr>
          <w:rFonts w:ascii="Book Antiqua" w:hAnsi="Book Antiqua"/>
          <w:color w:val="000000"/>
          <w:sz w:val="24"/>
          <w:szCs w:val="24"/>
        </w:rPr>
        <w:t xml:space="preserve">LUMA Energy, por conducto de su directora </w:t>
      </w:r>
      <w:r w:rsidR="006A100B">
        <w:rPr>
          <w:rFonts w:ascii="Book Antiqua" w:hAnsi="Book Antiqua"/>
          <w:color w:val="000000"/>
          <w:sz w:val="24"/>
          <w:szCs w:val="24"/>
        </w:rPr>
        <w:t>de Asuntos de las Partes Interesadas e Interventores</w:t>
      </w:r>
      <w:r>
        <w:rPr>
          <w:rFonts w:ascii="Book Antiqua" w:hAnsi="Book Antiqua"/>
          <w:color w:val="000000"/>
          <w:sz w:val="24"/>
          <w:szCs w:val="24"/>
        </w:rPr>
        <w:t xml:space="preserve">, </w:t>
      </w:r>
      <w:r w:rsidR="006A100B">
        <w:rPr>
          <w:rFonts w:ascii="Book Antiqua" w:hAnsi="Book Antiqua"/>
          <w:color w:val="000000"/>
          <w:sz w:val="24"/>
          <w:szCs w:val="24"/>
        </w:rPr>
        <w:t>Rebeca Maldonado Morales</w:t>
      </w:r>
      <w:r>
        <w:rPr>
          <w:rFonts w:ascii="Book Antiqua" w:hAnsi="Book Antiqua"/>
          <w:color w:val="000000"/>
          <w:sz w:val="24"/>
          <w:szCs w:val="24"/>
        </w:rPr>
        <w:t>, presentó cometarios por escrito, de los cuales se desprenden los siguientes hallazgos:</w:t>
      </w:r>
    </w:p>
    <w:p w14:paraId="08E0A9E5" w14:textId="0C556ED6" w:rsidR="0034248B" w:rsidRDefault="0034248B" w:rsidP="0034248B">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color w:val="000000"/>
          <w:sz w:val="24"/>
          <w:szCs w:val="24"/>
        </w:rPr>
        <w:t>Sostienen que es de conocimiento general la frágil</w:t>
      </w:r>
      <w:r w:rsidR="00042087">
        <w:rPr>
          <w:rFonts w:ascii="Book Antiqua" w:hAnsi="Book Antiqua"/>
          <w:color w:val="000000"/>
          <w:sz w:val="24"/>
          <w:szCs w:val="24"/>
        </w:rPr>
        <w:t xml:space="preserve"> condición en que se encuentra el sistema eléctrico de Puerto Rico, debido a la falta de mantenimiento </w:t>
      </w:r>
      <w:r w:rsidR="003C086B">
        <w:rPr>
          <w:rFonts w:ascii="Book Antiqua" w:hAnsi="Book Antiqua"/>
          <w:color w:val="000000"/>
          <w:sz w:val="24"/>
          <w:szCs w:val="24"/>
        </w:rPr>
        <w:t>necesario</w:t>
      </w:r>
      <w:r w:rsidR="00B202DD">
        <w:rPr>
          <w:rFonts w:ascii="Book Antiqua" w:hAnsi="Book Antiqua"/>
          <w:color w:val="000000"/>
          <w:sz w:val="24"/>
          <w:szCs w:val="24"/>
        </w:rPr>
        <w:t>;</w:t>
      </w:r>
      <w:r w:rsidR="003C086B">
        <w:rPr>
          <w:rFonts w:ascii="Book Antiqua" w:hAnsi="Book Antiqua"/>
          <w:color w:val="000000"/>
          <w:sz w:val="24"/>
          <w:szCs w:val="24"/>
        </w:rPr>
        <w:t xml:space="preserve"> situación que se </w:t>
      </w:r>
      <w:r w:rsidR="00B202DD">
        <w:rPr>
          <w:rFonts w:ascii="Book Antiqua" w:hAnsi="Book Antiqua"/>
          <w:color w:val="000000"/>
          <w:sz w:val="24"/>
          <w:szCs w:val="24"/>
        </w:rPr>
        <w:t>agravó</w:t>
      </w:r>
      <w:r w:rsidR="003C086B">
        <w:rPr>
          <w:rFonts w:ascii="Book Antiqua" w:hAnsi="Book Antiqua"/>
          <w:color w:val="000000"/>
          <w:sz w:val="24"/>
          <w:szCs w:val="24"/>
        </w:rPr>
        <w:t xml:space="preserve"> por el impacto de desastres naturales que </w:t>
      </w:r>
      <w:r w:rsidR="00B202DD">
        <w:rPr>
          <w:rFonts w:ascii="Book Antiqua" w:hAnsi="Book Antiqua"/>
          <w:color w:val="000000"/>
          <w:sz w:val="24"/>
          <w:szCs w:val="24"/>
        </w:rPr>
        <w:t>causaron daños significativos en la infraestructura eléctrica.</w:t>
      </w:r>
    </w:p>
    <w:p w14:paraId="70D4FC8D" w14:textId="30C00538" w:rsidR="00B202DD" w:rsidRDefault="00365EF8" w:rsidP="0034248B">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color w:val="000000"/>
          <w:sz w:val="24"/>
          <w:szCs w:val="24"/>
        </w:rPr>
        <w:t>Sostienen que en todo el mundo pueden ocurrir fluctuaciones de energía eléctrica y se pueden afectar los equipos que no se encuentren protegidos.</w:t>
      </w:r>
    </w:p>
    <w:p w14:paraId="5B9D1077" w14:textId="5B28F41F" w:rsidR="00365EF8" w:rsidRDefault="0063739F" w:rsidP="0034248B">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color w:val="000000"/>
          <w:sz w:val="24"/>
          <w:szCs w:val="24"/>
        </w:rPr>
        <w:t>Atribuyen l</w:t>
      </w:r>
      <w:r w:rsidR="00042A23">
        <w:rPr>
          <w:rFonts w:ascii="Book Antiqua" w:hAnsi="Book Antiqua"/>
          <w:color w:val="000000"/>
          <w:sz w:val="24"/>
          <w:szCs w:val="24"/>
        </w:rPr>
        <w:t xml:space="preserve">os principales problemas de voltaje a causas estructurales y operativas que incluyen: </w:t>
      </w:r>
      <w:r w:rsidR="00010035" w:rsidRPr="00010035">
        <w:rPr>
          <w:rFonts w:ascii="Book Antiqua" w:hAnsi="Book Antiqua"/>
          <w:color w:val="000000"/>
          <w:sz w:val="24"/>
          <w:szCs w:val="24"/>
        </w:rPr>
        <w:t xml:space="preserve">(i) caídas de voltaje por impedancia de los conductores a lo largo de </w:t>
      </w:r>
      <w:r w:rsidR="00010035" w:rsidRPr="00010035">
        <w:rPr>
          <w:rFonts w:ascii="Book Antiqua" w:hAnsi="Book Antiqua"/>
          <w:color w:val="000000"/>
          <w:sz w:val="24"/>
          <w:szCs w:val="24"/>
        </w:rPr>
        <w:lastRenderedPageBreak/>
        <w:t>los alimentadores, (</w:t>
      </w:r>
      <w:proofErr w:type="spellStart"/>
      <w:r w:rsidR="00010035" w:rsidRPr="00010035">
        <w:rPr>
          <w:rFonts w:ascii="Book Antiqua" w:hAnsi="Book Antiqua"/>
          <w:color w:val="000000"/>
          <w:sz w:val="24"/>
          <w:szCs w:val="24"/>
        </w:rPr>
        <w:t>ii</w:t>
      </w:r>
      <w:proofErr w:type="spellEnd"/>
      <w:r w:rsidR="00010035" w:rsidRPr="00010035">
        <w:rPr>
          <w:rFonts w:ascii="Book Antiqua" w:hAnsi="Book Antiqua"/>
          <w:color w:val="000000"/>
          <w:sz w:val="24"/>
          <w:szCs w:val="24"/>
        </w:rPr>
        <w:t>) desequilibrios de carga trifásica, fallas en equipos de regulación, como transformadores con cambiadores de derivación bajo carga (“LTC”, por sus siglas en inglés) fuera de servicio, o bancos de capacitadores inactivos, (</w:t>
      </w:r>
      <w:proofErr w:type="spellStart"/>
      <w:r w:rsidR="00010035" w:rsidRPr="00010035">
        <w:rPr>
          <w:rFonts w:ascii="Book Antiqua" w:hAnsi="Book Antiqua"/>
          <w:color w:val="000000"/>
          <w:sz w:val="24"/>
          <w:szCs w:val="24"/>
        </w:rPr>
        <w:t>iii</w:t>
      </w:r>
      <w:proofErr w:type="spellEnd"/>
      <w:r w:rsidR="00010035" w:rsidRPr="00010035">
        <w:rPr>
          <w:rFonts w:ascii="Book Antiqua" w:hAnsi="Book Antiqua"/>
          <w:color w:val="000000"/>
          <w:sz w:val="24"/>
          <w:szCs w:val="24"/>
        </w:rPr>
        <w:t>) interferencia externa, como contacto de vegetación, animales o rayos, con líneas energizadas y (</w:t>
      </w:r>
      <w:proofErr w:type="spellStart"/>
      <w:r w:rsidR="00010035" w:rsidRPr="00010035">
        <w:rPr>
          <w:rFonts w:ascii="Book Antiqua" w:hAnsi="Book Antiqua"/>
          <w:color w:val="000000"/>
          <w:sz w:val="24"/>
          <w:szCs w:val="24"/>
        </w:rPr>
        <w:t>iv</w:t>
      </w:r>
      <w:proofErr w:type="spellEnd"/>
      <w:r w:rsidR="00010035" w:rsidRPr="00010035">
        <w:rPr>
          <w:rFonts w:ascii="Book Antiqua" w:hAnsi="Book Antiqua"/>
          <w:color w:val="000000"/>
          <w:sz w:val="24"/>
          <w:szCs w:val="24"/>
        </w:rPr>
        <w:t>) problemas internos del cliente, tales como instalaciones deficientes de sistemas fotovoltaicos o equipos defectuosos, entre otros.</w:t>
      </w:r>
    </w:p>
    <w:p w14:paraId="74487758" w14:textId="50577B93" w:rsidR="00010035" w:rsidRDefault="00010035" w:rsidP="0034248B">
      <w:pPr>
        <w:pStyle w:val="ListParagraph"/>
        <w:numPr>
          <w:ilvl w:val="0"/>
          <w:numId w:val="12"/>
        </w:numPr>
        <w:spacing w:after="0" w:line="240" w:lineRule="auto"/>
        <w:jc w:val="both"/>
        <w:rPr>
          <w:rFonts w:ascii="Book Antiqua" w:hAnsi="Book Antiqua"/>
          <w:color w:val="000000"/>
          <w:sz w:val="24"/>
          <w:szCs w:val="24"/>
        </w:rPr>
      </w:pPr>
      <w:r w:rsidRPr="00010035">
        <w:rPr>
          <w:rFonts w:ascii="Book Antiqua" w:hAnsi="Book Antiqua"/>
          <w:color w:val="000000"/>
          <w:sz w:val="24"/>
          <w:szCs w:val="24"/>
        </w:rPr>
        <w:t>Los tipos más comunes de fluctuaciones de voltaje incluyen:</w:t>
      </w:r>
    </w:p>
    <w:p w14:paraId="5BCA3179" w14:textId="1C618522" w:rsidR="00010035" w:rsidRDefault="006C5D0C" w:rsidP="00010035">
      <w:pPr>
        <w:pStyle w:val="ListParagraph"/>
        <w:numPr>
          <w:ilvl w:val="1"/>
          <w:numId w:val="12"/>
        </w:numPr>
        <w:spacing w:after="0" w:line="240" w:lineRule="auto"/>
        <w:jc w:val="both"/>
        <w:rPr>
          <w:rFonts w:ascii="Book Antiqua" w:hAnsi="Book Antiqua"/>
          <w:color w:val="000000"/>
          <w:sz w:val="24"/>
          <w:szCs w:val="24"/>
        </w:rPr>
      </w:pPr>
      <w:r w:rsidRPr="006C5D0C">
        <w:rPr>
          <w:rFonts w:ascii="Book Antiqua" w:hAnsi="Book Antiqua"/>
          <w:color w:val="000000"/>
          <w:sz w:val="24"/>
          <w:szCs w:val="24"/>
        </w:rPr>
        <w:t>Momentáneas: causadas por eventos transitorios en la red</w:t>
      </w:r>
    </w:p>
    <w:p w14:paraId="6F92C144" w14:textId="29E1E067" w:rsidR="006C5D0C" w:rsidRDefault="002B4D4B" w:rsidP="00010035">
      <w:pPr>
        <w:pStyle w:val="ListParagraph"/>
        <w:numPr>
          <w:ilvl w:val="1"/>
          <w:numId w:val="12"/>
        </w:numPr>
        <w:spacing w:after="0" w:line="240" w:lineRule="auto"/>
        <w:jc w:val="both"/>
        <w:rPr>
          <w:rFonts w:ascii="Book Antiqua" w:hAnsi="Book Antiqua"/>
          <w:color w:val="000000"/>
          <w:sz w:val="24"/>
          <w:szCs w:val="24"/>
        </w:rPr>
      </w:pPr>
      <w:r w:rsidRPr="002B4D4B">
        <w:rPr>
          <w:rFonts w:ascii="Book Antiqua" w:hAnsi="Book Antiqua"/>
          <w:color w:val="000000"/>
          <w:sz w:val="24"/>
          <w:szCs w:val="24"/>
        </w:rPr>
        <w:t>Periódicas: relacionadas con condiciones ambientales cíclicas</w:t>
      </w:r>
    </w:p>
    <w:p w14:paraId="30BD5F3C" w14:textId="73B47219" w:rsidR="00691A41" w:rsidRDefault="00F15D08" w:rsidP="00010035">
      <w:pPr>
        <w:pStyle w:val="ListParagraph"/>
        <w:numPr>
          <w:ilvl w:val="1"/>
          <w:numId w:val="12"/>
        </w:numPr>
        <w:spacing w:after="0" w:line="240" w:lineRule="auto"/>
        <w:jc w:val="both"/>
        <w:rPr>
          <w:rFonts w:ascii="Book Antiqua" w:hAnsi="Book Antiqua"/>
          <w:color w:val="000000"/>
          <w:sz w:val="24"/>
          <w:szCs w:val="24"/>
        </w:rPr>
      </w:pPr>
      <w:r w:rsidRPr="00F15D08">
        <w:rPr>
          <w:rFonts w:ascii="Book Antiqua" w:hAnsi="Book Antiqua"/>
          <w:color w:val="000000"/>
          <w:sz w:val="24"/>
          <w:szCs w:val="24"/>
        </w:rPr>
        <w:t>Sostenidas: voltajes crónicamente altos o bajos, que requieren intervención técnica</w:t>
      </w:r>
    </w:p>
    <w:p w14:paraId="4E9AAF2B" w14:textId="683EDFAC" w:rsidR="00F15D08" w:rsidRDefault="00F15D08" w:rsidP="00F15D08">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color w:val="000000"/>
          <w:sz w:val="24"/>
          <w:szCs w:val="24"/>
        </w:rPr>
        <w:t xml:space="preserve">Una particularidad que presenta LUMA es que indican que </w:t>
      </w:r>
      <w:r w:rsidR="00A80C87" w:rsidRPr="00A80C87">
        <w:rPr>
          <w:rFonts w:ascii="Book Antiqua" w:hAnsi="Book Antiqua"/>
          <w:color w:val="000000"/>
          <w:sz w:val="24"/>
          <w:szCs w:val="24"/>
        </w:rPr>
        <w:t>crecimiento exponencial de Recursos Energéticos Distribuidos (“DER”, por sus siglas en inglés), particularmente sistemas fotovoltaicos residenciales y comerciales, ha modificado el comportamiento del sistema eléctrico de distribución.</w:t>
      </w:r>
    </w:p>
    <w:p w14:paraId="45B2E37C" w14:textId="3FB274F0" w:rsidR="00F649D4" w:rsidRDefault="00F649D4" w:rsidP="00F15D08">
      <w:pPr>
        <w:pStyle w:val="ListParagraph"/>
        <w:numPr>
          <w:ilvl w:val="0"/>
          <w:numId w:val="12"/>
        </w:numPr>
        <w:spacing w:after="0" w:line="240" w:lineRule="auto"/>
        <w:jc w:val="both"/>
        <w:rPr>
          <w:rFonts w:ascii="Book Antiqua" w:hAnsi="Book Antiqua"/>
          <w:color w:val="000000"/>
          <w:sz w:val="24"/>
          <w:szCs w:val="24"/>
        </w:rPr>
      </w:pPr>
      <w:r w:rsidRPr="00F649D4">
        <w:rPr>
          <w:rFonts w:ascii="Book Antiqua" w:hAnsi="Book Antiqua"/>
          <w:color w:val="000000"/>
          <w:sz w:val="24"/>
          <w:szCs w:val="24"/>
        </w:rPr>
        <w:t>Entre los principales impactos se destacan los siguientes:</w:t>
      </w:r>
    </w:p>
    <w:p w14:paraId="73AC8575" w14:textId="6A83184B" w:rsidR="00F649D4" w:rsidRDefault="00F07A77" w:rsidP="00F649D4">
      <w:pPr>
        <w:pStyle w:val="ListParagraph"/>
        <w:numPr>
          <w:ilvl w:val="1"/>
          <w:numId w:val="12"/>
        </w:numPr>
        <w:spacing w:after="0" w:line="240" w:lineRule="auto"/>
        <w:jc w:val="both"/>
        <w:rPr>
          <w:rFonts w:ascii="Book Antiqua" w:hAnsi="Book Antiqua"/>
          <w:color w:val="000000"/>
          <w:sz w:val="24"/>
          <w:szCs w:val="24"/>
        </w:rPr>
      </w:pPr>
      <w:r w:rsidRPr="00F07A77">
        <w:rPr>
          <w:rFonts w:ascii="Book Antiqua" w:hAnsi="Book Antiqua"/>
          <w:color w:val="000000"/>
          <w:sz w:val="24"/>
          <w:szCs w:val="24"/>
        </w:rPr>
        <w:t>Inyección de potencia activa por parte de inversores solares, elevando localmente el voltaje en períodos de baja carga</w:t>
      </w:r>
    </w:p>
    <w:p w14:paraId="1D43F2A7" w14:textId="63964EC9" w:rsidR="00F07A77" w:rsidRDefault="00B0515B" w:rsidP="00F649D4">
      <w:pPr>
        <w:pStyle w:val="ListParagraph"/>
        <w:numPr>
          <w:ilvl w:val="1"/>
          <w:numId w:val="12"/>
        </w:numPr>
        <w:spacing w:after="0" w:line="240" w:lineRule="auto"/>
        <w:jc w:val="both"/>
        <w:rPr>
          <w:rFonts w:ascii="Book Antiqua" w:hAnsi="Book Antiqua"/>
          <w:color w:val="000000"/>
          <w:sz w:val="24"/>
          <w:szCs w:val="24"/>
        </w:rPr>
      </w:pPr>
      <w:r w:rsidRPr="00B0515B">
        <w:rPr>
          <w:rFonts w:ascii="Book Antiqua" w:hAnsi="Book Antiqua"/>
          <w:color w:val="000000"/>
          <w:sz w:val="24"/>
          <w:szCs w:val="24"/>
        </w:rPr>
        <w:t>Acumulación de sobrevoltajes sostenidos en áreas con alta penetración fotovoltaica, principalmente durante las horas de mayor radiación solar y menor consumo</w:t>
      </w:r>
    </w:p>
    <w:p w14:paraId="32FCA7BA" w14:textId="60406665" w:rsidR="00B0515B" w:rsidRDefault="00B0515B" w:rsidP="00F649D4">
      <w:pPr>
        <w:pStyle w:val="ListParagraph"/>
        <w:numPr>
          <w:ilvl w:val="1"/>
          <w:numId w:val="12"/>
        </w:numPr>
        <w:spacing w:after="0" w:line="240" w:lineRule="auto"/>
        <w:jc w:val="both"/>
        <w:rPr>
          <w:rFonts w:ascii="Book Antiqua" w:hAnsi="Book Antiqua"/>
          <w:color w:val="000000"/>
          <w:sz w:val="24"/>
          <w:szCs w:val="24"/>
        </w:rPr>
      </w:pPr>
      <w:r w:rsidRPr="00B0515B">
        <w:rPr>
          <w:rFonts w:ascii="Book Antiqua" w:hAnsi="Book Antiqua"/>
          <w:color w:val="000000"/>
          <w:sz w:val="24"/>
          <w:szCs w:val="24"/>
        </w:rPr>
        <w:t>Dificultad en la planificación y control del sistema debido al marco legal actual, que permite interconexión automática para sistemas menores de 25 kW sin revisión técnica previa</w:t>
      </w:r>
    </w:p>
    <w:p w14:paraId="589BA177" w14:textId="025C3E50" w:rsidR="00B0515B" w:rsidRDefault="00C63760" w:rsidP="00B0515B">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color w:val="000000"/>
          <w:sz w:val="24"/>
          <w:szCs w:val="24"/>
        </w:rPr>
        <w:t>La Ley 114-2007 les exige evaluar las solicitudes de interconexión dentro del término de treinta (30) días, desde radicada la misma</w:t>
      </w:r>
      <w:r w:rsidR="00C520BA">
        <w:rPr>
          <w:rFonts w:ascii="Book Antiqua" w:hAnsi="Book Antiqua"/>
          <w:color w:val="000000"/>
          <w:sz w:val="24"/>
          <w:szCs w:val="24"/>
        </w:rPr>
        <w:t xml:space="preserve"> y, si no cumplen con ese término, la solicitud de interconexión se aprueba automáticamente hasta que se fundamenten razones para denegar la interconexión.</w:t>
      </w:r>
    </w:p>
    <w:p w14:paraId="084FC004" w14:textId="79B1F191" w:rsidR="00C5556C" w:rsidRDefault="00C5556C" w:rsidP="00B0515B">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color w:val="000000"/>
          <w:sz w:val="24"/>
          <w:szCs w:val="24"/>
        </w:rPr>
        <w:t xml:space="preserve">El </w:t>
      </w:r>
      <w:r w:rsidR="002E1CD3" w:rsidRPr="002E1CD3">
        <w:rPr>
          <w:rFonts w:ascii="Book Antiqua" w:hAnsi="Book Antiqua"/>
          <w:color w:val="000000"/>
          <w:sz w:val="24"/>
          <w:szCs w:val="24"/>
        </w:rPr>
        <w:t>Reglamento Núm. 8915 de la AEE requiere la realización de estudios suplementarios para evaluar la capacidad del sistema de distribución y determinar si es necesario realizar mejoras para permitir la interconexión de sistemas</w:t>
      </w:r>
      <w:r w:rsidR="002E1CD3">
        <w:rPr>
          <w:rFonts w:ascii="Book Antiqua" w:hAnsi="Book Antiqua"/>
          <w:color w:val="000000"/>
          <w:sz w:val="24"/>
          <w:szCs w:val="24"/>
        </w:rPr>
        <w:t>.</w:t>
      </w:r>
    </w:p>
    <w:p w14:paraId="5925333F" w14:textId="23154AB0" w:rsidR="002E1CD3" w:rsidRDefault="0028263E" w:rsidP="00B0515B">
      <w:pPr>
        <w:pStyle w:val="ListParagraph"/>
        <w:numPr>
          <w:ilvl w:val="0"/>
          <w:numId w:val="12"/>
        </w:numPr>
        <w:spacing w:after="0" w:line="240" w:lineRule="auto"/>
        <w:jc w:val="both"/>
        <w:rPr>
          <w:rFonts w:ascii="Book Antiqua" w:hAnsi="Book Antiqua"/>
          <w:color w:val="000000"/>
          <w:sz w:val="24"/>
          <w:szCs w:val="24"/>
        </w:rPr>
      </w:pPr>
      <w:r w:rsidRPr="0028263E">
        <w:rPr>
          <w:rFonts w:ascii="Book Antiqua" w:hAnsi="Book Antiqua"/>
          <w:color w:val="000000"/>
          <w:sz w:val="24"/>
          <w:szCs w:val="24"/>
        </w:rPr>
        <w:t>Estos retos técnicos han sido documentados por LUMA ante el NEPR, particularmente los impactos acumulativos de la proliferación de sistemas de generación distribuida bajo esquemas de interconexión automática.</w:t>
      </w:r>
    </w:p>
    <w:p w14:paraId="0A6F6126" w14:textId="71A181B8" w:rsidR="0028263E" w:rsidRDefault="00F00F54" w:rsidP="00B0515B">
      <w:pPr>
        <w:pStyle w:val="ListParagraph"/>
        <w:numPr>
          <w:ilvl w:val="0"/>
          <w:numId w:val="12"/>
        </w:numPr>
        <w:spacing w:after="0" w:line="240" w:lineRule="auto"/>
        <w:jc w:val="both"/>
        <w:rPr>
          <w:rFonts w:ascii="Book Antiqua" w:hAnsi="Book Antiqua"/>
          <w:color w:val="000000"/>
          <w:sz w:val="24"/>
          <w:szCs w:val="24"/>
        </w:rPr>
      </w:pPr>
      <w:r w:rsidRPr="00F00F54">
        <w:rPr>
          <w:rFonts w:ascii="Book Antiqua" w:hAnsi="Book Antiqua"/>
          <w:color w:val="000000"/>
          <w:sz w:val="24"/>
          <w:szCs w:val="24"/>
        </w:rPr>
        <w:t>Actualmente existen más de 158,000 sistemas de generación distribuida interconectados que, en conjunto, superan 1 GW de capacidad, lo cual ha provocado sobrecargas en transformadores de servicio, condiciones de sobrevoltaje y flujos de potencia inversos en múltiples alimentadores.3 En promedio, se registraron más de 4,690 activaciones mensuales de generación distribuida durante el periodo de enero a marzo 2025</w:t>
      </w:r>
      <w:r>
        <w:rPr>
          <w:rFonts w:ascii="Book Antiqua" w:hAnsi="Book Antiqua"/>
          <w:color w:val="000000"/>
          <w:sz w:val="24"/>
          <w:szCs w:val="24"/>
        </w:rPr>
        <w:t>.</w:t>
      </w:r>
    </w:p>
    <w:p w14:paraId="11AB3F21" w14:textId="6B2FD26A" w:rsidR="00F00F54" w:rsidRDefault="00176C61" w:rsidP="00B0515B">
      <w:pPr>
        <w:pStyle w:val="ListParagraph"/>
        <w:numPr>
          <w:ilvl w:val="0"/>
          <w:numId w:val="12"/>
        </w:numPr>
        <w:spacing w:after="0" w:line="240" w:lineRule="auto"/>
        <w:jc w:val="both"/>
        <w:rPr>
          <w:rFonts w:ascii="Book Antiqua" w:hAnsi="Book Antiqua"/>
          <w:color w:val="000000"/>
          <w:sz w:val="24"/>
          <w:szCs w:val="24"/>
        </w:rPr>
      </w:pPr>
      <w:r w:rsidRPr="00176C61">
        <w:rPr>
          <w:rFonts w:ascii="Book Antiqua" w:hAnsi="Book Antiqua"/>
          <w:color w:val="000000"/>
          <w:sz w:val="24"/>
          <w:szCs w:val="24"/>
        </w:rPr>
        <w:lastRenderedPageBreak/>
        <w:t>Puerto Rico ocupó la posición núm. dos (2) a nivel nacional en cantidad de sistemas de generación distribuida interconectados, según los datos disponibles hasta febrero de 2025</w:t>
      </w:r>
      <w:r w:rsidR="006E7102">
        <w:rPr>
          <w:rFonts w:ascii="Book Antiqua" w:hAnsi="Book Antiqua"/>
          <w:color w:val="000000"/>
          <w:sz w:val="24"/>
          <w:szCs w:val="24"/>
        </w:rPr>
        <w:t xml:space="preserve">, lo que limita </w:t>
      </w:r>
      <w:r w:rsidR="00F56B36" w:rsidRPr="00F56B36">
        <w:rPr>
          <w:rFonts w:ascii="Book Antiqua" w:hAnsi="Book Antiqua"/>
          <w:color w:val="000000"/>
          <w:sz w:val="24"/>
          <w:szCs w:val="24"/>
        </w:rPr>
        <w:t>a capacidad de LUMA para realizar una planificación proactiva de la gestión de tensión, ya que no es posible predecir con exactitud dónde o cuándo se interconectarán nuevos sistemas</w:t>
      </w:r>
      <w:r w:rsidR="00F56B36">
        <w:rPr>
          <w:rFonts w:ascii="Book Antiqua" w:hAnsi="Book Antiqua"/>
          <w:color w:val="000000"/>
          <w:sz w:val="24"/>
          <w:szCs w:val="24"/>
        </w:rPr>
        <w:t>.</w:t>
      </w:r>
    </w:p>
    <w:p w14:paraId="5E24E959" w14:textId="3540D4BD" w:rsidR="00F56B36" w:rsidRDefault="00F6639A" w:rsidP="00B0515B">
      <w:pPr>
        <w:pStyle w:val="ListParagraph"/>
        <w:numPr>
          <w:ilvl w:val="0"/>
          <w:numId w:val="12"/>
        </w:numPr>
        <w:spacing w:after="0" w:line="240" w:lineRule="auto"/>
        <w:jc w:val="both"/>
        <w:rPr>
          <w:rFonts w:ascii="Book Antiqua" w:hAnsi="Book Antiqua"/>
          <w:color w:val="000000"/>
          <w:sz w:val="24"/>
          <w:szCs w:val="24"/>
        </w:rPr>
      </w:pPr>
      <w:r w:rsidRPr="00F6639A">
        <w:rPr>
          <w:rFonts w:ascii="Book Antiqua" w:hAnsi="Book Antiqua"/>
          <w:color w:val="000000"/>
          <w:sz w:val="24"/>
          <w:szCs w:val="24"/>
        </w:rPr>
        <w:t>Actualmente, LUMA utiliza un conjunto tradicional de equipos de regulación de tensión para administrar el voltaje de los circuitos y la demanda de potencia reactiva, incluyendo:</w:t>
      </w:r>
    </w:p>
    <w:p w14:paraId="702154FF" w14:textId="39C2BAC9" w:rsidR="00F6639A" w:rsidRDefault="00E731C8" w:rsidP="00F6639A">
      <w:pPr>
        <w:pStyle w:val="ListParagraph"/>
        <w:numPr>
          <w:ilvl w:val="1"/>
          <w:numId w:val="12"/>
        </w:numPr>
        <w:spacing w:after="0" w:line="240" w:lineRule="auto"/>
        <w:jc w:val="both"/>
        <w:rPr>
          <w:rFonts w:ascii="Book Antiqua" w:hAnsi="Book Antiqua"/>
          <w:color w:val="000000"/>
          <w:sz w:val="24"/>
          <w:szCs w:val="24"/>
        </w:rPr>
      </w:pPr>
      <w:r w:rsidRPr="00E731C8">
        <w:rPr>
          <w:rFonts w:ascii="Book Antiqua" w:hAnsi="Book Antiqua"/>
          <w:color w:val="000000"/>
          <w:sz w:val="24"/>
          <w:szCs w:val="24"/>
        </w:rPr>
        <w:t xml:space="preserve">Transformadores con </w:t>
      </w:r>
      <w:proofErr w:type="spellStart"/>
      <w:r w:rsidRPr="00E731C8">
        <w:rPr>
          <w:rFonts w:ascii="Book Antiqua" w:hAnsi="Book Antiqua"/>
          <w:color w:val="000000"/>
          <w:sz w:val="24"/>
          <w:szCs w:val="24"/>
        </w:rPr>
        <w:t>LTCs</w:t>
      </w:r>
      <w:proofErr w:type="spellEnd"/>
      <w:r w:rsidRPr="00E731C8">
        <w:rPr>
          <w:rFonts w:ascii="Book Antiqua" w:hAnsi="Book Antiqua"/>
          <w:color w:val="000000"/>
          <w:sz w:val="24"/>
          <w:szCs w:val="24"/>
        </w:rPr>
        <w:t xml:space="preserve"> en subestaciones de distribución, típicamente ajustados a +/- 10% del voltaje nominal</w:t>
      </w:r>
    </w:p>
    <w:p w14:paraId="0C27226E" w14:textId="688DE5E4" w:rsidR="00E731C8" w:rsidRDefault="00200B93" w:rsidP="00F6639A">
      <w:pPr>
        <w:pStyle w:val="ListParagraph"/>
        <w:numPr>
          <w:ilvl w:val="1"/>
          <w:numId w:val="12"/>
        </w:numPr>
        <w:spacing w:after="0" w:line="240" w:lineRule="auto"/>
        <w:jc w:val="both"/>
        <w:rPr>
          <w:rFonts w:ascii="Book Antiqua" w:hAnsi="Book Antiqua"/>
          <w:color w:val="000000"/>
          <w:sz w:val="24"/>
          <w:szCs w:val="24"/>
        </w:rPr>
      </w:pPr>
      <w:r w:rsidRPr="00200B93">
        <w:rPr>
          <w:rFonts w:ascii="Book Antiqua" w:hAnsi="Book Antiqua"/>
          <w:color w:val="000000"/>
          <w:sz w:val="24"/>
          <w:szCs w:val="24"/>
        </w:rPr>
        <w:t>Reguladores o estabilizadores de voltaje a lo largo de los alimentadores, con capacidad de corregir el voltaje en las líneas de baja tensión</w:t>
      </w:r>
    </w:p>
    <w:p w14:paraId="503F3945" w14:textId="2420A88F" w:rsidR="00200B93" w:rsidRPr="00345210" w:rsidRDefault="00200B93" w:rsidP="00345210">
      <w:pPr>
        <w:pStyle w:val="ListParagraph"/>
        <w:numPr>
          <w:ilvl w:val="1"/>
          <w:numId w:val="12"/>
        </w:numPr>
        <w:spacing w:after="0" w:line="240" w:lineRule="auto"/>
        <w:jc w:val="both"/>
        <w:rPr>
          <w:rFonts w:ascii="Book Antiqua" w:hAnsi="Book Antiqua"/>
          <w:color w:val="000000"/>
          <w:sz w:val="24"/>
          <w:szCs w:val="24"/>
        </w:rPr>
      </w:pPr>
      <w:r w:rsidRPr="00200B93">
        <w:rPr>
          <w:rFonts w:ascii="Book Antiqua" w:hAnsi="Book Antiqua"/>
          <w:color w:val="000000"/>
          <w:sz w:val="24"/>
          <w:szCs w:val="24"/>
        </w:rPr>
        <w:t xml:space="preserve">Bancos de capacitadores, que proporcionan apoyo de voltaje en líneas de distribución y </w:t>
      </w:r>
      <w:r w:rsidRPr="00345210">
        <w:rPr>
          <w:rFonts w:ascii="Book Antiqua" w:hAnsi="Book Antiqua"/>
          <w:color w:val="000000"/>
          <w:sz w:val="24"/>
          <w:szCs w:val="24"/>
        </w:rPr>
        <w:t>corrección del factor de potencia, el cual ayudan a degradar el voltaje</w:t>
      </w:r>
    </w:p>
    <w:p w14:paraId="4EF7A4A8" w14:textId="6F8DEF7B" w:rsidR="00200B93" w:rsidRDefault="00345210" w:rsidP="00200B93">
      <w:pPr>
        <w:pStyle w:val="ListParagraph"/>
        <w:numPr>
          <w:ilvl w:val="1"/>
          <w:numId w:val="12"/>
        </w:numPr>
        <w:spacing w:after="0" w:line="240" w:lineRule="auto"/>
        <w:jc w:val="both"/>
        <w:rPr>
          <w:rFonts w:ascii="Book Antiqua" w:hAnsi="Book Antiqua"/>
          <w:color w:val="000000"/>
          <w:sz w:val="24"/>
          <w:szCs w:val="24"/>
        </w:rPr>
      </w:pPr>
      <w:r w:rsidRPr="00345210">
        <w:rPr>
          <w:rFonts w:ascii="Book Antiqua" w:hAnsi="Book Antiqua"/>
          <w:color w:val="000000"/>
          <w:sz w:val="24"/>
          <w:szCs w:val="24"/>
        </w:rPr>
        <w:t>Derivaciones de transformadores de distribución cerca de las entradas de los clientes</w:t>
      </w:r>
    </w:p>
    <w:p w14:paraId="5DB8425C" w14:textId="79D04A69" w:rsidR="00345210" w:rsidRDefault="00345210" w:rsidP="00200B93">
      <w:pPr>
        <w:pStyle w:val="ListParagraph"/>
        <w:numPr>
          <w:ilvl w:val="1"/>
          <w:numId w:val="12"/>
        </w:numPr>
        <w:spacing w:after="0" w:line="240" w:lineRule="auto"/>
        <w:jc w:val="both"/>
        <w:rPr>
          <w:rFonts w:ascii="Book Antiqua" w:hAnsi="Book Antiqua"/>
          <w:color w:val="000000"/>
          <w:sz w:val="24"/>
          <w:szCs w:val="24"/>
        </w:rPr>
      </w:pPr>
      <w:r w:rsidRPr="00345210">
        <w:rPr>
          <w:rFonts w:ascii="Book Antiqua" w:hAnsi="Book Antiqua"/>
          <w:color w:val="000000"/>
          <w:sz w:val="24"/>
          <w:szCs w:val="24"/>
        </w:rPr>
        <w:t>Medidas adicionales como conductores de mayor capacidad y balanceo de carga</w:t>
      </w:r>
    </w:p>
    <w:p w14:paraId="51570402" w14:textId="5B9C453E" w:rsidR="00DE2FC5" w:rsidRDefault="0096056B" w:rsidP="00DE2FC5">
      <w:pPr>
        <w:pStyle w:val="ListParagraph"/>
        <w:numPr>
          <w:ilvl w:val="0"/>
          <w:numId w:val="12"/>
        </w:numPr>
        <w:spacing w:after="0" w:line="240" w:lineRule="auto"/>
        <w:jc w:val="both"/>
        <w:rPr>
          <w:rFonts w:ascii="Book Antiqua" w:hAnsi="Book Antiqua"/>
          <w:color w:val="000000"/>
          <w:sz w:val="24"/>
          <w:szCs w:val="24"/>
        </w:rPr>
      </w:pPr>
      <w:r w:rsidRPr="0096056B">
        <w:rPr>
          <w:rFonts w:ascii="Book Antiqua" w:hAnsi="Book Antiqua"/>
          <w:color w:val="000000"/>
          <w:sz w:val="24"/>
          <w:szCs w:val="24"/>
        </w:rPr>
        <w:t>Si bien estos dispositivos han demostrado ser eficaces bajo condiciones tradicionales de generación centralizada, no fueron diseñados para los flujos de potencia bidireccionales introducidos por los DER. La inyección de energía en múltiples puntos eleva la tensión local en los Puntos de Interconexión y cuando la densidad de DER es elevada, puede generar desafíos operativos significativos y riesgos para la seguridad del sistema.</w:t>
      </w:r>
    </w:p>
    <w:p w14:paraId="2F32FCC8" w14:textId="0CCE831C" w:rsidR="0096056B" w:rsidRDefault="0096056B" w:rsidP="00DE2FC5">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color w:val="000000"/>
          <w:sz w:val="24"/>
          <w:szCs w:val="24"/>
        </w:rPr>
        <w:t xml:space="preserve">LUMA cuenta con </w:t>
      </w:r>
      <w:r w:rsidR="00E1723A" w:rsidRPr="00E1723A">
        <w:rPr>
          <w:rFonts w:ascii="Book Antiqua" w:hAnsi="Book Antiqua"/>
          <w:color w:val="000000"/>
          <w:sz w:val="24"/>
          <w:szCs w:val="24"/>
        </w:rPr>
        <w:t>diversos programas y trabajos dirigidos a mejorar la confiabilidad del sistema, lo cual redundará en la mitigación de fluctuaciones de voltaje e interrupciones de servicio no programadas</w:t>
      </w:r>
      <w:r w:rsidR="00E1723A">
        <w:rPr>
          <w:rFonts w:ascii="Book Antiqua" w:hAnsi="Book Antiqua"/>
          <w:color w:val="000000"/>
          <w:sz w:val="24"/>
          <w:szCs w:val="24"/>
        </w:rPr>
        <w:t>.</w:t>
      </w:r>
    </w:p>
    <w:p w14:paraId="6ADFBC71" w14:textId="07D36014" w:rsidR="005F3287" w:rsidRDefault="00E1723A" w:rsidP="005F3287">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color w:val="000000"/>
          <w:sz w:val="24"/>
          <w:szCs w:val="24"/>
        </w:rPr>
        <w:t xml:space="preserve">En cuanto a las medidas para mitigar las fluctuaciones de voltaje e interrupciones de servicio, </w:t>
      </w:r>
      <w:r w:rsidR="005F3287">
        <w:rPr>
          <w:rFonts w:ascii="Book Antiqua" w:hAnsi="Book Antiqua"/>
          <w:color w:val="000000"/>
          <w:sz w:val="24"/>
          <w:szCs w:val="24"/>
        </w:rPr>
        <w:t>mencionan lo siguiente:</w:t>
      </w:r>
    </w:p>
    <w:p w14:paraId="152E0B12" w14:textId="0C4C772A" w:rsidR="005F3287" w:rsidRPr="000C4097" w:rsidRDefault="009D27AC" w:rsidP="003D5B21">
      <w:pPr>
        <w:pStyle w:val="ListParagraph"/>
        <w:numPr>
          <w:ilvl w:val="1"/>
          <w:numId w:val="12"/>
        </w:numPr>
        <w:spacing w:after="0" w:line="240" w:lineRule="auto"/>
        <w:jc w:val="both"/>
        <w:rPr>
          <w:rFonts w:ascii="Book Antiqua" w:hAnsi="Book Antiqua"/>
          <w:color w:val="000000"/>
          <w:sz w:val="24"/>
          <w:szCs w:val="24"/>
        </w:rPr>
      </w:pPr>
      <w:r w:rsidRPr="009D27AC">
        <w:rPr>
          <w:rFonts w:ascii="Book Antiqua" w:hAnsi="Book Antiqua"/>
          <w:color w:val="000000"/>
          <w:sz w:val="24"/>
          <w:szCs w:val="24"/>
        </w:rPr>
        <w:t>Automatización de la Distribución</w:t>
      </w:r>
    </w:p>
    <w:p w14:paraId="64750A5C" w14:textId="4361EBC8" w:rsidR="00EA7D87" w:rsidRDefault="009D27AC" w:rsidP="005F3287">
      <w:pPr>
        <w:pStyle w:val="ListParagraph"/>
        <w:numPr>
          <w:ilvl w:val="1"/>
          <w:numId w:val="12"/>
        </w:numPr>
        <w:spacing w:after="0" w:line="240" w:lineRule="auto"/>
        <w:jc w:val="both"/>
        <w:rPr>
          <w:rFonts w:ascii="Book Antiqua" w:hAnsi="Book Antiqua"/>
          <w:color w:val="000000"/>
          <w:sz w:val="24"/>
          <w:szCs w:val="24"/>
        </w:rPr>
      </w:pPr>
      <w:r w:rsidRPr="009D27AC">
        <w:rPr>
          <w:rFonts w:ascii="Book Antiqua" w:hAnsi="Book Antiqua"/>
          <w:color w:val="000000"/>
          <w:sz w:val="24"/>
          <w:szCs w:val="24"/>
        </w:rPr>
        <w:t>Reconstrucción de las Líneas de Distribución</w:t>
      </w:r>
    </w:p>
    <w:p w14:paraId="41643277" w14:textId="7E3B4D07" w:rsidR="009D27AC" w:rsidRDefault="009D27AC" w:rsidP="005F3287">
      <w:pPr>
        <w:pStyle w:val="ListParagraph"/>
        <w:numPr>
          <w:ilvl w:val="1"/>
          <w:numId w:val="12"/>
        </w:numPr>
        <w:spacing w:after="0" w:line="240" w:lineRule="auto"/>
        <w:jc w:val="both"/>
        <w:rPr>
          <w:rFonts w:ascii="Book Antiqua" w:hAnsi="Book Antiqua"/>
          <w:color w:val="000000"/>
          <w:sz w:val="24"/>
          <w:szCs w:val="24"/>
        </w:rPr>
      </w:pPr>
      <w:r w:rsidRPr="009D27AC">
        <w:rPr>
          <w:rFonts w:ascii="Book Antiqua" w:hAnsi="Book Antiqua"/>
          <w:color w:val="000000"/>
          <w:sz w:val="24"/>
          <w:szCs w:val="24"/>
        </w:rPr>
        <w:t>Confiabilidad de la Subestaciones</w:t>
      </w:r>
    </w:p>
    <w:p w14:paraId="134D3DC3" w14:textId="4E46ADB8" w:rsidR="009D27AC" w:rsidRDefault="005446B2" w:rsidP="005F3287">
      <w:pPr>
        <w:pStyle w:val="ListParagraph"/>
        <w:numPr>
          <w:ilvl w:val="1"/>
          <w:numId w:val="12"/>
        </w:numPr>
        <w:spacing w:after="0" w:line="240" w:lineRule="auto"/>
        <w:jc w:val="both"/>
        <w:rPr>
          <w:rFonts w:ascii="Book Antiqua" w:hAnsi="Book Antiqua"/>
          <w:color w:val="000000"/>
          <w:sz w:val="24"/>
          <w:szCs w:val="24"/>
        </w:rPr>
      </w:pPr>
      <w:r w:rsidRPr="005446B2">
        <w:rPr>
          <w:rFonts w:ascii="Book Antiqua" w:hAnsi="Book Antiqua"/>
          <w:color w:val="000000"/>
          <w:sz w:val="24"/>
          <w:szCs w:val="24"/>
        </w:rPr>
        <w:t>Reconstrucción de las Subestaciones</w:t>
      </w:r>
    </w:p>
    <w:p w14:paraId="7F37376B" w14:textId="4F543DDE" w:rsidR="005446B2" w:rsidRDefault="005446B2" w:rsidP="005F3287">
      <w:pPr>
        <w:pStyle w:val="ListParagraph"/>
        <w:numPr>
          <w:ilvl w:val="1"/>
          <w:numId w:val="12"/>
        </w:numPr>
        <w:spacing w:after="0" w:line="240" w:lineRule="auto"/>
        <w:jc w:val="both"/>
        <w:rPr>
          <w:rFonts w:ascii="Book Antiqua" w:hAnsi="Book Antiqua"/>
          <w:color w:val="000000"/>
          <w:sz w:val="24"/>
          <w:szCs w:val="24"/>
        </w:rPr>
      </w:pPr>
      <w:r w:rsidRPr="005446B2">
        <w:rPr>
          <w:rFonts w:ascii="Book Antiqua" w:hAnsi="Book Antiqua"/>
          <w:color w:val="000000"/>
          <w:sz w:val="24"/>
          <w:szCs w:val="24"/>
        </w:rPr>
        <w:t>Postes y Conductores de Distribución</w:t>
      </w:r>
    </w:p>
    <w:p w14:paraId="00B3E9BE" w14:textId="7AB9F806" w:rsidR="005446B2" w:rsidRDefault="003B3122" w:rsidP="005F3287">
      <w:pPr>
        <w:pStyle w:val="ListParagraph"/>
        <w:numPr>
          <w:ilvl w:val="1"/>
          <w:numId w:val="12"/>
        </w:numPr>
        <w:spacing w:after="0" w:line="240" w:lineRule="auto"/>
        <w:jc w:val="both"/>
        <w:rPr>
          <w:rFonts w:ascii="Book Antiqua" w:hAnsi="Book Antiqua"/>
          <w:color w:val="000000"/>
          <w:sz w:val="24"/>
          <w:szCs w:val="24"/>
        </w:rPr>
      </w:pPr>
      <w:r w:rsidRPr="003B3122">
        <w:rPr>
          <w:rFonts w:ascii="Book Antiqua" w:hAnsi="Book Antiqua"/>
          <w:color w:val="000000"/>
          <w:sz w:val="24"/>
          <w:szCs w:val="24"/>
        </w:rPr>
        <w:t>Evaluación de Líneas de Transmisión</w:t>
      </w:r>
    </w:p>
    <w:p w14:paraId="3ECF9CBD" w14:textId="6D5CB58C" w:rsidR="003B3122" w:rsidRDefault="003B3122" w:rsidP="005F3287">
      <w:pPr>
        <w:pStyle w:val="ListParagraph"/>
        <w:numPr>
          <w:ilvl w:val="1"/>
          <w:numId w:val="12"/>
        </w:numPr>
        <w:spacing w:after="0" w:line="240" w:lineRule="auto"/>
        <w:jc w:val="both"/>
        <w:rPr>
          <w:rFonts w:ascii="Book Antiqua" w:hAnsi="Book Antiqua"/>
          <w:color w:val="000000"/>
          <w:sz w:val="24"/>
          <w:szCs w:val="24"/>
        </w:rPr>
      </w:pPr>
      <w:r w:rsidRPr="003B3122">
        <w:rPr>
          <w:rFonts w:ascii="Book Antiqua" w:hAnsi="Book Antiqua"/>
          <w:color w:val="000000"/>
          <w:sz w:val="24"/>
          <w:szCs w:val="24"/>
        </w:rPr>
        <w:t>Evaluación de Líneas de Distribución</w:t>
      </w:r>
    </w:p>
    <w:p w14:paraId="14C461B4" w14:textId="186CFB0B" w:rsidR="003B3122" w:rsidRDefault="003B3122" w:rsidP="005F3287">
      <w:pPr>
        <w:pStyle w:val="ListParagraph"/>
        <w:numPr>
          <w:ilvl w:val="1"/>
          <w:numId w:val="12"/>
        </w:numPr>
        <w:spacing w:after="0" w:line="240" w:lineRule="auto"/>
        <w:jc w:val="both"/>
        <w:rPr>
          <w:rFonts w:ascii="Book Antiqua" w:hAnsi="Book Antiqua"/>
          <w:color w:val="000000"/>
          <w:sz w:val="24"/>
          <w:szCs w:val="24"/>
        </w:rPr>
      </w:pPr>
      <w:r w:rsidRPr="003B3122">
        <w:rPr>
          <w:rFonts w:ascii="Book Antiqua" w:hAnsi="Book Antiqua"/>
          <w:color w:val="000000"/>
          <w:sz w:val="24"/>
          <w:szCs w:val="24"/>
        </w:rPr>
        <w:t>Medición Avanzada de Energía</w:t>
      </w:r>
    </w:p>
    <w:p w14:paraId="76FB8975" w14:textId="2A5C87C0" w:rsidR="00C1093C" w:rsidRDefault="00C1093C" w:rsidP="005F3287">
      <w:pPr>
        <w:pStyle w:val="ListParagraph"/>
        <w:numPr>
          <w:ilvl w:val="1"/>
          <w:numId w:val="12"/>
        </w:numPr>
        <w:spacing w:after="0" w:line="240" w:lineRule="auto"/>
        <w:jc w:val="both"/>
        <w:rPr>
          <w:rFonts w:ascii="Book Antiqua" w:hAnsi="Book Antiqua"/>
          <w:color w:val="000000"/>
          <w:sz w:val="24"/>
          <w:szCs w:val="24"/>
        </w:rPr>
      </w:pPr>
      <w:r w:rsidRPr="00C1093C">
        <w:rPr>
          <w:rFonts w:ascii="Book Antiqua" w:hAnsi="Book Antiqua"/>
          <w:color w:val="000000"/>
          <w:sz w:val="24"/>
          <w:szCs w:val="24"/>
        </w:rPr>
        <w:t>Confiabilidad de la Distribución</w:t>
      </w:r>
    </w:p>
    <w:p w14:paraId="47D77813" w14:textId="608197C0" w:rsidR="00C1093C" w:rsidRDefault="00C1093C" w:rsidP="005F3287">
      <w:pPr>
        <w:pStyle w:val="ListParagraph"/>
        <w:numPr>
          <w:ilvl w:val="1"/>
          <w:numId w:val="12"/>
        </w:numPr>
        <w:spacing w:after="0" w:line="240" w:lineRule="auto"/>
        <w:jc w:val="both"/>
        <w:rPr>
          <w:rFonts w:ascii="Book Antiqua" w:hAnsi="Book Antiqua"/>
          <w:color w:val="000000"/>
          <w:sz w:val="24"/>
          <w:szCs w:val="24"/>
        </w:rPr>
      </w:pPr>
      <w:r w:rsidRPr="00C1093C">
        <w:rPr>
          <w:rFonts w:ascii="Book Antiqua" w:hAnsi="Book Antiqua"/>
          <w:color w:val="000000"/>
          <w:sz w:val="24"/>
          <w:szCs w:val="24"/>
        </w:rPr>
        <w:t>Reconstrucción de Líneas de Transmisión y Postes de Transmisión</w:t>
      </w:r>
    </w:p>
    <w:p w14:paraId="770FE3E8" w14:textId="34754B8C" w:rsidR="00C1093C" w:rsidRDefault="009B2CAD" w:rsidP="00C1093C">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color w:val="000000"/>
          <w:sz w:val="24"/>
          <w:szCs w:val="24"/>
        </w:rPr>
        <w:t xml:space="preserve">LUMA ha logrado </w:t>
      </w:r>
      <w:r w:rsidRPr="009B2CAD">
        <w:rPr>
          <w:rFonts w:ascii="Book Antiqua" w:hAnsi="Book Antiqua"/>
          <w:color w:val="000000"/>
          <w:sz w:val="24"/>
          <w:szCs w:val="24"/>
        </w:rPr>
        <w:t xml:space="preserve">la limpieza de vegetación en más de 6,100 millas de líneas eléctricas, la instalación de más de 10,000 dispositivos automatizados en la red y </w:t>
      </w:r>
      <w:r w:rsidRPr="009B2CAD">
        <w:rPr>
          <w:rFonts w:ascii="Book Antiqua" w:hAnsi="Book Antiqua"/>
          <w:color w:val="000000"/>
          <w:sz w:val="24"/>
          <w:szCs w:val="24"/>
        </w:rPr>
        <w:lastRenderedPageBreak/>
        <w:t>la modernización de decenas de subestaciones críticas. Estas acciones contribuyen directamente a mejorar la confiabilidad del servicio y a reducir las interrupciones y fluctuaciones de voltaje en todo el sistema</w:t>
      </w:r>
      <w:r>
        <w:rPr>
          <w:rFonts w:ascii="Book Antiqua" w:hAnsi="Book Antiqua"/>
          <w:color w:val="000000"/>
          <w:sz w:val="24"/>
          <w:szCs w:val="24"/>
        </w:rPr>
        <w:t>.</w:t>
      </w:r>
    </w:p>
    <w:p w14:paraId="380A7B17" w14:textId="207C9276" w:rsidR="009B2CAD" w:rsidRDefault="006C540C" w:rsidP="00C1093C">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b/>
          <w:bCs/>
          <w:color w:val="000000"/>
          <w:sz w:val="24"/>
          <w:szCs w:val="24"/>
        </w:rPr>
        <w:t xml:space="preserve">Relevo de Responsabilidad: </w:t>
      </w:r>
      <w:r w:rsidR="00CA7042" w:rsidRPr="00CA7042">
        <w:rPr>
          <w:rFonts w:ascii="Book Antiqua" w:hAnsi="Book Antiqua"/>
          <w:color w:val="000000"/>
          <w:sz w:val="24"/>
          <w:szCs w:val="24"/>
        </w:rPr>
        <w:t>La AEE cuenta con un relevo de responsabilidad desde antes del comienzo de las operaciones de LUMA, conforme a la Sección XV del Reglamento 7982, aprobado en el 2011. Reconociendo la fragilidad preexistente del sistema eléctrico de Puerto Rico y conforme a los estándares de la industria de servicios públicos en los Estados Unidos continentales, el NEPR aprobó la extensión de dichos relevos de responsabilidad previamente aplicables a la AEE a LUMA.</w:t>
      </w:r>
      <w:r w:rsidR="004A2F2C">
        <w:rPr>
          <w:rFonts w:ascii="Book Antiqua" w:hAnsi="Book Antiqua"/>
          <w:color w:val="000000"/>
          <w:sz w:val="24"/>
          <w:szCs w:val="24"/>
        </w:rPr>
        <w:t xml:space="preserve"> </w:t>
      </w:r>
      <w:r w:rsidR="00CA7042" w:rsidRPr="00CA7042">
        <w:rPr>
          <w:rFonts w:ascii="Book Antiqua" w:hAnsi="Book Antiqua"/>
          <w:color w:val="000000"/>
          <w:sz w:val="24"/>
          <w:szCs w:val="24"/>
        </w:rPr>
        <w:t>Esta extensión no solo reafirmó los términos existentes, sino que también implicó una limitación de responsabilidad más abarcadora, incorporando protecciones adicionales a favor del operador del</w:t>
      </w:r>
      <w:r w:rsidR="004A2F2C">
        <w:rPr>
          <w:rFonts w:ascii="Book Antiqua" w:hAnsi="Book Antiqua"/>
          <w:color w:val="000000"/>
          <w:sz w:val="24"/>
          <w:szCs w:val="24"/>
        </w:rPr>
        <w:t xml:space="preserve"> sistema eléctrico.</w:t>
      </w:r>
    </w:p>
    <w:p w14:paraId="58170D67" w14:textId="5CDC06D2" w:rsidR="002A65AE" w:rsidRDefault="002A65AE" w:rsidP="00C1093C">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color w:val="000000"/>
          <w:sz w:val="24"/>
          <w:szCs w:val="24"/>
        </w:rPr>
        <w:t>LUMA sostiene que para aprobar que se le extendiera dicho relevo, el NEPR</w:t>
      </w:r>
      <w:r w:rsidR="00470F3F">
        <w:rPr>
          <w:rFonts w:ascii="Book Antiqua" w:hAnsi="Book Antiqua"/>
          <w:color w:val="000000"/>
          <w:sz w:val="24"/>
          <w:szCs w:val="24"/>
        </w:rPr>
        <w:t xml:space="preserve"> reconoció que el mismo estaba estrechamente relacionado a la </w:t>
      </w:r>
      <w:r w:rsidR="009C21A6" w:rsidRPr="009C21A6">
        <w:rPr>
          <w:rFonts w:ascii="Book Antiqua" w:hAnsi="Book Antiqua"/>
          <w:color w:val="000000"/>
          <w:sz w:val="24"/>
          <w:szCs w:val="24"/>
        </w:rPr>
        <w:t>sostenibilidad económica del sistema eléctrico. El NEPR reconoció que la ausencia de dicha exención podría conllevar consecuencias severas para la estabilidad financiera del sistema, ya que expondría a sus operadores a reclamaciones potencialmente onerosas por interrupciones o irregularidades en el servicio. Tales reclamaciones, de materializarse, se traducirían inevitablemente en aumentos tarifarios que recaerían sobre toda la base de clientes.</w:t>
      </w:r>
    </w:p>
    <w:p w14:paraId="17F870C9" w14:textId="3A637414" w:rsidR="00CD03AD" w:rsidRDefault="00CD03AD" w:rsidP="00C1093C">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b/>
          <w:bCs/>
          <w:color w:val="000000"/>
          <w:sz w:val="24"/>
          <w:szCs w:val="24"/>
        </w:rPr>
        <w:t xml:space="preserve">Reclamaciones por daños a la propiedad: </w:t>
      </w:r>
      <w:r w:rsidR="00870978" w:rsidRPr="00870978">
        <w:rPr>
          <w:rFonts w:ascii="Book Antiqua" w:hAnsi="Book Antiqua"/>
          <w:color w:val="000000"/>
          <w:sz w:val="24"/>
          <w:szCs w:val="24"/>
        </w:rPr>
        <w:t xml:space="preserve">La presentación de reclamaciones por daños a la propiedad, particularmente aquellos causados </w:t>
      </w:r>
      <w:r w:rsidR="00AB2A46" w:rsidRPr="00AB2A46">
        <w:rPr>
          <w:rFonts w:ascii="Book Antiqua" w:hAnsi="Book Antiqua"/>
          <w:color w:val="000000"/>
          <w:sz w:val="24"/>
          <w:szCs w:val="24"/>
        </w:rPr>
        <w:t>por fluctuaciones de voltaje o interrupciones del servicio eléctrico, constituye un mecanismo formal mediante el cual los ciudadanos pueden solicitar la evaluación y posible compensación por daños sufridos en sus residencias o negocios</w:t>
      </w:r>
      <w:r w:rsidR="003D33C1">
        <w:rPr>
          <w:rFonts w:ascii="Book Antiqua" w:hAnsi="Book Antiqua"/>
          <w:color w:val="000000"/>
          <w:sz w:val="24"/>
          <w:szCs w:val="24"/>
        </w:rPr>
        <w:t>.</w:t>
      </w:r>
    </w:p>
    <w:p w14:paraId="059421D9" w14:textId="471648D5" w:rsidR="00642B9B" w:rsidRDefault="003D33C1" w:rsidP="00642B9B">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color w:val="000000"/>
          <w:sz w:val="24"/>
          <w:szCs w:val="24"/>
        </w:rPr>
        <w:t xml:space="preserve">Es LUMA quien evalúa y determina si son responsables por los daños </w:t>
      </w:r>
      <w:r w:rsidR="00642B9B">
        <w:rPr>
          <w:rFonts w:ascii="Book Antiqua" w:hAnsi="Book Antiqua"/>
          <w:color w:val="000000"/>
          <w:sz w:val="24"/>
          <w:szCs w:val="24"/>
        </w:rPr>
        <w:t>de los consumidores. Para el proceso de reclamación, se debe presentar lo siguiente:</w:t>
      </w:r>
    </w:p>
    <w:p w14:paraId="1B544DFC" w14:textId="09271408" w:rsidR="00642B9B" w:rsidRDefault="00EE15E0" w:rsidP="00642B9B">
      <w:pPr>
        <w:pStyle w:val="ListParagraph"/>
        <w:numPr>
          <w:ilvl w:val="1"/>
          <w:numId w:val="12"/>
        </w:numPr>
        <w:spacing w:after="0" w:line="240" w:lineRule="auto"/>
        <w:jc w:val="both"/>
        <w:rPr>
          <w:rFonts w:ascii="Book Antiqua" w:hAnsi="Book Antiqua"/>
          <w:color w:val="000000"/>
          <w:sz w:val="24"/>
          <w:szCs w:val="24"/>
        </w:rPr>
      </w:pPr>
      <w:r w:rsidRPr="00EE15E0">
        <w:rPr>
          <w:rFonts w:ascii="Book Antiqua" w:hAnsi="Book Antiqua"/>
          <w:color w:val="000000"/>
          <w:sz w:val="24"/>
          <w:szCs w:val="24"/>
        </w:rPr>
        <w:t>Facturas de reparación o estimados emitidos por peritos con licencia</w:t>
      </w:r>
    </w:p>
    <w:p w14:paraId="315DDDF1" w14:textId="688C8BA7" w:rsidR="00EE15E0" w:rsidRDefault="00EE15E0" w:rsidP="00642B9B">
      <w:pPr>
        <w:pStyle w:val="ListParagraph"/>
        <w:numPr>
          <w:ilvl w:val="1"/>
          <w:numId w:val="12"/>
        </w:numPr>
        <w:spacing w:after="0" w:line="240" w:lineRule="auto"/>
        <w:jc w:val="both"/>
        <w:rPr>
          <w:rFonts w:ascii="Book Antiqua" w:hAnsi="Book Antiqua"/>
          <w:color w:val="000000"/>
          <w:sz w:val="24"/>
          <w:szCs w:val="24"/>
        </w:rPr>
      </w:pPr>
      <w:r w:rsidRPr="00EE15E0">
        <w:rPr>
          <w:rFonts w:ascii="Book Antiqua" w:hAnsi="Book Antiqua"/>
          <w:color w:val="000000"/>
          <w:sz w:val="24"/>
          <w:szCs w:val="24"/>
        </w:rPr>
        <w:t>Recibos de compra del equipo dañado</w:t>
      </w:r>
    </w:p>
    <w:p w14:paraId="74122B36" w14:textId="5CA951EA" w:rsidR="00EE15E0" w:rsidRDefault="00E96449" w:rsidP="00642B9B">
      <w:pPr>
        <w:pStyle w:val="ListParagraph"/>
        <w:numPr>
          <w:ilvl w:val="1"/>
          <w:numId w:val="12"/>
        </w:numPr>
        <w:spacing w:after="0" w:line="240" w:lineRule="auto"/>
        <w:jc w:val="both"/>
        <w:rPr>
          <w:rFonts w:ascii="Book Antiqua" w:hAnsi="Book Antiqua"/>
          <w:color w:val="000000"/>
          <w:sz w:val="24"/>
          <w:szCs w:val="24"/>
        </w:rPr>
      </w:pPr>
      <w:r w:rsidRPr="00E96449">
        <w:rPr>
          <w:rFonts w:ascii="Book Antiqua" w:hAnsi="Book Antiqua"/>
          <w:color w:val="000000"/>
          <w:sz w:val="24"/>
          <w:szCs w:val="24"/>
        </w:rPr>
        <w:t>Certificaciones de pérdida total emitidas por un técnico autorizado</w:t>
      </w:r>
    </w:p>
    <w:p w14:paraId="3AA7765E" w14:textId="4142F51B" w:rsidR="00E96449" w:rsidRDefault="00E96449" w:rsidP="00E96449">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color w:val="000000"/>
          <w:sz w:val="24"/>
          <w:szCs w:val="24"/>
        </w:rPr>
        <w:t>Luego de evaluadas las reclamaciones, LUMA les notifica a los clientes su determinación formal fundamentándose en los hallazgos</w:t>
      </w:r>
      <w:r w:rsidR="00436364">
        <w:rPr>
          <w:rFonts w:ascii="Book Antiqua" w:hAnsi="Book Antiqua"/>
          <w:color w:val="000000"/>
          <w:sz w:val="24"/>
          <w:szCs w:val="24"/>
        </w:rPr>
        <w:t>.</w:t>
      </w:r>
    </w:p>
    <w:p w14:paraId="6897ED09" w14:textId="2A2003BB" w:rsidR="00436364" w:rsidRDefault="007806AE" w:rsidP="00E96449">
      <w:pPr>
        <w:pStyle w:val="ListParagraph"/>
        <w:numPr>
          <w:ilvl w:val="0"/>
          <w:numId w:val="12"/>
        </w:numPr>
        <w:spacing w:after="0" w:line="240" w:lineRule="auto"/>
        <w:jc w:val="both"/>
        <w:rPr>
          <w:rFonts w:ascii="Book Antiqua" w:hAnsi="Book Antiqua"/>
          <w:color w:val="000000"/>
          <w:sz w:val="24"/>
          <w:szCs w:val="24"/>
        </w:rPr>
      </w:pPr>
      <w:r w:rsidRPr="007806AE">
        <w:rPr>
          <w:rFonts w:ascii="Book Antiqua" w:hAnsi="Book Antiqua"/>
          <w:color w:val="000000"/>
          <w:sz w:val="24"/>
          <w:szCs w:val="24"/>
        </w:rPr>
        <w:t>LUMA ha lanzado una campaña educativa sobre el uso de supresores de carga y la protección contra fluctuaciones de voltaje</w:t>
      </w:r>
      <w:r>
        <w:rPr>
          <w:rFonts w:ascii="Book Antiqua" w:hAnsi="Book Antiqua"/>
          <w:color w:val="000000"/>
          <w:sz w:val="24"/>
          <w:szCs w:val="24"/>
        </w:rPr>
        <w:t>.</w:t>
      </w:r>
    </w:p>
    <w:p w14:paraId="4B2AB8DD" w14:textId="58D162B3" w:rsidR="00836722" w:rsidRDefault="009D5074" w:rsidP="007B3187">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color w:val="000000"/>
          <w:sz w:val="24"/>
          <w:szCs w:val="24"/>
        </w:rPr>
        <w:t>U</w:t>
      </w:r>
      <w:r w:rsidRPr="009D5074">
        <w:rPr>
          <w:rFonts w:ascii="Book Antiqua" w:hAnsi="Book Antiqua"/>
          <w:color w:val="000000"/>
          <w:sz w:val="24"/>
          <w:szCs w:val="24"/>
        </w:rPr>
        <w:t>n total de 51,399 clientes residenciales y 2,703 clientes comerciales han recibido kits de eficiencia energética que incluye equipo con protección contra sobrecarga</w:t>
      </w:r>
      <w:r>
        <w:rPr>
          <w:rFonts w:ascii="Book Antiqua" w:hAnsi="Book Antiqua"/>
          <w:color w:val="000000"/>
          <w:sz w:val="24"/>
          <w:szCs w:val="24"/>
        </w:rPr>
        <w:t>.</w:t>
      </w:r>
    </w:p>
    <w:p w14:paraId="4DC82E56" w14:textId="274E95BC" w:rsidR="0045180E" w:rsidRPr="00A94422" w:rsidRDefault="0045180E" w:rsidP="007B3187">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b/>
          <w:bCs/>
          <w:color w:val="000000"/>
          <w:sz w:val="24"/>
          <w:szCs w:val="24"/>
        </w:rPr>
        <w:t>Entre el 2021 y mayo de 2025, LUMA ha atendido un</w:t>
      </w:r>
      <w:r w:rsidR="00084777">
        <w:rPr>
          <w:rFonts w:ascii="Book Antiqua" w:hAnsi="Book Antiqua"/>
          <w:b/>
          <w:bCs/>
          <w:color w:val="000000"/>
          <w:sz w:val="24"/>
          <w:szCs w:val="24"/>
        </w:rPr>
        <w:t xml:space="preserve"> total de 1,828 querellas o reclamaciones por enseres dañados y</w:t>
      </w:r>
      <w:r w:rsidR="00A94422">
        <w:rPr>
          <w:rFonts w:ascii="Book Antiqua" w:hAnsi="Book Antiqua"/>
          <w:b/>
          <w:bCs/>
          <w:color w:val="000000"/>
          <w:sz w:val="24"/>
          <w:szCs w:val="24"/>
        </w:rPr>
        <w:t xml:space="preserve"> la totalidad de los casos han sido denegados.</w:t>
      </w:r>
    </w:p>
    <w:p w14:paraId="177AEA77" w14:textId="3F0D4188" w:rsidR="00A94422" w:rsidRPr="0045180E" w:rsidRDefault="00A94422" w:rsidP="007B3187">
      <w:pPr>
        <w:pStyle w:val="ListParagraph"/>
        <w:numPr>
          <w:ilvl w:val="0"/>
          <w:numId w:val="12"/>
        </w:numPr>
        <w:spacing w:after="0" w:line="240" w:lineRule="auto"/>
        <w:jc w:val="both"/>
        <w:rPr>
          <w:rFonts w:ascii="Book Antiqua" w:hAnsi="Book Antiqua"/>
          <w:color w:val="000000"/>
          <w:sz w:val="24"/>
          <w:szCs w:val="24"/>
        </w:rPr>
      </w:pPr>
      <w:r>
        <w:rPr>
          <w:rFonts w:ascii="Book Antiqua" w:hAnsi="Book Antiqua"/>
          <w:b/>
          <w:bCs/>
          <w:color w:val="000000"/>
          <w:sz w:val="24"/>
          <w:szCs w:val="24"/>
        </w:rPr>
        <w:t>LUMA sostiene que no es responsable de los daños reclamados, toda vez que es de aplicabilidad el Relevo de Responsabilidad que forma parte de su contrato</w:t>
      </w:r>
      <w:r w:rsidR="00E0392B">
        <w:rPr>
          <w:rFonts w:ascii="Book Antiqua" w:hAnsi="Book Antiqua"/>
          <w:b/>
          <w:bCs/>
          <w:color w:val="000000"/>
          <w:sz w:val="24"/>
          <w:szCs w:val="24"/>
        </w:rPr>
        <w:t>, el cual fue autorizado por el Negociado de Energía.</w:t>
      </w:r>
    </w:p>
    <w:p w14:paraId="151788EA" w14:textId="77777777" w:rsidR="0086481F" w:rsidRDefault="0086481F" w:rsidP="007B3187">
      <w:pPr>
        <w:spacing w:after="0" w:line="240" w:lineRule="auto"/>
        <w:jc w:val="both"/>
        <w:rPr>
          <w:rFonts w:ascii="Book Antiqua" w:hAnsi="Book Antiqua"/>
          <w:b/>
          <w:bCs/>
          <w:color w:val="000000"/>
          <w:sz w:val="24"/>
          <w:szCs w:val="24"/>
          <w:u w:val="single"/>
        </w:rPr>
      </w:pPr>
    </w:p>
    <w:p w14:paraId="5DC0EDAE" w14:textId="42EC406A" w:rsidR="00E6738B" w:rsidRPr="00E6738B" w:rsidRDefault="00E6738B" w:rsidP="007B3187">
      <w:pPr>
        <w:spacing w:after="0" w:line="240" w:lineRule="auto"/>
        <w:jc w:val="both"/>
        <w:rPr>
          <w:rFonts w:ascii="Book Antiqua" w:hAnsi="Book Antiqua"/>
          <w:b/>
          <w:bCs/>
          <w:color w:val="000000"/>
          <w:sz w:val="24"/>
          <w:szCs w:val="24"/>
          <w:u w:val="single"/>
        </w:rPr>
      </w:pPr>
      <w:r>
        <w:rPr>
          <w:rFonts w:ascii="Book Antiqua" w:hAnsi="Book Antiqua"/>
          <w:b/>
          <w:bCs/>
          <w:color w:val="000000"/>
          <w:sz w:val="24"/>
          <w:szCs w:val="24"/>
          <w:u w:val="single"/>
        </w:rPr>
        <w:lastRenderedPageBreak/>
        <w:t xml:space="preserve">AUTORIDAD DE </w:t>
      </w:r>
      <w:r w:rsidR="00D42E9C">
        <w:rPr>
          <w:rFonts w:ascii="Book Antiqua" w:hAnsi="Book Antiqua"/>
          <w:b/>
          <w:bCs/>
          <w:color w:val="000000"/>
          <w:sz w:val="24"/>
          <w:szCs w:val="24"/>
          <w:u w:val="single"/>
        </w:rPr>
        <w:t>ENERGÍA ELÉCTRICA (AEE)</w:t>
      </w:r>
    </w:p>
    <w:p w14:paraId="7E2CFC12" w14:textId="0D9E0A24" w:rsidR="00E6738B" w:rsidRDefault="00E6738B" w:rsidP="007B3187">
      <w:pPr>
        <w:spacing w:after="0" w:line="240" w:lineRule="auto"/>
        <w:jc w:val="both"/>
        <w:rPr>
          <w:rFonts w:ascii="Book Antiqua" w:hAnsi="Book Antiqua"/>
          <w:b/>
          <w:bCs/>
          <w:color w:val="000000"/>
          <w:sz w:val="24"/>
          <w:szCs w:val="24"/>
        </w:rPr>
      </w:pPr>
    </w:p>
    <w:p w14:paraId="6D733B16" w14:textId="7027E01D" w:rsidR="00E86895" w:rsidRDefault="00E86895" w:rsidP="00775B08">
      <w:pPr>
        <w:spacing w:after="0" w:line="240" w:lineRule="auto"/>
        <w:ind w:firstLine="708"/>
        <w:jc w:val="both"/>
        <w:rPr>
          <w:rFonts w:ascii="Book Antiqua" w:hAnsi="Book Antiqua"/>
          <w:color w:val="000000"/>
          <w:sz w:val="24"/>
          <w:szCs w:val="24"/>
        </w:rPr>
      </w:pPr>
      <w:r>
        <w:rPr>
          <w:rFonts w:ascii="Book Antiqua" w:hAnsi="Book Antiqua"/>
          <w:color w:val="000000"/>
          <w:sz w:val="24"/>
          <w:szCs w:val="24"/>
        </w:rPr>
        <w:t>La Autoridad de Energía Eléctrica (AEE), por conducto de su directora</w:t>
      </w:r>
      <w:r w:rsidR="00A62AC6">
        <w:rPr>
          <w:rFonts w:ascii="Book Antiqua" w:hAnsi="Book Antiqua"/>
          <w:color w:val="000000"/>
          <w:sz w:val="24"/>
          <w:szCs w:val="24"/>
        </w:rPr>
        <w:t xml:space="preserve"> ejecutiva</w:t>
      </w:r>
      <w:r>
        <w:rPr>
          <w:rFonts w:ascii="Book Antiqua" w:hAnsi="Book Antiqua"/>
          <w:color w:val="000000"/>
          <w:sz w:val="24"/>
          <w:szCs w:val="24"/>
        </w:rPr>
        <w:t xml:space="preserve">, </w:t>
      </w:r>
      <w:r w:rsidR="00A62AC6">
        <w:rPr>
          <w:rFonts w:ascii="Book Antiqua" w:hAnsi="Book Antiqua"/>
          <w:color w:val="000000"/>
          <w:sz w:val="24"/>
          <w:szCs w:val="24"/>
        </w:rPr>
        <w:t>Mary C. Zapata Acosta</w:t>
      </w:r>
      <w:r>
        <w:rPr>
          <w:rFonts w:ascii="Book Antiqua" w:hAnsi="Book Antiqua"/>
          <w:color w:val="000000"/>
          <w:sz w:val="24"/>
          <w:szCs w:val="24"/>
        </w:rPr>
        <w:t>, presentó cometarios por escrito, de los cuales se desprenden los siguientes hallazgos:</w:t>
      </w:r>
    </w:p>
    <w:p w14:paraId="17099ECF" w14:textId="644A1DC4" w:rsidR="00FF73B5" w:rsidRPr="00FF73B5" w:rsidRDefault="00FF73B5" w:rsidP="0086481F">
      <w:pPr>
        <w:pStyle w:val="ListParagraph"/>
        <w:numPr>
          <w:ilvl w:val="0"/>
          <w:numId w:val="13"/>
        </w:numPr>
        <w:spacing w:after="0" w:line="240" w:lineRule="auto"/>
        <w:jc w:val="both"/>
        <w:rPr>
          <w:rFonts w:ascii="Book Antiqua" w:hAnsi="Book Antiqua"/>
          <w:color w:val="000000"/>
          <w:sz w:val="24"/>
          <w:szCs w:val="24"/>
        </w:rPr>
      </w:pPr>
      <w:r>
        <w:rPr>
          <w:rFonts w:ascii="Book Antiqua" w:hAnsi="Book Antiqua" w:cs="Calibri Light"/>
          <w:sz w:val="24"/>
          <w:szCs w:val="24"/>
          <w:lang w:val="es-ES_tradnl"/>
        </w:rPr>
        <w:t>L</w:t>
      </w:r>
      <w:r w:rsidRPr="00FF73B5">
        <w:rPr>
          <w:rFonts w:ascii="Book Antiqua" w:hAnsi="Book Antiqua" w:cs="Calibri Light"/>
          <w:sz w:val="24"/>
          <w:szCs w:val="24"/>
          <w:lang w:val="es-ES_tradnl"/>
        </w:rPr>
        <w:t>a AEE sostuvo que la responsabilidad del sistema de trasmisión y distribución de la red eléctrica le corresponde a la empresa LUMA Energy. En virtud del contrato existente, dicha empresa tiene que atender todo lo relacionado a servicio al cliente, facturación, cobros y reclamaciones de los clientes.</w:t>
      </w:r>
    </w:p>
    <w:p w14:paraId="6606117D" w14:textId="230FA20D" w:rsidR="00E86895" w:rsidRPr="00FF73B5" w:rsidRDefault="0086481F" w:rsidP="007B3187">
      <w:pPr>
        <w:pStyle w:val="ListParagraph"/>
        <w:numPr>
          <w:ilvl w:val="0"/>
          <w:numId w:val="13"/>
        </w:numPr>
        <w:spacing w:after="0" w:line="240" w:lineRule="auto"/>
        <w:jc w:val="both"/>
        <w:rPr>
          <w:rFonts w:ascii="Book Antiqua" w:hAnsi="Book Antiqua"/>
          <w:color w:val="000000"/>
          <w:sz w:val="24"/>
          <w:szCs w:val="24"/>
        </w:rPr>
      </w:pPr>
      <w:r>
        <w:rPr>
          <w:rFonts w:ascii="Book Antiqua" w:hAnsi="Book Antiqua"/>
          <w:color w:val="000000"/>
          <w:sz w:val="24"/>
          <w:szCs w:val="24"/>
        </w:rPr>
        <w:t xml:space="preserve">Si bien es cierto que la AEE ya no opera la red de trasmisión y distribución de emergía, hacen la salvedad de que cuando sí lo hacían contaban con un seguro de responsabilidad que respondía por los casos de </w:t>
      </w:r>
      <w:r w:rsidR="008440A0">
        <w:rPr>
          <w:rFonts w:ascii="Book Antiqua" w:hAnsi="Book Antiqua"/>
          <w:color w:val="000000"/>
          <w:sz w:val="24"/>
          <w:szCs w:val="24"/>
        </w:rPr>
        <w:t>enseres dañados por causa de fluctuaciones de voltaje, interrupciones u otras causas atribuibles a dicha corporación pública</w:t>
      </w:r>
      <w:r w:rsidR="00E208BE">
        <w:rPr>
          <w:rFonts w:ascii="Book Antiqua" w:hAnsi="Book Antiqua"/>
          <w:color w:val="000000"/>
          <w:sz w:val="24"/>
          <w:szCs w:val="24"/>
        </w:rPr>
        <w:t>.</w:t>
      </w:r>
    </w:p>
    <w:p w14:paraId="10CEE387" w14:textId="77777777" w:rsidR="00E6738B" w:rsidRDefault="00E6738B" w:rsidP="007B3187">
      <w:pPr>
        <w:spacing w:after="0" w:line="240" w:lineRule="auto"/>
        <w:jc w:val="both"/>
        <w:rPr>
          <w:rFonts w:ascii="Book Antiqua" w:hAnsi="Book Antiqua"/>
          <w:color w:val="000000"/>
          <w:sz w:val="24"/>
          <w:szCs w:val="24"/>
        </w:rPr>
      </w:pPr>
    </w:p>
    <w:p w14:paraId="2818FDFB" w14:textId="609B0292" w:rsidR="00E6738B" w:rsidRDefault="00D42E9C" w:rsidP="007B3187">
      <w:pPr>
        <w:spacing w:after="0" w:line="240" w:lineRule="auto"/>
        <w:jc w:val="both"/>
        <w:rPr>
          <w:rFonts w:ascii="Book Antiqua" w:hAnsi="Book Antiqua"/>
          <w:b/>
          <w:bCs/>
          <w:color w:val="000000"/>
          <w:sz w:val="24"/>
          <w:szCs w:val="24"/>
          <w:u w:val="single"/>
        </w:rPr>
      </w:pPr>
      <w:r>
        <w:rPr>
          <w:rFonts w:ascii="Book Antiqua" w:hAnsi="Book Antiqua"/>
          <w:b/>
          <w:bCs/>
          <w:color w:val="000000"/>
          <w:sz w:val="24"/>
          <w:szCs w:val="24"/>
          <w:u w:val="single"/>
        </w:rPr>
        <w:t>OFICINA DEL OMBUDSMAN</w:t>
      </w:r>
    </w:p>
    <w:p w14:paraId="6B6D95AB" w14:textId="77777777" w:rsidR="00D42E9C" w:rsidRDefault="00D42E9C" w:rsidP="007B3187">
      <w:pPr>
        <w:spacing w:after="0" w:line="240" w:lineRule="auto"/>
        <w:jc w:val="both"/>
        <w:rPr>
          <w:rFonts w:ascii="Book Antiqua" w:hAnsi="Book Antiqua"/>
          <w:b/>
          <w:bCs/>
          <w:color w:val="000000"/>
          <w:sz w:val="24"/>
          <w:szCs w:val="24"/>
          <w:u w:val="single"/>
        </w:rPr>
      </w:pPr>
    </w:p>
    <w:p w14:paraId="47317056" w14:textId="0186CC1B" w:rsidR="00D811C2" w:rsidRPr="00455AA8" w:rsidRDefault="00D811C2" w:rsidP="00775B08">
      <w:pPr>
        <w:spacing w:after="0" w:line="240" w:lineRule="auto"/>
        <w:ind w:firstLine="708"/>
        <w:jc w:val="both"/>
        <w:rPr>
          <w:rFonts w:ascii="Book Antiqua" w:hAnsi="Book Antiqua"/>
          <w:b/>
          <w:bCs/>
          <w:color w:val="000000"/>
          <w:sz w:val="24"/>
          <w:szCs w:val="24"/>
        </w:rPr>
      </w:pPr>
      <w:r>
        <w:rPr>
          <w:rFonts w:ascii="Book Antiqua" w:hAnsi="Book Antiqua"/>
          <w:color w:val="000000"/>
          <w:sz w:val="24"/>
          <w:szCs w:val="24"/>
        </w:rPr>
        <w:t xml:space="preserve">La Oficina del Ombudsman, por conducto de su Procurador, </w:t>
      </w:r>
      <w:r w:rsidR="005738D9">
        <w:rPr>
          <w:rFonts w:ascii="Book Antiqua" w:hAnsi="Book Antiqua"/>
          <w:color w:val="000000"/>
          <w:sz w:val="24"/>
          <w:szCs w:val="24"/>
        </w:rPr>
        <w:t>Edwin García Feliciano</w:t>
      </w:r>
      <w:r>
        <w:rPr>
          <w:rFonts w:ascii="Book Antiqua" w:hAnsi="Book Antiqua"/>
          <w:color w:val="000000"/>
          <w:sz w:val="24"/>
          <w:szCs w:val="24"/>
        </w:rPr>
        <w:t>, presentó cometarios por escrito, de los cuales se desprenden los siguientes hallazgos</w:t>
      </w:r>
      <w:r w:rsidR="009974DE">
        <w:rPr>
          <w:rFonts w:ascii="Book Antiqua" w:hAnsi="Book Antiqua"/>
          <w:color w:val="000000"/>
          <w:sz w:val="24"/>
          <w:szCs w:val="24"/>
        </w:rPr>
        <w:t>:</w:t>
      </w:r>
    </w:p>
    <w:p w14:paraId="057A4441" w14:textId="77777777" w:rsidR="00455AA8" w:rsidRPr="00455AA8" w:rsidRDefault="00455AA8" w:rsidP="002D79D4">
      <w:pPr>
        <w:pStyle w:val="ListParagraph"/>
        <w:numPr>
          <w:ilvl w:val="0"/>
          <w:numId w:val="14"/>
        </w:numPr>
        <w:spacing w:after="0" w:line="240" w:lineRule="auto"/>
        <w:jc w:val="both"/>
        <w:rPr>
          <w:rFonts w:ascii="Book Antiqua" w:hAnsi="Book Antiqua"/>
          <w:b/>
          <w:bCs/>
          <w:color w:val="000000"/>
          <w:sz w:val="24"/>
          <w:szCs w:val="24"/>
          <w:u w:val="single"/>
        </w:rPr>
      </w:pPr>
      <w:r>
        <w:rPr>
          <w:rFonts w:ascii="Book Antiqua" w:hAnsi="Book Antiqua" w:cs="Calibri Light"/>
          <w:sz w:val="24"/>
          <w:szCs w:val="24"/>
          <w:lang w:val="es-ES_tradnl"/>
        </w:rPr>
        <w:t>S</w:t>
      </w:r>
      <w:r w:rsidR="002D79D4" w:rsidRPr="00455AA8">
        <w:rPr>
          <w:rFonts w:ascii="Book Antiqua" w:hAnsi="Book Antiqua" w:cs="Calibri Light"/>
          <w:sz w:val="24"/>
          <w:szCs w:val="24"/>
          <w:lang w:val="es-ES_tradnl"/>
        </w:rPr>
        <w:t xml:space="preserve">ostuvieron que su oficina recopila datos o estadísticas de reclamaciones que presentan los consumidores por daños a sus enseres eléctricos. </w:t>
      </w:r>
    </w:p>
    <w:p w14:paraId="2FFE9650" w14:textId="77777777" w:rsidR="0036337F" w:rsidRPr="0036337F" w:rsidRDefault="002D79D4" w:rsidP="002D79D4">
      <w:pPr>
        <w:pStyle w:val="ListParagraph"/>
        <w:numPr>
          <w:ilvl w:val="0"/>
          <w:numId w:val="14"/>
        </w:numPr>
        <w:spacing w:after="0" w:line="240" w:lineRule="auto"/>
        <w:jc w:val="both"/>
        <w:rPr>
          <w:rFonts w:ascii="Book Antiqua" w:hAnsi="Book Antiqua"/>
          <w:b/>
          <w:bCs/>
          <w:color w:val="000000"/>
          <w:sz w:val="24"/>
          <w:szCs w:val="24"/>
          <w:u w:val="single"/>
        </w:rPr>
      </w:pPr>
      <w:r w:rsidRPr="00455AA8">
        <w:rPr>
          <w:rFonts w:ascii="Book Antiqua" w:hAnsi="Book Antiqua" w:cs="Calibri Light"/>
          <w:sz w:val="24"/>
          <w:szCs w:val="24"/>
          <w:lang w:val="es-ES_tradnl"/>
        </w:rPr>
        <w:t xml:space="preserve">En lo que concierne a los servicios esenciales, entienden que la fiscalización de las agencias o entidades que los brindan debe ser más rigurosa. Indicaron que las fluctuaciones e interrupciones en el servicio eléctrico que causan daños a los equipos de los </w:t>
      </w:r>
      <w:proofErr w:type="gramStart"/>
      <w:r w:rsidRPr="00455AA8">
        <w:rPr>
          <w:rFonts w:ascii="Book Antiqua" w:hAnsi="Book Antiqua" w:cs="Calibri Light"/>
          <w:sz w:val="24"/>
          <w:szCs w:val="24"/>
          <w:lang w:val="es-ES_tradnl"/>
        </w:rPr>
        <w:t>abonados,</w:t>
      </w:r>
      <w:proofErr w:type="gramEnd"/>
      <w:r w:rsidRPr="00455AA8">
        <w:rPr>
          <w:rFonts w:ascii="Book Antiqua" w:hAnsi="Book Antiqua" w:cs="Calibri Light"/>
          <w:sz w:val="24"/>
          <w:szCs w:val="24"/>
          <w:lang w:val="es-ES_tradnl"/>
        </w:rPr>
        <w:t xml:space="preserve"> se deben a varios factores, entre los que mencionaron deficiencias en la capacidad de generación y falta de mantenimiento adecuado.</w:t>
      </w:r>
    </w:p>
    <w:p w14:paraId="39DE2FD2" w14:textId="77777777" w:rsidR="0036337F" w:rsidRPr="0036337F" w:rsidRDefault="002D79D4" w:rsidP="002D79D4">
      <w:pPr>
        <w:pStyle w:val="ListParagraph"/>
        <w:numPr>
          <w:ilvl w:val="0"/>
          <w:numId w:val="14"/>
        </w:numPr>
        <w:spacing w:after="0" w:line="240" w:lineRule="auto"/>
        <w:jc w:val="both"/>
        <w:rPr>
          <w:rFonts w:ascii="Book Antiqua" w:hAnsi="Book Antiqua"/>
          <w:b/>
          <w:bCs/>
          <w:color w:val="000000"/>
          <w:sz w:val="24"/>
          <w:szCs w:val="24"/>
          <w:u w:val="single"/>
        </w:rPr>
      </w:pPr>
      <w:r w:rsidRPr="00455AA8">
        <w:rPr>
          <w:rFonts w:ascii="Book Antiqua" w:hAnsi="Book Antiqua" w:cs="Calibri Light"/>
          <w:sz w:val="24"/>
          <w:szCs w:val="24"/>
          <w:lang w:val="es-ES_tradnl"/>
        </w:rPr>
        <w:t xml:space="preserve">Critican el que en el proceso de reclamaciones existente el abonado tenga el peso de la prueba. </w:t>
      </w:r>
    </w:p>
    <w:p w14:paraId="150AD0DB" w14:textId="77777777" w:rsidR="0036337F" w:rsidRPr="0036337F" w:rsidRDefault="002D79D4" w:rsidP="002D79D4">
      <w:pPr>
        <w:pStyle w:val="ListParagraph"/>
        <w:numPr>
          <w:ilvl w:val="0"/>
          <w:numId w:val="14"/>
        </w:numPr>
        <w:spacing w:after="0" w:line="240" w:lineRule="auto"/>
        <w:jc w:val="both"/>
        <w:rPr>
          <w:rFonts w:ascii="Book Antiqua" w:hAnsi="Book Antiqua"/>
          <w:b/>
          <w:bCs/>
          <w:color w:val="000000"/>
          <w:sz w:val="24"/>
          <w:szCs w:val="24"/>
          <w:u w:val="single"/>
        </w:rPr>
      </w:pPr>
      <w:r w:rsidRPr="00455AA8">
        <w:rPr>
          <w:rFonts w:ascii="Book Antiqua" w:hAnsi="Book Antiqua" w:cs="Calibri Light"/>
          <w:sz w:val="24"/>
          <w:szCs w:val="24"/>
          <w:lang w:val="es-ES_tradnl"/>
        </w:rPr>
        <w:t xml:space="preserve">Finalmente, indicaron que la falta de energía afecta gravemente a personas </w:t>
      </w:r>
      <w:proofErr w:type="gramStart"/>
      <w:r w:rsidRPr="00455AA8">
        <w:rPr>
          <w:rFonts w:ascii="Book Antiqua" w:hAnsi="Book Antiqua" w:cs="Calibri Light"/>
          <w:sz w:val="24"/>
          <w:szCs w:val="24"/>
          <w:lang w:val="es-ES_tradnl"/>
        </w:rPr>
        <w:t>electro-dependientes</w:t>
      </w:r>
      <w:proofErr w:type="gramEnd"/>
      <w:r w:rsidRPr="00455AA8">
        <w:rPr>
          <w:rFonts w:ascii="Book Antiqua" w:hAnsi="Book Antiqua" w:cs="Calibri Light"/>
          <w:sz w:val="24"/>
          <w:szCs w:val="24"/>
          <w:lang w:val="es-ES_tradnl"/>
        </w:rPr>
        <w:t xml:space="preserve"> y adultos mayores, así como a estudiantes y comerciantes.  </w:t>
      </w:r>
    </w:p>
    <w:p w14:paraId="6BFFF99C" w14:textId="1BDD54CC" w:rsidR="002D79D4" w:rsidRPr="00455AA8" w:rsidRDefault="002D79D4" w:rsidP="002D79D4">
      <w:pPr>
        <w:pStyle w:val="ListParagraph"/>
        <w:numPr>
          <w:ilvl w:val="0"/>
          <w:numId w:val="14"/>
        </w:numPr>
        <w:spacing w:after="0" w:line="240" w:lineRule="auto"/>
        <w:jc w:val="both"/>
        <w:rPr>
          <w:rFonts w:ascii="Book Antiqua" w:hAnsi="Book Antiqua"/>
          <w:b/>
          <w:bCs/>
          <w:color w:val="000000"/>
          <w:sz w:val="24"/>
          <w:szCs w:val="24"/>
          <w:u w:val="single"/>
        </w:rPr>
      </w:pPr>
      <w:r w:rsidRPr="00455AA8">
        <w:rPr>
          <w:rFonts w:ascii="Book Antiqua" w:hAnsi="Book Antiqua" w:cs="Calibri Light"/>
          <w:sz w:val="24"/>
          <w:szCs w:val="24"/>
          <w:lang w:val="es-ES_tradnl"/>
        </w:rPr>
        <w:t>Su oficina orienta a los consumidores y canaliza sus reclamos a las entidades concernidas.</w:t>
      </w:r>
    </w:p>
    <w:p w14:paraId="5CEF864C" w14:textId="77777777" w:rsidR="002D79D4" w:rsidRPr="002D79D4" w:rsidRDefault="002D79D4" w:rsidP="007B3187">
      <w:pPr>
        <w:spacing w:after="0" w:line="240" w:lineRule="auto"/>
        <w:jc w:val="both"/>
        <w:rPr>
          <w:rFonts w:ascii="Book Antiqua" w:hAnsi="Book Antiqua"/>
          <w:b/>
          <w:bCs/>
          <w:color w:val="000000"/>
          <w:sz w:val="24"/>
          <w:szCs w:val="24"/>
          <w:u w:val="single"/>
          <w:lang w:val="es-ES_tradnl"/>
        </w:rPr>
      </w:pPr>
    </w:p>
    <w:p w14:paraId="1D235364" w14:textId="77777777" w:rsidR="00D42E9C" w:rsidRDefault="00D42E9C" w:rsidP="007B3187">
      <w:pPr>
        <w:spacing w:after="0" w:line="240" w:lineRule="auto"/>
        <w:jc w:val="both"/>
        <w:rPr>
          <w:rFonts w:ascii="Book Antiqua" w:hAnsi="Book Antiqua"/>
          <w:b/>
          <w:bCs/>
          <w:color w:val="000000"/>
          <w:sz w:val="24"/>
          <w:szCs w:val="24"/>
          <w:u w:val="single"/>
        </w:rPr>
      </w:pPr>
    </w:p>
    <w:p w14:paraId="729C09FB" w14:textId="4F641056" w:rsidR="00D42E9C" w:rsidRPr="00D42E9C" w:rsidRDefault="00DB47CF" w:rsidP="007B3187">
      <w:pPr>
        <w:spacing w:after="0" w:line="240" w:lineRule="auto"/>
        <w:jc w:val="both"/>
        <w:rPr>
          <w:rFonts w:ascii="Book Antiqua" w:hAnsi="Book Antiqua"/>
          <w:b/>
          <w:bCs/>
          <w:color w:val="000000"/>
          <w:sz w:val="24"/>
          <w:szCs w:val="24"/>
          <w:u w:val="single"/>
        </w:rPr>
      </w:pPr>
      <w:r>
        <w:rPr>
          <w:rFonts w:ascii="Book Antiqua" w:hAnsi="Book Antiqua"/>
          <w:b/>
          <w:bCs/>
          <w:color w:val="000000"/>
          <w:sz w:val="24"/>
          <w:szCs w:val="24"/>
          <w:u w:val="single"/>
        </w:rPr>
        <w:t>COLEGIO DE PERITOS ELECTRICISTAS DE PUERTO RICO</w:t>
      </w:r>
    </w:p>
    <w:p w14:paraId="26DA0CE1" w14:textId="77777777" w:rsidR="00E6738B" w:rsidRDefault="00E6738B" w:rsidP="007B3187">
      <w:pPr>
        <w:spacing w:after="0" w:line="240" w:lineRule="auto"/>
        <w:jc w:val="both"/>
        <w:rPr>
          <w:rFonts w:ascii="Book Antiqua" w:hAnsi="Book Antiqua"/>
          <w:color w:val="000000"/>
          <w:sz w:val="24"/>
          <w:szCs w:val="24"/>
        </w:rPr>
      </w:pPr>
    </w:p>
    <w:p w14:paraId="32E7CAB2" w14:textId="36587D56" w:rsidR="009974DE" w:rsidRPr="007F143E" w:rsidRDefault="009974DE" w:rsidP="00775B08">
      <w:pPr>
        <w:ind w:firstLine="708"/>
        <w:rPr>
          <w:rFonts w:ascii="Book Antiqua" w:hAnsi="Book Antiqua"/>
          <w:b/>
          <w:bCs/>
          <w:sz w:val="24"/>
          <w:szCs w:val="24"/>
        </w:rPr>
      </w:pPr>
      <w:r w:rsidRPr="007F143E">
        <w:rPr>
          <w:rFonts w:ascii="Book Antiqua" w:hAnsi="Book Antiqua"/>
          <w:sz w:val="24"/>
          <w:szCs w:val="24"/>
        </w:rPr>
        <w:t xml:space="preserve">El Colegio de Peritos Electricistas de Puerto Rico, por conducto de su </w:t>
      </w:r>
      <w:proofErr w:type="gramStart"/>
      <w:r w:rsidRPr="007F143E">
        <w:rPr>
          <w:rFonts w:ascii="Book Antiqua" w:hAnsi="Book Antiqua"/>
          <w:sz w:val="24"/>
          <w:szCs w:val="24"/>
        </w:rPr>
        <w:t>Presidenta</w:t>
      </w:r>
      <w:proofErr w:type="gramEnd"/>
      <w:r w:rsidRPr="007F143E">
        <w:rPr>
          <w:rFonts w:ascii="Book Antiqua" w:hAnsi="Book Antiqua"/>
          <w:sz w:val="24"/>
          <w:szCs w:val="24"/>
        </w:rPr>
        <w:t xml:space="preserve">, </w:t>
      </w:r>
      <w:r w:rsidR="007F143E" w:rsidRPr="007F143E">
        <w:rPr>
          <w:rFonts w:ascii="Book Antiqua" w:hAnsi="Book Antiqua"/>
          <w:sz w:val="24"/>
          <w:szCs w:val="24"/>
        </w:rPr>
        <w:t>Frances Berríos Meléndez</w:t>
      </w:r>
      <w:r w:rsidRPr="007F143E">
        <w:rPr>
          <w:rFonts w:ascii="Book Antiqua" w:hAnsi="Book Antiqua"/>
          <w:sz w:val="24"/>
          <w:szCs w:val="24"/>
        </w:rPr>
        <w:t>, presentó cometarios por escrito, de los cuales se desprenden los siguientes hallazgos:</w:t>
      </w:r>
    </w:p>
    <w:p w14:paraId="1FF2F3A9" w14:textId="77777777" w:rsidR="007F143E" w:rsidRPr="007F143E" w:rsidRDefault="007F143E" w:rsidP="007B3187">
      <w:pPr>
        <w:pStyle w:val="ListParagraph"/>
        <w:numPr>
          <w:ilvl w:val="0"/>
          <w:numId w:val="15"/>
        </w:numPr>
        <w:spacing w:after="0" w:line="240" w:lineRule="auto"/>
        <w:jc w:val="both"/>
        <w:rPr>
          <w:rFonts w:ascii="Book Antiqua" w:hAnsi="Book Antiqua"/>
          <w:color w:val="000000"/>
          <w:sz w:val="24"/>
          <w:szCs w:val="24"/>
        </w:rPr>
      </w:pPr>
      <w:r>
        <w:rPr>
          <w:rFonts w:ascii="Book Antiqua" w:hAnsi="Book Antiqua" w:cs="Calibri Light"/>
          <w:sz w:val="24"/>
          <w:szCs w:val="24"/>
          <w:lang w:val="es-ES_tradnl"/>
        </w:rPr>
        <w:t>E</w:t>
      </w:r>
      <w:r w:rsidR="007B1258" w:rsidRPr="007F143E">
        <w:rPr>
          <w:rFonts w:ascii="Book Antiqua" w:hAnsi="Book Antiqua" w:cs="Calibri Light"/>
          <w:sz w:val="24"/>
          <w:szCs w:val="24"/>
          <w:lang w:val="es-ES_tradnl"/>
        </w:rPr>
        <w:t xml:space="preserve">xpusieron que las interrupciones de servicio eléctrico y las fluctuaciones de voltaje afectan adversamente a los consumidores. </w:t>
      </w:r>
    </w:p>
    <w:p w14:paraId="65886AE9" w14:textId="77777777" w:rsidR="007D09E3" w:rsidRPr="007D09E3" w:rsidRDefault="007D09E3" w:rsidP="007B3187">
      <w:pPr>
        <w:pStyle w:val="ListParagraph"/>
        <w:numPr>
          <w:ilvl w:val="0"/>
          <w:numId w:val="15"/>
        </w:numPr>
        <w:spacing w:after="0" w:line="240" w:lineRule="auto"/>
        <w:jc w:val="both"/>
        <w:rPr>
          <w:rFonts w:ascii="Book Antiqua" w:hAnsi="Book Antiqua"/>
          <w:color w:val="000000"/>
          <w:sz w:val="24"/>
          <w:szCs w:val="24"/>
        </w:rPr>
      </w:pPr>
      <w:r>
        <w:rPr>
          <w:rFonts w:ascii="Book Antiqua" w:hAnsi="Book Antiqua" w:cs="Calibri Light"/>
          <w:sz w:val="24"/>
          <w:szCs w:val="24"/>
          <w:lang w:val="es-ES_tradnl"/>
        </w:rPr>
        <w:lastRenderedPageBreak/>
        <w:t>S</w:t>
      </w:r>
      <w:r w:rsidR="007B1258" w:rsidRPr="007F143E">
        <w:rPr>
          <w:rFonts w:ascii="Book Antiqua" w:hAnsi="Book Antiqua" w:cs="Calibri Light"/>
          <w:sz w:val="24"/>
          <w:szCs w:val="24"/>
          <w:lang w:val="es-ES_tradnl"/>
        </w:rPr>
        <w:t xml:space="preserve">ostienen que el deterioro en la calidad del servicio eléctrico afecta el derecho de los consumidores a recibir un servicio esencial de manera continua, segura y confiable. </w:t>
      </w:r>
    </w:p>
    <w:p w14:paraId="46D07F29" w14:textId="3D7A55EB" w:rsidR="007B1258" w:rsidRPr="007F143E" w:rsidRDefault="007B1258" w:rsidP="007B3187">
      <w:pPr>
        <w:pStyle w:val="ListParagraph"/>
        <w:numPr>
          <w:ilvl w:val="0"/>
          <w:numId w:val="15"/>
        </w:numPr>
        <w:spacing w:after="0" w:line="240" w:lineRule="auto"/>
        <w:jc w:val="both"/>
        <w:rPr>
          <w:rFonts w:ascii="Book Antiqua" w:hAnsi="Book Antiqua"/>
          <w:color w:val="000000"/>
          <w:sz w:val="24"/>
          <w:szCs w:val="24"/>
        </w:rPr>
      </w:pPr>
      <w:r w:rsidRPr="007F143E">
        <w:rPr>
          <w:rFonts w:ascii="Book Antiqua" w:hAnsi="Book Antiqua" w:cs="Calibri Light"/>
          <w:sz w:val="24"/>
          <w:szCs w:val="24"/>
          <w:lang w:val="es-ES_tradnl"/>
        </w:rPr>
        <w:t>En lo que concierne a la intervención de LUMA en el análisis de reclamaciones, entienden que existe falta de transparencia en la evaluación casos; ausencia de un sistema uniforme y auditable de manejo de reclamaciones; y ausencia de compensación efectiva</w:t>
      </w:r>
      <w:r w:rsidR="007D09E3">
        <w:rPr>
          <w:rFonts w:ascii="Book Antiqua" w:hAnsi="Book Antiqua" w:cs="Calibri Light"/>
          <w:sz w:val="24"/>
          <w:szCs w:val="24"/>
          <w:lang w:val="es-ES_tradnl"/>
        </w:rPr>
        <w:t>.</w:t>
      </w:r>
    </w:p>
    <w:p w14:paraId="4F115895" w14:textId="77777777" w:rsidR="00E6738B" w:rsidRPr="0023263A" w:rsidRDefault="00E6738B" w:rsidP="007B3187">
      <w:pPr>
        <w:spacing w:after="0" w:line="240" w:lineRule="auto"/>
        <w:jc w:val="both"/>
        <w:rPr>
          <w:rFonts w:ascii="Book Antiqua" w:hAnsi="Book Antiqua"/>
          <w:sz w:val="24"/>
          <w:szCs w:val="24"/>
        </w:rPr>
      </w:pPr>
    </w:p>
    <w:p w14:paraId="1CC5A36A" w14:textId="77777777" w:rsidR="007B3187" w:rsidRPr="0023263A" w:rsidRDefault="007B3187" w:rsidP="007B3187">
      <w:pPr>
        <w:spacing w:after="0" w:line="240" w:lineRule="auto"/>
        <w:jc w:val="both"/>
        <w:rPr>
          <w:rFonts w:ascii="Book Antiqua" w:hAnsi="Book Antiqua"/>
          <w:sz w:val="24"/>
          <w:szCs w:val="24"/>
        </w:rPr>
      </w:pPr>
    </w:p>
    <w:p w14:paraId="68508774" w14:textId="4B1B46E3" w:rsidR="00086DA1" w:rsidRDefault="00086DA1" w:rsidP="007B3187">
      <w:pPr>
        <w:pStyle w:val="Heading3"/>
        <w:spacing w:after="120"/>
        <w:ind w:left="3540" w:firstLine="0"/>
        <w:jc w:val="left"/>
        <w:rPr>
          <w:rFonts w:ascii="Book Antiqua" w:hAnsi="Book Antiqua"/>
        </w:rPr>
      </w:pPr>
      <w:r>
        <w:rPr>
          <w:rFonts w:ascii="Book Antiqua" w:hAnsi="Book Antiqua"/>
        </w:rPr>
        <w:t>VISTA PÚBLICA</w:t>
      </w:r>
    </w:p>
    <w:p w14:paraId="43289528" w14:textId="77777777" w:rsidR="00086DA1" w:rsidRDefault="00086DA1" w:rsidP="00086DA1">
      <w:pPr>
        <w:rPr>
          <w:lang w:val="es-ES" w:eastAsia="x-none"/>
        </w:rPr>
      </w:pPr>
    </w:p>
    <w:p w14:paraId="614EAE9C" w14:textId="0510E729" w:rsidR="00E96C8C" w:rsidRDefault="00B16E0E" w:rsidP="00775B08">
      <w:pPr>
        <w:ind w:firstLine="708"/>
        <w:jc w:val="both"/>
        <w:rPr>
          <w:rFonts w:ascii="Book Antiqua" w:hAnsi="Book Antiqua"/>
          <w:sz w:val="24"/>
          <w:szCs w:val="24"/>
          <w:lang w:val="es-ES" w:eastAsia="x-none"/>
        </w:rPr>
      </w:pPr>
      <w:r w:rsidRPr="00B16E0E">
        <w:rPr>
          <w:rFonts w:ascii="Book Antiqua" w:hAnsi="Book Antiqua"/>
          <w:sz w:val="24"/>
          <w:szCs w:val="24"/>
          <w:lang w:val="es-ES" w:eastAsia="x-none"/>
        </w:rPr>
        <w:t>La Comisión celebr</w:t>
      </w:r>
      <w:r>
        <w:rPr>
          <w:rFonts w:ascii="Book Antiqua" w:hAnsi="Book Antiqua"/>
          <w:sz w:val="24"/>
          <w:szCs w:val="24"/>
          <w:lang w:val="es-ES" w:eastAsia="x-none"/>
        </w:rPr>
        <w:t xml:space="preserve">ó </w:t>
      </w:r>
      <w:r w:rsidR="009A6546">
        <w:rPr>
          <w:rFonts w:ascii="Book Antiqua" w:hAnsi="Book Antiqua"/>
          <w:sz w:val="24"/>
          <w:szCs w:val="24"/>
          <w:lang w:val="es-ES" w:eastAsia="x-none"/>
        </w:rPr>
        <w:t xml:space="preserve">el 27 de mayo de 2025 una vista pública en la cual depusieron los representantes de DACO, OIPC, LUMA, </w:t>
      </w:r>
      <w:r w:rsidR="00E96C8C">
        <w:rPr>
          <w:rFonts w:ascii="Book Antiqua" w:hAnsi="Book Antiqua"/>
          <w:sz w:val="24"/>
          <w:szCs w:val="24"/>
          <w:lang w:val="es-ES" w:eastAsia="x-none"/>
        </w:rPr>
        <w:t xml:space="preserve">AEE, y la Oficina del </w:t>
      </w:r>
      <w:r w:rsidR="009A6546">
        <w:rPr>
          <w:rFonts w:ascii="Book Antiqua" w:hAnsi="Book Antiqua"/>
          <w:sz w:val="24"/>
          <w:szCs w:val="24"/>
          <w:lang w:val="es-ES" w:eastAsia="x-none"/>
        </w:rPr>
        <w:t>Ombudsman</w:t>
      </w:r>
      <w:r w:rsidR="00E96C8C">
        <w:rPr>
          <w:rFonts w:ascii="Book Antiqua" w:hAnsi="Book Antiqua"/>
          <w:sz w:val="24"/>
          <w:szCs w:val="24"/>
          <w:lang w:val="es-ES" w:eastAsia="x-none"/>
        </w:rPr>
        <w:t>. En la referida vista pública, se encontraron los siguientes hallazgos</w:t>
      </w:r>
      <w:r w:rsidR="005F47AB">
        <w:rPr>
          <w:rFonts w:ascii="Book Antiqua" w:hAnsi="Book Antiqua"/>
          <w:sz w:val="24"/>
          <w:szCs w:val="24"/>
          <w:lang w:val="es-ES" w:eastAsia="x-none"/>
        </w:rPr>
        <w:t>:</w:t>
      </w:r>
      <w:r w:rsidR="00AC1526">
        <w:rPr>
          <w:rFonts w:ascii="Book Antiqua" w:hAnsi="Book Antiqua"/>
          <w:sz w:val="24"/>
          <w:szCs w:val="24"/>
          <w:lang w:val="es-ES" w:eastAsia="x-none"/>
        </w:rPr>
        <w:t xml:space="preserve"> </w:t>
      </w:r>
    </w:p>
    <w:p w14:paraId="5558B2A6" w14:textId="6E5018A9" w:rsidR="008E55D4" w:rsidRDefault="00084D4B" w:rsidP="00084D4B">
      <w:pPr>
        <w:pStyle w:val="ListParagraph"/>
        <w:numPr>
          <w:ilvl w:val="0"/>
          <w:numId w:val="16"/>
        </w:numPr>
        <w:jc w:val="both"/>
        <w:rPr>
          <w:rFonts w:ascii="Book Antiqua" w:hAnsi="Book Antiqua"/>
          <w:sz w:val="24"/>
          <w:szCs w:val="24"/>
          <w:lang w:val="es-ES" w:eastAsia="x-none"/>
        </w:rPr>
      </w:pPr>
      <w:r>
        <w:rPr>
          <w:rFonts w:ascii="Book Antiqua" w:hAnsi="Book Antiqua"/>
          <w:sz w:val="24"/>
          <w:szCs w:val="24"/>
          <w:lang w:val="es-ES" w:eastAsia="x-none"/>
        </w:rPr>
        <w:t>El DACO no cuenta con jurisdicción para atender reclamaciones de consumidores afectados por fluctuaciones de voltaje en interrupciones de servicio.</w:t>
      </w:r>
    </w:p>
    <w:p w14:paraId="4D19D40E" w14:textId="2D360F12" w:rsidR="00084D4B" w:rsidRDefault="00EA2317" w:rsidP="00084D4B">
      <w:pPr>
        <w:pStyle w:val="ListParagraph"/>
        <w:numPr>
          <w:ilvl w:val="0"/>
          <w:numId w:val="16"/>
        </w:numPr>
        <w:jc w:val="both"/>
        <w:rPr>
          <w:rFonts w:ascii="Book Antiqua" w:hAnsi="Book Antiqua"/>
          <w:sz w:val="24"/>
          <w:szCs w:val="24"/>
          <w:lang w:val="es-ES" w:eastAsia="x-none"/>
        </w:rPr>
      </w:pPr>
      <w:r>
        <w:rPr>
          <w:rFonts w:ascii="Book Antiqua" w:hAnsi="Book Antiqua"/>
          <w:sz w:val="24"/>
          <w:szCs w:val="24"/>
          <w:lang w:val="es-ES" w:eastAsia="x-none"/>
        </w:rPr>
        <w:t xml:space="preserve">LUMA es quien </w:t>
      </w:r>
      <w:r w:rsidR="003919F9">
        <w:rPr>
          <w:rFonts w:ascii="Book Antiqua" w:hAnsi="Book Antiqua"/>
          <w:sz w:val="24"/>
          <w:szCs w:val="24"/>
          <w:lang w:val="es-ES" w:eastAsia="x-none"/>
        </w:rPr>
        <w:t>autoevalúa</w:t>
      </w:r>
      <w:r>
        <w:rPr>
          <w:rFonts w:ascii="Book Antiqua" w:hAnsi="Book Antiqua"/>
          <w:sz w:val="24"/>
          <w:szCs w:val="24"/>
          <w:lang w:val="es-ES" w:eastAsia="x-none"/>
        </w:rPr>
        <w:t xml:space="preserve"> las reclamaciones de los consumidores.</w:t>
      </w:r>
    </w:p>
    <w:p w14:paraId="0B66370A" w14:textId="77777777" w:rsidR="005C10D1" w:rsidRDefault="00EA2317" w:rsidP="00EA2317">
      <w:pPr>
        <w:pStyle w:val="ListParagraph"/>
        <w:numPr>
          <w:ilvl w:val="0"/>
          <w:numId w:val="16"/>
        </w:numPr>
        <w:spacing w:after="0" w:line="240" w:lineRule="auto"/>
        <w:jc w:val="both"/>
        <w:rPr>
          <w:rFonts w:ascii="Book Antiqua" w:hAnsi="Book Antiqua"/>
          <w:color w:val="000000"/>
          <w:sz w:val="24"/>
          <w:szCs w:val="24"/>
        </w:rPr>
      </w:pPr>
      <w:r w:rsidRPr="005C10D1">
        <w:rPr>
          <w:rFonts w:ascii="Book Antiqua" w:hAnsi="Book Antiqua"/>
          <w:color w:val="000000"/>
          <w:sz w:val="24"/>
          <w:szCs w:val="24"/>
        </w:rPr>
        <w:t>Entre el 2021 y mayo de 2025, LUMA ha atendido un total de 1,828 querellas o reclamaciones por enseres dañados</w:t>
      </w:r>
      <w:r w:rsidR="005C10D1">
        <w:rPr>
          <w:rFonts w:ascii="Book Antiqua" w:hAnsi="Book Antiqua"/>
          <w:color w:val="000000"/>
          <w:sz w:val="24"/>
          <w:szCs w:val="24"/>
        </w:rPr>
        <w:t>.</w:t>
      </w:r>
    </w:p>
    <w:p w14:paraId="61C412BB" w14:textId="4DB0B2E9" w:rsidR="00EA2317" w:rsidRPr="005C10D1" w:rsidRDefault="005C10D1" w:rsidP="00EA2317">
      <w:pPr>
        <w:pStyle w:val="ListParagraph"/>
        <w:numPr>
          <w:ilvl w:val="0"/>
          <w:numId w:val="16"/>
        </w:numPr>
        <w:spacing w:after="0" w:line="240" w:lineRule="auto"/>
        <w:jc w:val="both"/>
        <w:rPr>
          <w:rFonts w:ascii="Book Antiqua" w:hAnsi="Book Antiqua"/>
          <w:color w:val="000000"/>
          <w:sz w:val="24"/>
          <w:szCs w:val="24"/>
        </w:rPr>
      </w:pPr>
      <w:r>
        <w:rPr>
          <w:rFonts w:ascii="Book Antiqua" w:hAnsi="Book Antiqua"/>
          <w:color w:val="000000"/>
          <w:sz w:val="24"/>
          <w:szCs w:val="24"/>
        </w:rPr>
        <w:t>La Comisión advino en conocimiento de</w:t>
      </w:r>
      <w:r w:rsidR="00BD3E72">
        <w:rPr>
          <w:rFonts w:ascii="Book Antiqua" w:hAnsi="Book Antiqua"/>
          <w:color w:val="000000"/>
          <w:sz w:val="24"/>
          <w:szCs w:val="24"/>
        </w:rPr>
        <w:t>l alarmante dato brindado por LUMA</w:t>
      </w:r>
      <w:r w:rsidR="006E25D5">
        <w:rPr>
          <w:rFonts w:ascii="Book Antiqua" w:hAnsi="Book Antiqua"/>
          <w:color w:val="000000"/>
          <w:sz w:val="24"/>
          <w:szCs w:val="24"/>
        </w:rPr>
        <w:t xml:space="preserve">, quien acreditó que </w:t>
      </w:r>
      <w:r w:rsidR="00EA2317" w:rsidRPr="005C10D1">
        <w:rPr>
          <w:rFonts w:ascii="Book Antiqua" w:hAnsi="Book Antiqua"/>
          <w:color w:val="000000"/>
          <w:sz w:val="24"/>
          <w:szCs w:val="24"/>
        </w:rPr>
        <w:t>la totalidad de los</w:t>
      </w:r>
      <w:r w:rsidR="006E25D5">
        <w:rPr>
          <w:rFonts w:ascii="Book Antiqua" w:hAnsi="Book Antiqua"/>
          <w:color w:val="000000"/>
          <w:sz w:val="24"/>
          <w:szCs w:val="24"/>
        </w:rPr>
        <w:t xml:space="preserve"> 1,828 casos</w:t>
      </w:r>
      <w:r w:rsidR="00EA2317" w:rsidRPr="005C10D1">
        <w:rPr>
          <w:rFonts w:ascii="Book Antiqua" w:hAnsi="Book Antiqua"/>
          <w:color w:val="000000"/>
          <w:sz w:val="24"/>
          <w:szCs w:val="24"/>
        </w:rPr>
        <w:t xml:space="preserve"> han sido denegados.</w:t>
      </w:r>
    </w:p>
    <w:p w14:paraId="5CB9389F" w14:textId="77777777" w:rsidR="005C10D1" w:rsidRPr="005C10D1" w:rsidRDefault="005C10D1" w:rsidP="005C10D1">
      <w:pPr>
        <w:pStyle w:val="ListParagraph"/>
        <w:numPr>
          <w:ilvl w:val="0"/>
          <w:numId w:val="16"/>
        </w:numPr>
        <w:spacing w:after="0" w:line="240" w:lineRule="auto"/>
        <w:jc w:val="both"/>
        <w:rPr>
          <w:rFonts w:ascii="Book Antiqua" w:hAnsi="Book Antiqua"/>
          <w:color w:val="000000"/>
          <w:sz w:val="24"/>
          <w:szCs w:val="24"/>
        </w:rPr>
      </w:pPr>
      <w:r w:rsidRPr="005C10D1">
        <w:rPr>
          <w:rFonts w:ascii="Book Antiqua" w:hAnsi="Book Antiqua"/>
          <w:color w:val="000000"/>
          <w:sz w:val="24"/>
          <w:szCs w:val="24"/>
        </w:rPr>
        <w:t>LUMA sostiene que no es responsable de los daños reclamados, toda vez que es de aplicabilidad el Relevo de Responsabilidad que forma parte de su contrato, el cual fue autorizado por el Negociado de Energía.</w:t>
      </w:r>
    </w:p>
    <w:p w14:paraId="0BE7D8C6" w14:textId="3877D92A" w:rsidR="00AC1526" w:rsidRPr="0034091C" w:rsidRDefault="00DB4915" w:rsidP="00086DA1">
      <w:pPr>
        <w:pStyle w:val="ListParagraph"/>
        <w:numPr>
          <w:ilvl w:val="0"/>
          <w:numId w:val="16"/>
        </w:numPr>
        <w:jc w:val="both"/>
        <w:rPr>
          <w:rFonts w:ascii="Book Antiqua" w:hAnsi="Book Antiqua"/>
          <w:sz w:val="24"/>
          <w:szCs w:val="24"/>
          <w:lang w:val="es-ES" w:eastAsia="x-none"/>
        </w:rPr>
      </w:pPr>
      <w:r>
        <w:rPr>
          <w:rFonts w:ascii="Book Antiqua" w:hAnsi="Book Antiqua"/>
          <w:sz w:val="24"/>
          <w:szCs w:val="24"/>
          <w:lang w:val="es-ES" w:eastAsia="x-none"/>
        </w:rPr>
        <w:t xml:space="preserve">Las fluctuaciones de voltaje e interrupciones de servicio pueden obedecer a diferentes causas, desde </w:t>
      </w:r>
      <w:r w:rsidR="00A33C0F">
        <w:rPr>
          <w:rFonts w:ascii="Book Antiqua" w:hAnsi="Book Antiqua"/>
          <w:sz w:val="24"/>
          <w:szCs w:val="24"/>
          <w:lang w:val="es-ES" w:eastAsia="x-none"/>
        </w:rPr>
        <w:t>falta de mantenimiento, vegetación, falta de generación y hasta los efectos de los sistemas de energía renovable que se conectan a la red eléctrica, entre otros.</w:t>
      </w:r>
    </w:p>
    <w:p w14:paraId="6D4417A9" w14:textId="2847D539" w:rsidR="00AC1526" w:rsidRDefault="00AC1526" w:rsidP="00775B08">
      <w:pPr>
        <w:ind w:firstLine="708"/>
        <w:jc w:val="both"/>
        <w:rPr>
          <w:rFonts w:ascii="Book Antiqua" w:hAnsi="Book Antiqua"/>
          <w:sz w:val="24"/>
          <w:szCs w:val="24"/>
          <w:lang w:val="es-ES" w:eastAsia="x-none"/>
        </w:rPr>
      </w:pPr>
      <w:r>
        <w:rPr>
          <w:rFonts w:ascii="Book Antiqua" w:hAnsi="Book Antiqua"/>
          <w:sz w:val="24"/>
          <w:szCs w:val="24"/>
          <w:lang w:val="es-ES" w:eastAsia="x-none"/>
        </w:rPr>
        <w:t>Como parte de los procesos llevados a cabo, la Comisión realizó requerimientos de información a</w:t>
      </w:r>
      <w:r w:rsidR="00F82A9A">
        <w:rPr>
          <w:rFonts w:ascii="Book Antiqua" w:hAnsi="Book Antiqua"/>
          <w:sz w:val="24"/>
          <w:szCs w:val="24"/>
          <w:lang w:val="es-ES" w:eastAsia="x-none"/>
        </w:rPr>
        <w:t>l</w:t>
      </w:r>
      <w:r w:rsidR="006B45DF">
        <w:rPr>
          <w:rFonts w:ascii="Book Antiqua" w:hAnsi="Book Antiqua"/>
          <w:sz w:val="24"/>
          <w:szCs w:val="24"/>
          <w:lang w:val="es-ES" w:eastAsia="x-none"/>
        </w:rPr>
        <w:t xml:space="preserve"> DACO, </w:t>
      </w:r>
      <w:r w:rsidR="00F82A9A">
        <w:rPr>
          <w:rFonts w:ascii="Book Antiqua" w:hAnsi="Book Antiqua"/>
          <w:sz w:val="24"/>
          <w:szCs w:val="24"/>
          <w:lang w:val="es-ES" w:eastAsia="x-none"/>
        </w:rPr>
        <w:t xml:space="preserve">a </w:t>
      </w:r>
      <w:r w:rsidR="006B45DF">
        <w:rPr>
          <w:rFonts w:ascii="Book Antiqua" w:hAnsi="Book Antiqua"/>
          <w:sz w:val="24"/>
          <w:szCs w:val="24"/>
          <w:lang w:val="es-ES" w:eastAsia="x-none"/>
        </w:rPr>
        <w:t xml:space="preserve">LUMA y a la AEE, quienes </w:t>
      </w:r>
      <w:r w:rsidR="00ED2DE1">
        <w:rPr>
          <w:rFonts w:ascii="Book Antiqua" w:hAnsi="Book Antiqua"/>
          <w:sz w:val="24"/>
          <w:szCs w:val="24"/>
          <w:lang w:val="es-ES" w:eastAsia="x-none"/>
        </w:rPr>
        <w:t>respondieron</w:t>
      </w:r>
      <w:r w:rsidR="006B45DF">
        <w:rPr>
          <w:rFonts w:ascii="Book Antiqua" w:hAnsi="Book Antiqua"/>
          <w:sz w:val="24"/>
          <w:szCs w:val="24"/>
          <w:lang w:val="es-ES" w:eastAsia="x-none"/>
        </w:rPr>
        <w:t xml:space="preserve"> oportunamente supliendo la información que les fuera solicitada</w:t>
      </w:r>
      <w:r w:rsidR="00ED2DE1">
        <w:rPr>
          <w:rFonts w:ascii="Book Antiqua" w:hAnsi="Book Antiqua"/>
          <w:sz w:val="24"/>
          <w:szCs w:val="24"/>
          <w:lang w:val="es-ES" w:eastAsia="x-none"/>
        </w:rPr>
        <w:t>.</w:t>
      </w:r>
    </w:p>
    <w:p w14:paraId="17C7BCA9" w14:textId="6DE10B8F" w:rsidR="008F5DED" w:rsidRDefault="00AC28C1" w:rsidP="00775B08">
      <w:pPr>
        <w:ind w:firstLine="708"/>
        <w:jc w:val="both"/>
        <w:rPr>
          <w:rFonts w:ascii="Book Antiqua" w:hAnsi="Book Antiqua"/>
          <w:sz w:val="24"/>
          <w:szCs w:val="24"/>
          <w:lang w:val="es-ES" w:eastAsia="x-none"/>
        </w:rPr>
      </w:pPr>
      <w:r>
        <w:rPr>
          <w:rFonts w:ascii="Book Antiqua" w:hAnsi="Book Antiqua"/>
          <w:sz w:val="24"/>
          <w:szCs w:val="24"/>
          <w:lang w:val="es-ES" w:eastAsia="x-none"/>
        </w:rPr>
        <w:t>En el caso del DACO, como parte del requerimiento que la Comisión realizara a solicitud de la representante Burgos Muñiz</w:t>
      </w:r>
      <w:r w:rsidR="008F5DED">
        <w:rPr>
          <w:rFonts w:ascii="Book Antiqua" w:hAnsi="Book Antiqua"/>
          <w:sz w:val="24"/>
          <w:szCs w:val="24"/>
          <w:lang w:val="es-ES" w:eastAsia="x-none"/>
        </w:rPr>
        <w:t xml:space="preserve">, </w:t>
      </w:r>
      <w:r>
        <w:rPr>
          <w:rFonts w:ascii="Book Antiqua" w:hAnsi="Book Antiqua"/>
          <w:sz w:val="24"/>
          <w:szCs w:val="24"/>
          <w:lang w:val="es-ES" w:eastAsia="x-none"/>
        </w:rPr>
        <w:t xml:space="preserve">se informó </w:t>
      </w:r>
      <w:r w:rsidR="008F5DED">
        <w:rPr>
          <w:rFonts w:ascii="Book Antiqua" w:hAnsi="Book Antiqua"/>
          <w:sz w:val="24"/>
          <w:szCs w:val="24"/>
          <w:lang w:val="es-ES" w:eastAsia="x-none"/>
        </w:rPr>
        <w:t>lo siguiente:</w:t>
      </w:r>
    </w:p>
    <w:p w14:paraId="301001A4" w14:textId="55B62935" w:rsidR="008F5DED" w:rsidRDefault="008F5DED" w:rsidP="008F5DED">
      <w:pPr>
        <w:pStyle w:val="ListParagraph"/>
        <w:numPr>
          <w:ilvl w:val="0"/>
          <w:numId w:val="17"/>
        </w:numPr>
        <w:jc w:val="both"/>
        <w:rPr>
          <w:rFonts w:ascii="Book Antiqua" w:hAnsi="Book Antiqua"/>
          <w:sz w:val="24"/>
          <w:szCs w:val="24"/>
          <w:lang w:val="es-ES" w:eastAsia="x-none"/>
        </w:rPr>
      </w:pPr>
      <w:r>
        <w:rPr>
          <w:rFonts w:ascii="Book Antiqua" w:hAnsi="Book Antiqua"/>
          <w:sz w:val="24"/>
          <w:szCs w:val="24"/>
          <w:lang w:val="es-ES" w:eastAsia="x-none"/>
        </w:rPr>
        <w:t>Desde el 1 de enero de 2024 hasta el 31 de mayo de 2025</w:t>
      </w:r>
      <w:r w:rsidR="00C244E1">
        <w:rPr>
          <w:rFonts w:ascii="Book Antiqua" w:hAnsi="Book Antiqua"/>
          <w:sz w:val="24"/>
          <w:szCs w:val="24"/>
          <w:lang w:val="es-ES" w:eastAsia="x-none"/>
        </w:rPr>
        <w:t>, se radicaron ante el DACO unas 661 querellas relacionadas con compañías de placas solares</w:t>
      </w:r>
      <w:r w:rsidR="00DF181D">
        <w:rPr>
          <w:rFonts w:ascii="Book Antiqua" w:hAnsi="Book Antiqua"/>
          <w:sz w:val="24"/>
          <w:szCs w:val="24"/>
          <w:lang w:val="es-ES" w:eastAsia="x-none"/>
        </w:rPr>
        <w:t xml:space="preserve"> y, de ese total, han adjudicado 261, permaneciendo activas 400 querellas</w:t>
      </w:r>
      <w:r w:rsidR="0090679A">
        <w:rPr>
          <w:rFonts w:ascii="Book Antiqua" w:hAnsi="Book Antiqua"/>
          <w:sz w:val="24"/>
          <w:szCs w:val="24"/>
          <w:lang w:val="es-ES" w:eastAsia="x-none"/>
        </w:rPr>
        <w:t>. La mayoría de estas corresponden a alegados incumplimientos de contrato por parte de las compañías de placas solares</w:t>
      </w:r>
      <w:r w:rsidR="00B32A84">
        <w:rPr>
          <w:rFonts w:ascii="Book Antiqua" w:hAnsi="Book Antiqua"/>
          <w:sz w:val="24"/>
          <w:szCs w:val="24"/>
          <w:lang w:val="es-ES" w:eastAsia="x-none"/>
        </w:rPr>
        <w:t>.</w:t>
      </w:r>
    </w:p>
    <w:p w14:paraId="6A5E341C" w14:textId="64A47E48" w:rsidR="00B32A84" w:rsidRDefault="00B32A84" w:rsidP="008F5DED">
      <w:pPr>
        <w:pStyle w:val="ListParagraph"/>
        <w:numPr>
          <w:ilvl w:val="0"/>
          <w:numId w:val="17"/>
        </w:numPr>
        <w:jc w:val="both"/>
        <w:rPr>
          <w:rFonts w:ascii="Book Antiqua" w:hAnsi="Book Antiqua"/>
          <w:sz w:val="24"/>
          <w:szCs w:val="24"/>
          <w:lang w:val="es-ES" w:eastAsia="x-none"/>
        </w:rPr>
      </w:pPr>
      <w:r>
        <w:rPr>
          <w:rFonts w:ascii="Book Antiqua" w:hAnsi="Book Antiqua"/>
          <w:sz w:val="24"/>
          <w:szCs w:val="24"/>
          <w:lang w:val="es-ES" w:eastAsia="x-none"/>
        </w:rPr>
        <w:lastRenderedPageBreak/>
        <w:t>En la mayoría de los casos, el DACO se ve impedido de intervenir, debido a que los contratos contienen cláusulas de arbitraje</w:t>
      </w:r>
      <w:r w:rsidR="006D3C9A">
        <w:rPr>
          <w:rFonts w:ascii="Book Antiqua" w:hAnsi="Book Antiqua"/>
          <w:sz w:val="24"/>
          <w:szCs w:val="24"/>
          <w:lang w:val="es-ES" w:eastAsia="x-none"/>
        </w:rPr>
        <w:t xml:space="preserve"> obligatorio o establecen el foro con jurisdicción.</w:t>
      </w:r>
    </w:p>
    <w:p w14:paraId="08044489" w14:textId="6C2FCD61" w:rsidR="008F285D" w:rsidRDefault="008F285D" w:rsidP="00775B08">
      <w:pPr>
        <w:ind w:firstLine="708"/>
        <w:jc w:val="both"/>
        <w:rPr>
          <w:rFonts w:ascii="Book Antiqua" w:hAnsi="Book Antiqua"/>
          <w:sz w:val="24"/>
          <w:szCs w:val="24"/>
          <w:lang w:val="es-ES" w:eastAsia="x-none"/>
        </w:rPr>
      </w:pPr>
      <w:r>
        <w:rPr>
          <w:rFonts w:ascii="Book Antiqua" w:hAnsi="Book Antiqua"/>
          <w:sz w:val="24"/>
          <w:szCs w:val="24"/>
          <w:lang w:val="es-ES" w:eastAsia="x-none"/>
        </w:rPr>
        <w:t>Por su parte, LUMA respondió varias interrogantes que se le hicieran durante la vista pública celebrada.</w:t>
      </w:r>
      <w:r w:rsidR="001B5D39">
        <w:rPr>
          <w:rFonts w:ascii="Book Antiqua" w:hAnsi="Book Antiqua"/>
          <w:sz w:val="24"/>
          <w:szCs w:val="24"/>
          <w:lang w:val="es-ES" w:eastAsia="x-none"/>
        </w:rPr>
        <w:t xml:space="preserve"> A continuación, se incluyen las preguntas y respuestas brindadas:</w:t>
      </w:r>
    </w:p>
    <w:p w14:paraId="26B10686" w14:textId="77777777" w:rsidR="001574B4" w:rsidRDefault="001B5D39" w:rsidP="001574B4">
      <w:pPr>
        <w:pStyle w:val="ListParagraph"/>
        <w:numPr>
          <w:ilvl w:val="0"/>
          <w:numId w:val="18"/>
        </w:numPr>
        <w:jc w:val="both"/>
        <w:rPr>
          <w:rFonts w:ascii="Book Antiqua" w:hAnsi="Book Antiqua"/>
          <w:sz w:val="24"/>
          <w:szCs w:val="24"/>
        </w:rPr>
      </w:pPr>
      <w:r w:rsidRPr="001574B4">
        <w:rPr>
          <w:rFonts w:ascii="Book Antiqua" w:hAnsi="Book Antiqua"/>
          <w:sz w:val="24"/>
          <w:szCs w:val="24"/>
        </w:rPr>
        <w:t xml:space="preserve">SOLICITUD 1. ¿Cuántos clientes han presentado más de una reclamación por daños? </w:t>
      </w:r>
    </w:p>
    <w:p w14:paraId="4AA9CA8D" w14:textId="4F9BCA69" w:rsidR="001B5D39" w:rsidRPr="001574B4" w:rsidRDefault="001B5D39" w:rsidP="001574B4">
      <w:pPr>
        <w:pStyle w:val="ListParagraph"/>
        <w:numPr>
          <w:ilvl w:val="1"/>
          <w:numId w:val="18"/>
        </w:numPr>
        <w:jc w:val="both"/>
        <w:rPr>
          <w:rFonts w:ascii="Book Antiqua" w:hAnsi="Book Antiqua"/>
          <w:sz w:val="24"/>
          <w:szCs w:val="24"/>
        </w:rPr>
      </w:pPr>
      <w:r w:rsidRPr="001574B4">
        <w:rPr>
          <w:rFonts w:ascii="Book Antiqua" w:hAnsi="Book Antiqua"/>
          <w:sz w:val="24"/>
          <w:szCs w:val="24"/>
        </w:rPr>
        <w:t xml:space="preserve">RESPUESTA Desde el inicio de las operaciones de LUMA, 33 clientes han presentado más de una reclamación por daños. </w:t>
      </w:r>
    </w:p>
    <w:p w14:paraId="125BDC53" w14:textId="77777777" w:rsidR="001574B4" w:rsidRDefault="001B5D39" w:rsidP="001574B4">
      <w:pPr>
        <w:pStyle w:val="ListParagraph"/>
        <w:numPr>
          <w:ilvl w:val="0"/>
          <w:numId w:val="18"/>
        </w:numPr>
        <w:jc w:val="both"/>
        <w:rPr>
          <w:rFonts w:ascii="Book Antiqua" w:hAnsi="Book Antiqua"/>
          <w:sz w:val="24"/>
          <w:szCs w:val="24"/>
        </w:rPr>
      </w:pPr>
      <w:r w:rsidRPr="001574B4">
        <w:rPr>
          <w:rFonts w:ascii="Book Antiqua" w:hAnsi="Book Antiqua"/>
          <w:sz w:val="24"/>
          <w:szCs w:val="24"/>
        </w:rPr>
        <w:t xml:space="preserve">SOLICITUD 2. ¿Cuánto LUMA ha pagado por reclamaciones desde el inicio de sus operaciones? </w:t>
      </w:r>
    </w:p>
    <w:p w14:paraId="2F04588A" w14:textId="149424FE" w:rsidR="001B5D39" w:rsidRPr="001574B4" w:rsidRDefault="001B5D39" w:rsidP="001574B4">
      <w:pPr>
        <w:pStyle w:val="ListParagraph"/>
        <w:numPr>
          <w:ilvl w:val="1"/>
          <w:numId w:val="18"/>
        </w:numPr>
        <w:jc w:val="both"/>
        <w:rPr>
          <w:rFonts w:ascii="Book Antiqua" w:hAnsi="Book Antiqua"/>
          <w:sz w:val="24"/>
          <w:szCs w:val="24"/>
        </w:rPr>
      </w:pPr>
      <w:r w:rsidRPr="001574B4">
        <w:rPr>
          <w:rFonts w:ascii="Book Antiqua" w:hAnsi="Book Antiqua"/>
          <w:sz w:val="24"/>
          <w:szCs w:val="24"/>
        </w:rPr>
        <w:t xml:space="preserve">RESPUESTA Desde el inicio de las operaciones hasta el presente LUMA ha pagado aproximadamente $648,212.00 en reclamaciones por daños no cubiertos bajo el relevo de responsabilidad. </w:t>
      </w:r>
    </w:p>
    <w:p w14:paraId="79F83B83" w14:textId="77777777" w:rsidR="00F609A0" w:rsidRDefault="001B5D39" w:rsidP="001574B4">
      <w:pPr>
        <w:pStyle w:val="ListParagraph"/>
        <w:numPr>
          <w:ilvl w:val="0"/>
          <w:numId w:val="18"/>
        </w:numPr>
        <w:jc w:val="both"/>
        <w:rPr>
          <w:rFonts w:ascii="Book Antiqua" w:hAnsi="Book Antiqua"/>
          <w:sz w:val="24"/>
          <w:szCs w:val="24"/>
        </w:rPr>
      </w:pPr>
      <w:r w:rsidRPr="001574B4">
        <w:rPr>
          <w:rFonts w:ascii="Book Antiqua" w:hAnsi="Book Antiqua"/>
          <w:sz w:val="24"/>
          <w:szCs w:val="24"/>
        </w:rPr>
        <w:t xml:space="preserve">SOLICITUD 3. ¿Cuánto pagó la Autoridad de Energía Eléctrica (“AEE”) por reclamaciones, según los récords disponibles, si alguno? </w:t>
      </w:r>
    </w:p>
    <w:p w14:paraId="379D4733" w14:textId="54EBA625" w:rsidR="001B5D39" w:rsidRPr="001574B4" w:rsidRDefault="001B5D39" w:rsidP="00F609A0">
      <w:pPr>
        <w:pStyle w:val="ListParagraph"/>
        <w:numPr>
          <w:ilvl w:val="1"/>
          <w:numId w:val="18"/>
        </w:numPr>
        <w:jc w:val="both"/>
        <w:rPr>
          <w:rFonts w:ascii="Book Antiqua" w:hAnsi="Book Antiqua"/>
          <w:sz w:val="24"/>
          <w:szCs w:val="24"/>
        </w:rPr>
      </w:pPr>
      <w:r w:rsidRPr="001574B4">
        <w:rPr>
          <w:rFonts w:ascii="Book Antiqua" w:hAnsi="Book Antiqua"/>
          <w:sz w:val="24"/>
          <w:szCs w:val="24"/>
        </w:rPr>
        <w:t xml:space="preserve">RESPUESTA El Negociado de Energía de Puerto Rico (“NEPR”) abrió el caso NEPR-MI-2021-0007, bajo el cual se evaluó y aprobó el Relevo de Responsabilidad a la AEE/LUMA. En lo concerniente a las reclamaciones por daños por la AEE, se incluye enlace a Informe presentado ante el NEPR: </w:t>
      </w:r>
      <w:hyperlink r:id="rId13" w:history="1">
        <w:r w:rsidR="00FB7A0F" w:rsidRPr="00692ED5">
          <w:rPr>
            <w:rStyle w:val="Hyperlink"/>
            <w:rFonts w:ascii="Book Antiqua" w:hAnsi="Book Antiqua"/>
            <w:sz w:val="24"/>
            <w:szCs w:val="24"/>
          </w:rPr>
          <w:t>https://energia.pr.gov/wpcontent/uploads/sites/7/2021/05/RFI-LUMA-MI-21-0007-210504-PREB-001-Att3.xlsx</w:t>
        </w:r>
      </w:hyperlink>
      <w:r w:rsidRPr="001574B4">
        <w:rPr>
          <w:rFonts w:ascii="Book Antiqua" w:hAnsi="Book Antiqua"/>
          <w:sz w:val="24"/>
          <w:szCs w:val="24"/>
        </w:rPr>
        <w:t xml:space="preserve">. </w:t>
      </w:r>
    </w:p>
    <w:p w14:paraId="0FFAF63C" w14:textId="77777777" w:rsidR="00F609A0" w:rsidRDefault="001B5D39" w:rsidP="001574B4">
      <w:pPr>
        <w:pStyle w:val="ListParagraph"/>
        <w:numPr>
          <w:ilvl w:val="0"/>
          <w:numId w:val="18"/>
        </w:numPr>
        <w:jc w:val="both"/>
        <w:rPr>
          <w:rFonts w:ascii="Book Antiqua" w:hAnsi="Book Antiqua"/>
          <w:sz w:val="24"/>
          <w:szCs w:val="24"/>
        </w:rPr>
      </w:pPr>
      <w:r w:rsidRPr="001574B4">
        <w:rPr>
          <w:rFonts w:ascii="Book Antiqua" w:hAnsi="Book Antiqua"/>
          <w:sz w:val="24"/>
          <w:szCs w:val="24"/>
        </w:rPr>
        <w:t xml:space="preserve">SOLICITUD 4. ¿Cuántas de esas reclamaciones fueron por casas que han sufrido daños por fuego </w:t>
      </w:r>
      <w:proofErr w:type="spellStart"/>
      <w:r w:rsidRPr="001574B4">
        <w:rPr>
          <w:rFonts w:ascii="Book Antiqua" w:hAnsi="Book Antiqua"/>
          <w:sz w:val="24"/>
          <w:szCs w:val="24"/>
        </w:rPr>
        <w:t>alegadamente</w:t>
      </w:r>
      <w:proofErr w:type="spellEnd"/>
      <w:r w:rsidRPr="001574B4">
        <w:rPr>
          <w:rFonts w:ascii="Book Antiqua" w:hAnsi="Book Antiqua"/>
          <w:sz w:val="24"/>
          <w:szCs w:val="24"/>
        </w:rPr>
        <w:t xml:space="preserve"> asociados a variaciones en el sistema eléctrico?</w:t>
      </w:r>
    </w:p>
    <w:p w14:paraId="7C79C268" w14:textId="3C9A8C08" w:rsidR="001B5D39" w:rsidRPr="001574B4" w:rsidRDefault="001B5D39" w:rsidP="00F609A0">
      <w:pPr>
        <w:pStyle w:val="ListParagraph"/>
        <w:numPr>
          <w:ilvl w:val="1"/>
          <w:numId w:val="18"/>
        </w:numPr>
        <w:jc w:val="both"/>
        <w:rPr>
          <w:rFonts w:ascii="Book Antiqua" w:hAnsi="Book Antiqua"/>
          <w:sz w:val="24"/>
          <w:szCs w:val="24"/>
        </w:rPr>
      </w:pPr>
      <w:r w:rsidRPr="001574B4">
        <w:rPr>
          <w:rFonts w:ascii="Book Antiqua" w:hAnsi="Book Antiqua"/>
          <w:sz w:val="24"/>
          <w:szCs w:val="24"/>
        </w:rPr>
        <w:t xml:space="preserve">RESPUESTA LUMA ha recibido una reclamación por daños de una cuantía igual o menor de $10,000 y diez (10) mayores a $10,000 por fuego. De éstas, dos han sido denegadas ya que el problema de voltaje no estaba relacionado con el sistema de Transmisión y Distribución, una prescribió, dos están en proceso y las demás fueron denegadas por estar cubiertas bajo el relevo de responsabilidad. </w:t>
      </w:r>
    </w:p>
    <w:p w14:paraId="0AADC229" w14:textId="77777777" w:rsidR="00F609A0" w:rsidRDefault="001B5D39" w:rsidP="001574B4">
      <w:pPr>
        <w:pStyle w:val="ListParagraph"/>
        <w:numPr>
          <w:ilvl w:val="0"/>
          <w:numId w:val="18"/>
        </w:numPr>
        <w:jc w:val="both"/>
        <w:rPr>
          <w:rFonts w:ascii="Book Antiqua" w:hAnsi="Book Antiqua"/>
          <w:sz w:val="24"/>
          <w:szCs w:val="24"/>
        </w:rPr>
      </w:pPr>
      <w:r w:rsidRPr="001574B4">
        <w:rPr>
          <w:rFonts w:ascii="Book Antiqua" w:hAnsi="Book Antiqua"/>
          <w:sz w:val="24"/>
          <w:szCs w:val="24"/>
        </w:rPr>
        <w:t xml:space="preserve">SOLICITUD 5. ¿Cuánto es el salario de los ejecutivos de LUMA? </w:t>
      </w:r>
    </w:p>
    <w:p w14:paraId="122115E1" w14:textId="70A098BC" w:rsidR="001B5D39" w:rsidRPr="001574B4" w:rsidRDefault="001B5D39" w:rsidP="00F609A0">
      <w:pPr>
        <w:pStyle w:val="ListParagraph"/>
        <w:numPr>
          <w:ilvl w:val="1"/>
          <w:numId w:val="18"/>
        </w:numPr>
        <w:jc w:val="both"/>
        <w:rPr>
          <w:rFonts w:ascii="Book Antiqua" w:hAnsi="Book Antiqua"/>
          <w:sz w:val="24"/>
          <w:szCs w:val="24"/>
        </w:rPr>
      </w:pPr>
      <w:r w:rsidRPr="001574B4">
        <w:rPr>
          <w:rFonts w:ascii="Book Antiqua" w:hAnsi="Book Antiqua"/>
          <w:sz w:val="24"/>
          <w:szCs w:val="24"/>
        </w:rPr>
        <w:t xml:space="preserve">RESPUESTA Los salarios de los principales oficiales de los diversos departamentos de LUMA se encuentran en el rango entre $260,000 a $512,000. Cabe señalar que, algunos de los salarios de nuestros ejecutivos no son sufragados con fondos provenientes de la tarifa, sino que son sufragados por nuestras compañías matrices. </w:t>
      </w:r>
    </w:p>
    <w:p w14:paraId="28489A0D" w14:textId="77777777" w:rsidR="00F609A0" w:rsidRDefault="001B5D39" w:rsidP="001574B4">
      <w:pPr>
        <w:pStyle w:val="ListParagraph"/>
        <w:numPr>
          <w:ilvl w:val="0"/>
          <w:numId w:val="18"/>
        </w:numPr>
        <w:jc w:val="both"/>
        <w:rPr>
          <w:rFonts w:ascii="Book Antiqua" w:hAnsi="Book Antiqua"/>
          <w:sz w:val="24"/>
          <w:szCs w:val="24"/>
        </w:rPr>
      </w:pPr>
      <w:r w:rsidRPr="001574B4">
        <w:rPr>
          <w:rFonts w:ascii="Book Antiqua" w:hAnsi="Book Antiqua"/>
          <w:sz w:val="24"/>
          <w:szCs w:val="24"/>
        </w:rPr>
        <w:lastRenderedPageBreak/>
        <w:t xml:space="preserve">SOLICITUD 6. ¿Cuántos son los gastos de publicidad y comunicaciones para este año fiscal? </w:t>
      </w:r>
    </w:p>
    <w:p w14:paraId="5DD4AD3E" w14:textId="06CE73D7" w:rsidR="000C48D4" w:rsidRPr="001574B4" w:rsidRDefault="001B5D39" w:rsidP="00F609A0">
      <w:pPr>
        <w:pStyle w:val="ListParagraph"/>
        <w:numPr>
          <w:ilvl w:val="1"/>
          <w:numId w:val="18"/>
        </w:numPr>
        <w:jc w:val="both"/>
        <w:rPr>
          <w:rFonts w:ascii="Book Antiqua" w:hAnsi="Book Antiqua"/>
          <w:sz w:val="24"/>
          <w:szCs w:val="24"/>
        </w:rPr>
      </w:pPr>
      <w:r w:rsidRPr="001574B4">
        <w:rPr>
          <w:rFonts w:ascii="Book Antiqua" w:hAnsi="Book Antiqua"/>
          <w:sz w:val="24"/>
          <w:szCs w:val="24"/>
        </w:rPr>
        <w:t xml:space="preserve">RESPUESTA Las responsabilidades y obligaciones de LUMA conforme al Acuerdo de Operación y Mantenimiento del Sistema de Transmisión y Distribución de Puerto Rico (“T&amp;D OMA”, por sus siglas en inglés), incluyen informar y educar a nuestros clientes sobre el sistema energético. Como parte de nuestro compromiso con la transparencia, hemos enfocado nuestros esfuerzos en fortalecer los canales de información. Esta inversión responde a la necesidad de mantener a nuestros clientes debidamente informados y generar confianza mediante una comunicación abierta y constante. El presupuesto asignado al departamento de comunicaciones para el año fiscal 2025 asciende a $8.5 millones. Esto incluye tanto el trabajo que diariamente realizan nuestros empleados como las notificaciones de interrupciones de servicios y mejoras programadas, las campañas de educación sobre la preparación para huracanes, seguridad eléctrica, uso de aparatos automatizados, funcionamiento de contadores inteligentes y manejo de la vegetación, contempla una estrategia de difusión integral a través de diversos medios de comunicación, tales como prensa, radio, plataformas digitales, vallas digitales, entre otros. Estas iniciativas buscan fortalecer la seguridad, evitar el fraude, aumentar el conocimiento de nuestros clientes sobre las labores que se están realizando, promover prácticas responsables de consumo y maximizar el uso de todos los servicios e información que hemos puesto a su alcance. Resulta importante señalar que el presupuesto de LUMA es anualmente aprobado por el Negociado de Energía de Puerto Rico y posteriormente certificado por la Junta de Supervisión Fiscal para Puerto Rico. Cabe señalar que, el departamento de Comunicaciones de LUMA cuenta con menos recursos que otras empresas de servicios públicos de tamaño similar. Los gastos del presupuesto operacional incurridos hasta abril de 2025 ascienden a $6.5 millones. </w:t>
      </w:r>
    </w:p>
    <w:p w14:paraId="42410EB3" w14:textId="77777777" w:rsidR="00F609A0" w:rsidRPr="00F609A0" w:rsidRDefault="001B5D39" w:rsidP="001574B4">
      <w:pPr>
        <w:pStyle w:val="ListParagraph"/>
        <w:numPr>
          <w:ilvl w:val="0"/>
          <w:numId w:val="18"/>
        </w:numPr>
        <w:jc w:val="both"/>
        <w:rPr>
          <w:rFonts w:ascii="Book Antiqua" w:hAnsi="Book Antiqua"/>
          <w:sz w:val="24"/>
          <w:szCs w:val="24"/>
          <w:lang w:val="es-ES" w:eastAsia="x-none"/>
        </w:rPr>
      </w:pPr>
      <w:r w:rsidRPr="001574B4">
        <w:rPr>
          <w:rFonts w:ascii="Book Antiqua" w:hAnsi="Book Antiqua"/>
          <w:sz w:val="24"/>
          <w:szCs w:val="24"/>
        </w:rPr>
        <w:t xml:space="preserve">SOLICITUD 7. ¿Cuánto fue el gasto incurrido en el documental “A la Luz de la Verdad”? </w:t>
      </w:r>
    </w:p>
    <w:p w14:paraId="358146F9" w14:textId="044ABCFE" w:rsidR="001B5D39" w:rsidRPr="001574B4" w:rsidRDefault="001B5D39" w:rsidP="00F609A0">
      <w:pPr>
        <w:pStyle w:val="ListParagraph"/>
        <w:numPr>
          <w:ilvl w:val="1"/>
          <w:numId w:val="18"/>
        </w:numPr>
        <w:jc w:val="both"/>
        <w:rPr>
          <w:rFonts w:ascii="Book Antiqua" w:hAnsi="Book Antiqua"/>
          <w:sz w:val="24"/>
          <w:szCs w:val="24"/>
          <w:lang w:val="es-ES" w:eastAsia="x-none"/>
        </w:rPr>
      </w:pPr>
      <w:r w:rsidRPr="001574B4">
        <w:rPr>
          <w:rFonts w:ascii="Book Antiqua" w:hAnsi="Book Antiqua"/>
          <w:sz w:val="24"/>
          <w:szCs w:val="24"/>
        </w:rPr>
        <w:t xml:space="preserve">RESPUESTA Todos los gastos incurridos en la producción y distribución en medios de comunicación del documental “A la luz de la verdad”, han sido sufragados con fondos privados de nuestras compañías matrices y no se ha utilizado recurso alguno asignado a LUMA Energy mediante el presupuesto anual para la operación y mantenimiento del sistema, según aprobado por el Negociado de Energía de Puerto Rico. Dicha información fue divulgada al público en general al inicio del propio documental, </w:t>
      </w:r>
      <w:r w:rsidRPr="001574B4">
        <w:rPr>
          <w:rFonts w:ascii="Book Antiqua" w:hAnsi="Book Antiqua"/>
          <w:sz w:val="24"/>
          <w:szCs w:val="24"/>
        </w:rPr>
        <w:lastRenderedPageBreak/>
        <w:t>durante entrevistas previas al este, en comunicados de prensa, así como en entrevistas posteriores. Este documental fue producido por talento puertorriqueño y logrado con fondos privados, sin costo alguno para nuestros clientes. Este esfuerzo recoge información histórica, documentada y contada por expertos de varias industrias, empleados y voces técnicas que conocen de cerca la transformación en marcha y el contexto socioeconómico de Puerto Rico</w:t>
      </w:r>
      <w:r>
        <w:t>.</w:t>
      </w:r>
    </w:p>
    <w:p w14:paraId="1D81236C" w14:textId="1C113311" w:rsidR="00787BA2" w:rsidRDefault="00782DD7" w:rsidP="00775B08">
      <w:pPr>
        <w:ind w:firstLine="708"/>
        <w:jc w:val="both"/>
        <w:rPr>
          <w:rFonts w:ascii="Book Antiqua" w:hAnsi="Book Antiqua"/>
          <w:sz w:val="24"/>
          <w:szCs w:val="24"/>
          <w:lang w:val="es-ES" w:eastAsia="x-none"/>
        </w:rPr>
      </w:pPr>
      <w:r>
        <w:rPr>
          <w:rFonts w:ascii="Book Antiqua" w:hAnsi="Book Antiqua"/>
          <w:sz w:val="24"/>
          <w:szCs w:val="24"/>
          <w:lang w:val="es-ES" w:eastAsia="x-none"/>
        </w:rPr>
        <w:t xml:space="preserve">Finalmente, </w:t>
      </w:r>
      <w:r w:rsidR="009B61E8">
        <w:rPr>
          <w:rFonts w:ascii="Book Antiqua" w:hAnsi="Book Antiqua"/>
          <w:sz w:val="24"/>
          <w:szCs w:val="24"/>
          <w:lang w:val="es-ES" w:eastAsia="x-none"/>
        </w:rPr>
        <w:t>la Autoridad de Energía Eléctrica respondió las interrogantes que le fueron presentadas</w:t>
      </w:r>
      <w:r w:rsidR="00787BA2">
        <w:rPr>
          <w:rFonts w:ascii="Book Antiqua" w:hAnsi="Book Antiqua"/>
          <w:sz w:val="24"/>
          <w:szCs w:val="24"/>
          <w:lang w:val="es-ES" w:eastAsia="x-none"/>
        </w:rPr>
        <w:t>. En particular, se respondió lo siguiente:</w:t>
      </w:r>
    </w:p>
    <w:p w14:paraId="2227937E" w14:textId="665AC0E8" w:rsidR="00787BA2" w:rsidRDefault="00510739" w:rsidP="00B9643E">
      <w:pPr>
        <w:pStyle w:val="ListParagraph"/>
        <w:numPr>
          <w:ilvl w:val="0"/>
          <w:numId w:val="19"/>
        </w:numPr>
        <w:jc w:val="both"/>
        <w:rPr>
          <w:rFonts w:ascii="Book Antiqua" w:hAnsi="Book Antiqua"/>
          <w:sz w:val="24"/>
          <w:szCs w:val="24"/>
          <w:lang w:val="es-ES" w:eastAsia="x-none"/>
        </w:rPr>
      </w:pPr>
      <w:r>
        <w:rPr>
          <w:rFonts w:ascii="Book Antiqua" w:hAnsi="Book Antiqua"/>
          <w:sz w:val="24"/>
          <w:szCs w:val="24"/>
          <w:lang w:val="es-ES" w:eastAsia="x-none"/>
        </w:rPr>
        <w:t>En primer lugar, s</w:t>
      </w:r>
      <w:r w:rsidR="007A2351">
        <w:rPr>
          <w:rFonts w:ascii="Book Antiqua" w:hAnsi="Book Antiqua"/>
          <w:sz w:val="24"/>
          <w:szCs w:val="24"/>
          <w:lang w:val="es-ES" w:eastAsia="x-none"/>
        </w:rPr>
        <w:t>e solicitó a la Autoridad que informara cuáles reclamaciones atendía antes de que el operador privado comenzara en funciones</w:t>
      </w:r>
      <w:r w:rsidR="001A76D6">
        <w:rPr>
          <w:rFonts w:ascii="Book Antiqua" w:hAnsi="Book Antiqua"/>
          <w:sz w:val="24"/>
          <w:szCs w:val="24"/>
          <w:lang w:val="es-ES" w:eastAsia="x-none"/>
        </w:rPr>
        <w:t>.</w:t>
      </w:r>
    </w:p>
    <w:p w14:paraId="6CACA84A" w14:textId="331531CD" w:rsidR="001A76D6" w:rsidRPr="00AE5DEC" w:rsidRDefault="001A76D6" w:rsidP="001A76D6">
      <w:pPr>
        <w:pStyle w:val="ListParagraph"/>
        <w:numPr>
          <w:ilvl w:val="1"/>
          <w:numId w:val="19"/>
        </w:numPr>
        <w:jc w:val="both"/>
        <w:rPr>
          <w:rFonts w:ascii="Book Antiqua" w:hAnsi="Book Antiqua"/>
          <w:sz w:val="24"/>
          <w:szCs w:val="24"/>
          <w:lang w:val="es-ES" w:eastAsia="x-none"/>
        </w:rPr>
      </w:pPr>
      <w:r>
        <w:rPr>
          <w:rFonts w:ascii="Book Antiqua" w:hAnsi="Book Antiqua"/>
          <w:sz w:val="24"/>
          <w:szCs w:val="24"/>
          <w:lang w:val="es-ES" w:eastAsia="x-none"/>
        </w:rPr>
        <w:t xml:space="preserve">Respuesta: Previo al comienzo del operador </w:t>
      </w:r>
      <w:r w:rsidR="00CF699D">
        <w:rPr>
          <w:rFonts w:ascii="Book Antiqua" w:hAnsi="Book Antiqua"/>
          <w:sz w:val="24"/>
          <w:szCs w:val="24"/>
          <w:lang w:val="es-ES" w:eastAsia="x-none"/>
        </w:rPr>
        <w:t>privado, la Autoridad atendía con diligencia las reclamaciones de personas ajenas a esta en relación con daños a la propiedad. La Oficina de Administración de Riesgos de la Autoridad estaba encargada de evaluar las reclamaciones que se recibían por da</w:t>
      </w:r>
      <w:r w:rsidR="00AC041C">
        <w:rPr>
          <w:rFonts w:ascii="Book Antiqua" w:hAnsi="Book Antiqua"/>
          <w:sz w:val="24"/>
          <w:szCs w:val="24"/>
          <w:lang w:val="es-ES" w:eastAsia="x-none"/>
        </w:rPr>
        <w:t>ños a la propiedad de personas ajenas a la Autoridad hasta una cuantía de $10,000, según la evaluación</w:t>
      </w:r>
      <w:r w:rsidR="00832EB2">
        <w:rPr>
          <w:rFonts w:ascii="Book Antiqua" w:hAnsi="Book Antiqua"/>
          <w:sz w:val="24"/>
          <w:szCs w:val="24"/>
          <w:lang w:val="es-ES" w:eastAsia="x-none"/>
        </w:rPr>
        <w:t xml:space="preserve"> de la Oficina de Distrito Técnico. </w:t>
      </w:r>
      <w:r w:rsidR="00F53F05">
        <w:rPr>
          <w:rFonts w:ascii="Book Antiqua" w:hAnsi="Book Antiqua"/>
          <w:sz w:val="24"/>
          <w:szCs w:val="24"/>
          <w:lang w:val="es-ES" w:eastAsia="x-none"/>
        </w:rPr>
        <w:t>Todas las reclamaciones, con excepción de las reclamaciones de accidentes entre vehículos y da</w:t>
      </w:r>
      <w:r w:rsidR="00F53F05">
        <w:rPr>
          <w:rFonts w:ascii="Times New Roman" w:hAnsi="Times New Roman" w:cs="Times New Roman"/>
          <w:sz w:val="24"/>
          <w:szCs w:val="24"/>
          <w:lang w:val="es-ES" w:eastAsia="x-none"/>
        </w:rPr>
        <w:t>ños físicos</w:t>
      </w:r>
      <w:r w:rsidR="0069000A">
        <w:rPr>
          <w:rFonts w:ascii="Times New Roman" w:hAnsi="Times New Roman" w:cs="Times New Roman"/>
          <w:sz w:val="24"/>
          <w:szCs w:val="24"/>
          <w:lang w:val="es-ES" w:eastAsia="x-none"/>
        </w:rPr>
        <w:t>, se originaban en la Oficina de Distrito Comercial del área más cercana a la residencia del reclamante o a través del Centro de Servicio al Cliente.</w:t>
      </w:r>
      <w:r w:rsidR="004C2D8F">
        <w:rPr>
          <w:rFonts w:ascii="Times New Roman" w:hAnsi="Times New Roman" w:cs="Times New Roman"/>
          <w:sz w:val="24"/>
          <w:szCs w:val="24"/>
          <w:lang w:val="es-ES" w:eastAsia="x-none"/>
        </w:rPr>
        <w:t xml:space="preserve"> En los casos que procedía la reclamación del cliente, el pago se efectuaba con posteridad en conformidad con el Procedimiento para el trámite y Aprobación de Solicitudes de Cheque</w:t>
      </w:r>
      <w:r w:rsidR="00C12EAA">
        <w:rPr>
          <w:rFonts w:ascii="Times New Roman" w:hAnsi="Times New Roman" w:cs="Times New Roman"/>
          <w:sz w:val="24"/>
          <w:szCs w:val="24"/>
          <w:lang w:val="es-ES" w:eastAsia="x-none"/>
        </w:rPr>
        <w:t>, y según los niveles de aprobación de documentos establecidos en la Autoridad.</w:t>
      </w:r>
    </w:p>
    <w:p w14:paraId="29D69F8E" w14:textId="05BDE577" w:rsidR="00AE5DEC" w:rsidRPr="0076688F" w:rsidRDefault="00AE5DEC" w:rsidP="001A76D6">
      <w:pPr>
        <w:pStyle w:val="ListParagraph"/>
        <w:numPr>
          <w:ilvl w:val="1"/>
          <w:numId w:val="19"/>
        </w:numPr>
        <w:jc w:val="both"/>
        <w:rPr>
          <w:rFonts w:ascii="Book Antiqua" w:hAnsi="Book Antiqua"/>
          <w:sz w:val="24"/>
          <w:szCs w:val="24"/>
          <w:lang w:val="es-ES" w:eastAsia="x-none"/>
        </w:rPr>
      </w:pPr>
      <w:r>
        <w:rPr>
          <w:rFonts w:ascii="Times New Roman" w:hAnsi="Times New Roman" w:cs="Times New Roman"/>
          <w:sz w:val="24"/>
          <w:szCs w:val="24"/>
          <w:lang w:val="es-ES" w:eastAsia="x-none"/>
        </w:rPr>
        <w:t>Si la reclamación era por daños a la propiedad o equipos, esta debía incluir, además, del recibo, factura o estimado en original preparado por un técnico o perito certificado con número de licencia o colegiación, dirección y teléfono</w:t>
      </w:r>
      <w:r w:rsidR="00E75134">
        <w:rPr>
          <w:rFonts w:ascii="Times New Roman" w:hAnsi="Times New Roman" w:cs="Times New Roman"/>
          <w:sz w:val="24"/>
          <w:szCs w:val="24"/>
          <w:lang w:val="es-ES" w:eastAsia="x-none"/>
        </w:rPr>
        <w:t>. Además, debía detallar</w:t>
      </w:r>
      <w:r w:rsidR="000F4696">
        <w:rPr>
          <w:rFonts w:ascii="Times New Roman" w:hAnsi="Times New Roman" w:cs="Times New Roman"/>
          <w:sz w:val="24"/>
          <w:szCs w:val="24"/>
          <w:lang w:val="es-ES" w:eastAsia="x-none"/>
        </w:rPr>
        <w:t xml:space="preserve"> la labor, piezas utilizadas, el costo de materiales, trabajo o equipo para reparaci</w:t>
      </w:r>
      <w:r w:rsidR="00517E64">
        <w:rPr>
          <w:rFonts w:ascii="Times New Roman" w:hAnsi="Times New Roman" w:cs="Times New Roman"/>
          <w:sz w:val="24"/>
          <w:szCs w:val="24"/>
          <w:lang w:val="es-ES" w:eastAsia="x-none"/>
        </w:rPr>
        <w:t>ón de los daños y una certificación de pérdida total firmada por el perito certificado o técnico</w:t>
      </w:r>
      <w:r w:rsidR="0076688F">
        <w:rPr>
          <w:rFonts w:ascii="Times New Roman" w:hAnsi="Times New Roman" w:cs="Times New Roman"/>
          <w:sz w:val="24"/>
          <w:szCs w:val="24"/>
          <w:lang w:val="es-ES" w:eastAsia="x-none"/>
        </w:rPr>
        <w:t>.</w:t>
      </w:r>
    </w:p>
    <w:p w14:paraId="0E9E8F27" w14:textId="7871F10E" w:rsidR="0076688F" w:rsidRPr="0076688F" w:rsidRDefault="0076688F" w:rsidP="001A76D6">
      <w:pPr>
        <w:pStyle w:val="ListParagraph"/>
        <w:numPr>
          <w:ilvl w:val="1"/>
          <w:numId w:val="19"/>
        </w:numPr>
        <w:jc w:val="both"/>
        <w:rPr>
          <w:rFonts w:ascii="Book Antiqua" w:hAnsi="Book Antiqua"/>
          <w:sz w:val="24"/>
          <w:szCs w:val="24"/>
          <w:lang w:val="es-ES" w:eastAsia="x-none"/>
        </w:rPr>
      </w:pPr>
      <w:r>
        <w:rPr>
          <w:rFonts w:ascii="Times New Roman" w:hAnsi="Times New Roman" w:cs="Times New Roman"/>
          <w:sz w:val="24"/>
          <w:szCs w:val="24"/>
          <w:lang w:val="es-ES" w:eastAsia="x-none"/>
        </w:rPr>
        <w:t>El personal de la Autoridad evaluaba que los daños reclamados estuviesen de acuerdo con los documentos que se presentaron para evaluación.</w:t>
      </w:r>
    </w:p>
    <w:p w14:paraId="2A5A3154" w14:textId="10315417" w:rsidR="0076688F" w:rsidRPr="00C21052" w:rsidRDefault="00C21052" w:rsidP="001A76D6">
      <w:pPr>
        <w:pStyle w:val="ListParagraph"/>
        <w:numPr>
          <w:ilvl w:val="1"/>
          <w:numId w:val="19"/>
        </w:numPr>
        <w:jc w:val="both"/>
        <w:rPr>
          <w:rFonts w:ascii="Book Antiqua" w:hAnsi="Book Antiqua"/>
          <w:sz w:val="24"/>
          <w:szCs w:val="24"/>
          <w:lang w:val="es-ES" w:eastAsia="x-none"/>
        </w:rPr>
      </w:pPr>
      <w:r>
        <w:rPr>
          <w:rFonts w:ascii="Times New Roman" w:hAnsi="Times New Roman" w:cs="Times New Roman"/>
          <w:sz w:val="24"/>
          <w:szCs w:val="24"/>
          <w:lang w:val="es-ES" w:eastAsia="x-none"/>
        </w:rPr>
        <w:t>Por otro lado, las reclamaciones que incluían daños físicos a personas ajenas a la Autoridad, así como reclamaciones por danos a la propiedad cuya cuantía excedían de $10,000 se tramitaba a través de la División de Litigación del Directorado de Asuntos Jurídicos.</w:t>
      </w:r>
    </w:p>
    <w:p w14:paraId="26607E5C" w14:textId="23F81971" w:rsidR="00C21052" w:rsidRPr="00510739" w:rsidRDefault="00C21052" w:rsidP="001A76D6">
      <w:pPr>
        <w:pStyle w:val="ListParagraph"/>
        <w:numPr>
          <w:ilvl w:val="1"/>
          <w:numId w:val="19"/>
        </w:numPr>
        <w:jc w:val="both"/>
        <w:rPr>
          <w:rFonts w:ascii="Book Antiqua" w:hAnsi="Book Antiqua"/>
          <w:sz w:val="24"/>
          <w:szCs w:val="24"/>
          <w:lang w:val="es-ES" w:eastAsia="x-none"/>
        </w:rPr>
      </w:pPr>
      <w:r>
        <w:rPr>
          <w:rFonts w:ascii="Times New Roman" w:hAnsi="Times New Roman" w:cs="Times New Roman"/>
          <w:sz w:val="24"/>
          <w:szCs w:val="24"/>
          <w:lang w:val="es-ES" w:eastAsia="x-none"/>
        </w:rPr>
        <w:t xml:space="preserve">En los casos de reclamaciones de accidentes de vehículos, la Oficina de Administración de Riesgos servía de enlace con la aseguradora de la </w:t>
      </w:r>
      <w:r w:rsidR="0065682F">
        <w:rPr>
          <w:rFonts w:ascii="Times New Roman" w:hAnsi="Times New Roman" w:cs="Times New Roman"/>
          <w:sz w:val="24"/>
          <w:szCs w:val="24"/>
          <w:lang w:val="es-ES" w:eastAsia="x-none"/>
        </w:rPr>
        <w:t xml:space="preserve">Autoridad </w:t>
      </w:r>
      <w:r w:rsidR="00360C58">
        <w:rPr>
          <w:rFonts w:ascii="Times New Roman" w:hAnsi="Times New Roman" w:cs="Times New Roman"/>
          <w:sz w:val="24"/>
          <w:szCs w:val="24"/>
          <w:lang w:val="es-ES" w:eastAsia="x-none"/>
        </w:rPr>
        <w:t>y mantenían un registro de casos enviados a la compañía aseguradora contratada.</w:t>
      </w:r>
    </w:p>
    <w:p w14:paraId="7CAD6CFC" w14:textId="0A47F96A" w:rsidR="00510739" w:rsidRDefault="00510739" w:rsidP="00510739">
      <w:pPr>
        <w:pStyle w:val="ListParagraph"/>
        <w:numPr>
          <w:ilvl w:val="0"/>
          <w:numId w:val="19"/>
        </w:numPr>
        <w:jc w:val="both"/>
        <w:rPr>
          <w:rFonts w:ascii="Book Antiqua" w:hAnsi="Book Antiqua"/>
          <w:sz w:val="24"/>
          <w:szCs w:val="24"/>
          <w:lang w:val="es-ES" w:eastAsia="x-none"/>
        </w:rPr>
      </w:pPr>
      <w:r>
        <w:rPr>
          <w:rFonts w:ascii="Book Antiqua" w:hAnsi="Book Antiqua"/>
          <w:sz w:val="24"/>
          <w:szCs w:val="24"/>
          <w:lang w:val="es-ES" w:eastAsia="x-none"/>
        </w:rPr>
        <w:lastRenderedPageBreak/>
        <w:t xml:space="preserve">En segundo lugar, se </w:t>
      </w:r>
      <w:r w:rsidR="00DA32D4">
        <w:rPr>
          <w:rFonts w:ascii="Book Antiqua" w:hAnsi="Book Antiqua"/>
          <w:sz w:val="24"/>
          <w:szCs w:val="24"/>
          <w:lang w:val="es-ES" w:eastAsia="x-none"/>
        </w:rPr>
        <w:t>solicitó</w:t>
      </w:r>
      <w:r>
        <w:rPr>
          <w:rFonts w:ascii="Book Antiqua" w:hAnsi="Book Antiqua"/>
          <w:sz w:val="24"/>
          <w:szCs w:val="24"/>
          <w:lang w:val="es-ES" w:eastAsia="x-none"/>
        </w:rPr>
        <w:t xml:space="preserve"> que la </w:t>
      </w:r>
      <w:r w:rsidR="00DA32D4">
        <w:rPr>
          <w:rFonts w:ascii="Book Antiqua" w:hAnsi="Book Antiqua"/>
          <w:sz w:val="24"/>
          <w:szCs w:val="24"/>
          <w:lang w:val="es-ES" w:eastAsia="x-none"/>
        </w:rPr>
        <w:t>Autoridad proveyera la información con respecto a las reclamaciones relacionadas a enseres que esta pagó previo a que comenzara el operador privado</w:t>
      </w:r>
      <w:r w:rsidR="00EA6BD5">
        <w:rPr>
          <w:rFonts w:ascii="Book Antiqua" w:hAnsi="Book Antiqua"/>
          <w:sz w:val="24"/>
          <w:szCs w:val="24"/>
          <w:lang w:val="es-ES" w:eastAsia="x-none"/>
        </w:rPr>
        <w:t>.</w:t>
      </w:r>
    </w:p>
    <w:p w14:paraId="219F8D11" w14:textId="1EF8D9FE" w:rsidR="00E96C8C" w:rsidRDefault="00EA6BD5" w:rsidP="00086DA1">
      <w:pPr>
        <w:pStyle w:val="ListParagraph"/>
        <w:numPr>
          <w:ilvl w:val="1"/>
          <w:numId w:val="19"/>
        </w:numPr>
        <w:jc w:val="both"/>
        <w:rPr>
          <w:rFonts w:ascii="Book Antiqua" w:hAnsi="Book Antiqua"/>
          <w:sz w:val="24"/>
          <w:szCs w:val="24"/>
          <w:lang w:val="es-ES" w:eastAsia="x-none"/>
        </w:rPr>
      </w:pPr>
      <w:r>
        <w:rPr>
          <w:rFonts w:ascii="Book Antiqua" w:hAnsi="Book Antiqua"/>
          <w:sz w:val="24"/>
          <w:szCs w:val="24"/>
          <w:lang w:val="es-ES" w:eastAsia="x-none"/>
        </w:rPr>
        <w:t>Respuesta: Con respecto a las reclamaciones que se pagaron antes a que comenzara el operador privado, LUMA Energy, LLC, tal y como se indicó en la vista, la Autoridad no tiene acceso a la base de esos datos, Sin embargo, le pidieron a LUMA que les suministrara la información, pero no la habían recibido</w:t>
      </w:r>
      <w:r w:rsidR="00A274D3">
        <w:rPr>
          <w:rFonts w:ascii="Book Antiqua" w:hAnsi="Book Antiqua"/>
          <w:sz w:val="24"/>
          <w:szCs w:val="24"/>
          <w:lang w:val="es-ES" w:eastAsia="x-none"/>
        </w:rPr>
        <w:t>.</w:t>
      </w:r>
    </w:p>
    <w:p w14:paraId="78825422" w14:textId="77777777" w:rsidR="007C46E6" w:rsidRPr="007C46E6" w:rsidRDefault="007C46E6" w:rsidP="007C46E6">
      <w:pPr>
        <w:pStyle w:val="ListParagraph"/>
        <w:ind w:left="1440"/>
        <w:jc w:val="both"/>
        <w:rPr>
          <w:rFonts w:ascii="Book Antiqua" w:hAnsi="Book Antiqua"/>
          <w:sz w:val="24"/>
          <w:szCs w:val="24"/>
          <w:lang w:val="es-ES" w:eastAsia="x-none"/>
        </w:rPr>
      </w:pPr>
    </w:p>
    <w:p w14:paraId="14EAA962" w14:textId="5F2C9D9C" w:rsidR="00421D9C" w:rsidRPr="0023263A" w:rsidRDefault="00421D9C" w:rsidP="00ED2DE1">
      <w:pPr>
        <w:pStyle w:val="Heading3"/>
        <w:spacing w:after="120"/>
        <w:ind w:firstLine="0"/>
        <w:rPr>
          <w:rFonts w:ascii="Book Antiqua" w:hAnsi="Book Antiqua"/>
        </w:rPr>
      </w:pPr>
      <w:r w:rsidRPr="0023263A">
        <w:rPr>
          <w:rFonts w:ascii="Book Antiqua" w:hAnsi="Book Antiqua"/>
        </w:rPr>
        <w:t>CONCLUSI</w:t>
      </w:r>
      <w:r w:rsidR="00ED2DE1">
        <w:rPr>
          <w:rFonts w:ascii="Book Antiqua" w:hAnsi="Book Antiqua"/>
        </w:rPr>
        <w:t>ONES Y RECOMENDACIONES</w:t>
      </w:r>
    </w:p>
    <w:p w14:paraId="6D2DD5F9" w14:textId="30C100A4" w:rsidR="00BF449E" w:rsidRDefault="007B3187" w:rsidP="00957442">
      <w:pPr>
        <w:spacing w:after="0" w:line="240" w:lineRule="auto"/>
        <w:ind w:firstLine="708"/>
        <w:jc w:val="both"/>
        <w:rPr>
          <w:rFonts w:ascii="Book Antiqua" w:hAnsi="Book Antiqua"/>
          <w:sz w:val="24"/>
          <w:szCs w:val="24"/>
        </w:rPr>
      </w:pPr>
      <w:r w:rsidRPr="0023263A">
        <w:rPr>
          <w:rFonts w:ascii="Book Antiqua" w:hAnsi="Book Antiqua"/>
          <w:sz w:val="24"/>
          <w:szCs w:val="24"/>
        </w:rPr>
        <w:t xml:space="preserve">La Comisión </w:t>
      </w:r>
      <w:r w:rsidR="00E71A43">
        <w:rPr>
          <w:rFonts w:ascii="Book Antiqua" w:hAnsi="Book Antiqua"/>
          <w:sz w:val="24"/>
          <w:szCs w:val="24"/>
        </w:rPr>
        <w:t>de Asuntos del Consumidor, luego del análisis de la medida, establece la importancia de presentar legislación</w:t>
      </w:r>
      <w:r w:rsidR="000D5859">
        <w:rPr>
          <w:rFonts w:ascii="Book Antiqua" w:hAnsi="Book Antiqua"/>
          <w:sz w:val="24"/>
          <w:szCs w:val="24"/>
        </w:rPr>
        <w:t xml:space="preserve"> a los efectos de establecer que en lo prospectivo LUMA Energy deberá responder por los daños sufridos por los consumidores a causa de eventos de fluctuaciones de voltaje e interrupciones del servicio atribuibles a la operación del sistema de transmisión y distribución de energía eléctrica en la Isla. Asimismo, es recomendable que</w:t>
      </w:r>
      <w:r w:rsidR="00FD0A86">
        <w:rPr>
          <w:rFonts w:ascii="Book Antiqua" w:hAnsi="Book Antiqua"/>
          <w:sz w:val="24"/>
          <w:szCs w:val="24"/>
        </w:rPr>
        <w:t xml:space="preserve"> las querellas que se presenten por este tipo de asunto se puedan atender en un foro adjudicativo imparcial como lo es la Oficina Independiente de Protección al Consumidor o en el Departamento de Asuntos del Consumidor</w:t>
      </w:r>
      <w:r w:rsidRPr="0023263A">
        <w:rPr>
          <w:rFonts w:ascii="Book Antiqua" w:hAnsi="Book Antiqua"/>
          <w:sz w:val="24"/>
          <w:szCs w:val="24"/>
        </w:rPr>
        <w:t>.</w:t>
      </w:r>
      <w:bookmarkEnd w:id="0"/>
      <w:r w:rsidR="00BF193B">
        <w:rPr>
          <w:rFonts w:ascii="Book Antiqua" w:hAnsi="Book Antiqua"/>
          <w:sz w:val="24"/>
          <w:szCs w:val="24"/>
        </w:rPr>
        <w:t xml:space="preserve"> Si bien es cierto que en el pasado la Autoridad de Energía Eléctrica evaluaba por sí misma las reclamaciones por daños que le eran presentadas, existen </w:t>
      </w:r>
      <w:r w:rsidR="00B27CAF">
        <w:rPr>
          <w:rFonts w:ascii="Book Antiqua" w:hAnsi="Book Antiqua"/>
          <w:sz w:val="24"/>
          <w:szCs w:val="24"/>
        </w:rPr>
        <w:t>varios detalles</w:t>
      </w:r>
      <w:r w:rsidR="00BF193B">
        <w:rPr>
          <w:rFonts w:ascii="Book Antiqua" w:hAnsi="Book Antiqua"/>
          <w:sz w:val="24"/>
          <w:szCs w:val="24"/>
        </w:rPr>
        <w:t xml:space="preserve"> que hacían de su caso uno particular: (1) </w:t>
      </w:r>
      <w:r w:rsidR="00AF0CEF">
        <w:rPr>
          <w:rFonts w:ascii="Book Antiqua" w:hAnsi="Book Antiqua"/>
          <w:sz w:val="24"/>
          <w:szCs w:val="24"/>
        </w:rPr>
        <w:t>mantenían un seguro para responder por daños, (2) pagaban los daños</w:t>
      </w:r>
      <w:r w:rsidR="003548DB">
        <w:rPr>
          <w:rFonts w:ascii="Book Antiqua" w:hAnsi="Book Antiqua"/>
          <w:sz w:val="24"/>
          <w:szCs w:val="24"/>
        </w:rPr>
        <w:t>, y (3) eran una corporació</w:t>
      </w:r>
      <w:r w:rsidR="00487E0B">
        <w:rPr>
          <w:rFonts w:ascii="Book Antiqua" w:hAnsi="Book Antiqua"/>
          <w:sz w:val="24"/>
          <w:szCs w:val="24"/>
        </w:rPr>
        <w:t>n pública del Gobierno de Puerto Rico. En cambio, LUMA Energy, es un consorcio privado que administra y opera el sistema de trasmisión</w:t>
      </w:r>
      <w:r w:rsidR="005B4C72">
        <w:rPr>
          <w:rFonts w:ascii="Book Antiqua" w:hAnsi="Book Antiqua"/>
          <w:sz w:val="24"/>
          <w:szCs w:val="24"/>
        </w:rPr>
        <w:t xml:space="preserve"> y distribución</w:t>
      </w:r>
      <w:r w:rsidR="00137432">
        <w:rPr>
          <w:rFonts w:ascii="Book Antiqua" w:hAnsi="Book Antiqua"/>
          <w:sz w:val="24"/>
          <w:szCs w:val="24"/>
        </w:rPr>
        <w:t>.</w:t>
      </w:r>
    </w:p>
    <w:p w14:paraId="37B16093" w14:textId="77777777" w:rsidR="00B25AEF" w:rsidRPr="009B0280" w:rsidRDefault="00B25AEF" w:rsidP="009B0280">
      <w:pPr>
        <w:spacing w:after="0" w:line="240" w:lineRule="auto"/>
        <w:jc w:val="both"/>
        <w:rPr>
          <w:rFonts w:ascii="Book Antiqua" w:hAnsi="Book Antiqua"/>
          <w:sz w:val="24"/>
          <w:szCs w:val="24"/>
        </w:rPr>
      </w:pPr>
    </w:p>
    <w:p w14:paraId="259CA63F" w14:textId="4787F86E" w:rsidR="009A25C7" w:rsidRPr="00E95AB4" w:rsidRDefault="009A25C7" w:rsidP="00957442">
      <w:pPr>
        <w:ind w:firstLine="708"/>
        <w:jc w:val="both"/>
        <w:rPr>
          <w:rFonts w:ascii="Book Antiqua" w:hAnsi="Book Antiqua"/>
          <w:bCs/>
          <w:sz w:val="24"/>
          <w:szCs w:val="24"/>
          <w:lang w:val="es-ES_tradnl"/>
        </w:rPr>
      </w:pPr>
      <w:r w:rsidRPr="0023263A">
        <w:rPr>
          <w:rFonts w:ascii="Book Antiqua" w:hAnsi="Book Antiqua"/>
          <w:bCs/>
          <w:iCs/>
          <w:sz w:val="24"/>
          <w:szCs w:val="24"/>
          <w:lang w:val="es-ES_tradnl" w:eastAsia="x-none"/>
        </w:rPr>
        <w:t>Por todo lo antes expuesto</w:t>
      </w:r>
      <w:r w:rsidRPr="0023263A">
        <w:rPr>
          <w:rFonts w:ascii="Book Antiqua" w:eastAsia="Times New Roman" w:hAnsi="Book Antiqua" w:cs="Times New Roman"/>
          <w:sz w:val="24"/>
          <w:szCs w:val="24"/>
        </w:rPr>
        <w:t xml:space="preserve">, la </w:t>
      </w:r>
      <w:r w:rsidRPr="0023263A">
        <w:rPr>
          <w:rFonts w:ascii="Book Antiqua" w:eastAsia="Times New Roman" w:hAnsi="Book Antiqua" w:cs="Times New Roman"/>
          <w:sz w:val="24"/>
          <w:szCs w:val="24"/>
          <w:lang w:val="es-ES_tradnl"/>
        </w:rPr>
        <w:t xml:space="preserve">Comisión </w:t>
      </w:r>
      <w:r w:rsidRPr="0023263A">
        <w:rPr>
          <w:rFonts w:ascii="Book Antiqua" w:eastAsia="Times New Roman" w:hAnsi="Book Antiqua" w:cs="Times New Roman"/>
          <w:sz w:val="24"/>
          <w:szCs w:val="24"/>
        </w:rPr>
        <w:t>d</w:t>
      </w:r>
      <w:r w:rsidR="00957442">
        <w:rPr>
          <w:rFonts w:ascii="Book Antiqua" w:eastAsia="Times New Roman" w:hAnsi="Book Antiqua" w:cs="Times New Roman"/>
          <w:sz w:val="24"/>
          <w:szCs w:val="24"/>
        </w:rPr>
        <w:t>e Asuntos del Consumidor</w:t>
      </w:r>
      <w:r w:rsidRPr="0023263A">
        <w:rPr>
          <w:rFonts w:ascii="Book Antiqua" w:eastAsia="Times New Roman" w:hAnsi="Book Antiqua" w:cs="Times New Roman"/>
          <w:sz w:val="24"/>
          <w:szCs w:val="24"/>
        </w:rPr>
        <w:t xml:space="preserve">, luego del estudio y consideración </w:t>
      </w:r>
      <w:r w:rsidR="00625B53">
        <w:rPr>
          <w:rFonts w:ascii="Book Antiqua" w:eastAsia="Times New Roman" w:hAnsi="Book Antiqua" w:cs="Times New Roman"/>
          <w:sz w:val="24"/>
          <w:szCs w:val="24"/>
        </w:rPr>
        <w:t xml:space="preserve">de la </w:t>
      </w:r>
      <w:r w:rsidR="00625B53">
        <w:rPr>
          <w:rFonts w:ascii="Book Antiqua" w:eastAsia="Times New Roman" w:hAnsi="Book Antiqua" w:cs="Times New Roman"/>
          <w:b/>
          <w:bCs/>
          <w:sz w:val="24"/>
          <w:szCs w:val="24"/>
        </w:rPr>
        <w:t>Resolución de la Cámara 88</w:t>
      </w:r>
      <w:r w:rsidRPr="0023263A">
        <w:rPr>
          <w:rFonts w:ascii="Book Antiqua" w:eastAsia="Times New Roman" w:hAnsi="Book Antiqua" w:cs="Times New Roman"/>
          <w:sz w:val="24"/>
          <w:szCs w:val="24"/>
        </w:rPr>
        <w:t xml:space="preserve">, </w:t>
      </w:r>
      <w:r w:rsidR="00625B53">
        <w:rPr>
          <w:rFonts w:ascii="Book Antiqua" w:eastAsia="Times New Roman" w:hAnsi="Book Antiqua" w:cs="Times New Roman"/>
          <w:bCs/>
          <w:sz w:val="24"/>
          <w:szCs w:val="24"/>
        </w:rPr>
        <w:t>somete a este Honorable Cuerpo Legislativo su Informe Final, con sus hallazgos, conclusiones y recomendaciones</w:t>
      </w:r>
      <w:r w:rsidR="0023263A" w:rsidRPr="0023263A">
        <w:rPr>
          <w:rFonts w:ascii="Book Antiqua" w:eastAsia="Times New Roman" w:hAnsi="Book Antiqua" w:cs="Times New Roman"/>
          <w:bCs/>
          <w:sz w:val="24"/>
          <w:szCs w:val="24"/>
        </w:rPr>
        <w:t>.</w:t>
      </w:r>
    </w:p>
    <w:p w14:paraId="05A2988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Respetuosamente sometido,</w:t>
      </w:r>
    </w:p>
    <w:p w14:paraId="49C149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5E34E70"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5483B3CA" w14:textId="77777777" w:rsidR="00652CDE" w:rsidRPr="0023263A" w:rsidRDefault="00652CDE"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2AA268F2"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 xml:space="preserve">HON. </w:t>
      </w:r>
      <w:r w:rsidR="00625B53">
        <w:rPr>
          <w:rFonts w:ascii="Book Antiqua" w:eastAsia="Times New Roman" w:hAnsi="Book Antiqua" w:cs="Times New Roman"/>
          <w:b/>
          <w:bCs/>
          <w:sz w:val="24"/>
          <w:szCs w:val="24"/>
          <w:lang w:val="es-ES_tradnl"/>
        </w:rPr>
        <w:t xml:space="preserve">EDGAR </w:t>
      </w:r>
      <w:r w:rsidR="0085607D">
        <w:rPr>
          <w:rFonts w:ascii="Book Antiqua" w:eastAsia="Times New Roman" w:hAnsi="Book Antiqua" w:cs="Times New Roman"/>
          <w:b/>
          <w:bCs/>
          <w:sz w:val="24"/>
          <w:szCs w:val="24"/>
          <w:lang w:val="es-ES_tradnl"/>
        </w:rPr>
        <w:t xml:space="preserve">E. </w:t>
      </w:r>
      <w:r w:rsidR="00625B53">
        <w:rPr>
          <w:rFonts w:ascii="Book Antiqua" w:eastAsia="Times New Roman" w:hAnsi="Book Antiqua" w:cs="Times New Roman"/>
          <w:b/>
          <w:bCs/>
          <w:sz w:val="24"/>
          <w:szCs w:val="24"/>
          <w:lang w:val="es-ES_tradnl"/>
        </w:rPr>
        <w:t>ROBLES</w:t>
      </w:r>
      <w:r w:rsidR="0085607D">
        <w:rPr>
          <w:rFonts w:ascii="Book Antiqua" w:eastAsia="Times New Roman" w:hAnsi="Book Antiqua" w:cs="Times New Roman"/>
          <w:b/>
          <w:bCs/>
          <w:sz w:val="24"/>
          <w:szCs w:val="24"/>
          <w:lang w:val="es-ES_tradnl"/>
        </w:rPr>
        <w:t xml:space="preserve"> RIVERA</w:t>
      </w:r>
    </w:p>
    <w:p w14:paraId="433BF3C4" w14:textId="3D789BD9"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w:t>
      </w:r>
      <w:r w:rsidR="0085607D">
        <w:rPr>
          <w:rFonts w:ascii="Book Antiqua" w:eastAsia="Times New Roman" w:hAnsi="Book Antiqua" w:cs="Times New Roman"/>
          <w:sz w:val="24"/>
          <w:szCs w:val="24"/>
          <w:lang w:val="es-ES_tradnl"/>
        </w:rPr>
        <w:t>e</w:t>
      </w:r>
    </w:p>
    <w:p w14:paraId="6E037A0C" w14:textId="7A655D38" w:rsidR="009A25C7" w:rsidRPr="0023263A" w:rsidRDefault="009A25C7" w:rsidP="009A25C7">
      <w:pPr>
        <w:tabs>
          <w:tab w:val="left" w:pos="567"/>
        </w:tabs>
        <w:spacing w:after="0" w:line="240" w:lineRule="auto"/>
        <w:contextualSpacing/>
        <w:jc w:val="both"/>
        <w:rPr>
          <w:sz w:val="24"/>
          <w:szCs w:val="24"/>
        </w:rPr>
      </w:pPr>
      <w:r w:rsidRPr="0023263A">
        <w:rPr>
          <w:rFonts w:ascii="Book Antiqua" w:eastAsia="Times New Roman" w:hAnsi="Book Antiqua" w:cs="Times New Roman"/>
          <w:sz w:val="24"/>
          <w:szCs w:val="24"/>
          <w:lang w:val="es-ES_tradnl"/>
        </w:rPr>
        <w:t>Comisión de</w:t>
      </w:r>
      <w:r w:rsidR="0085607D">
        <w:rPr>
          <w:rFonts w:ascii="Book Antiqua" w:eastAsia="Times New Roman" w:hAnsi="Book Antiqua" w:cs="Times New Roman"/>
          <w:sz w:val="24"/>
          <w:szCs w:val="24"/>
          <w:lang w:val="es-ES_tradnl"/>
        </w:rPr>
        <w:t xml:space="preserve"> Asuntos del Consumidor</w:t>
      </w:r>
    </w:p>
    <w:p w14:paraId="7DC6BD7A" w14:textId="77777777" w:rsidR="003547E9" w:rsidRPr="003547E9" w:rsidRDefault="003547E9" w:rsidP="003547E9"/>
    <w:sectPr w:rsidR="003547E9" w:rsidRPr="003547E9" w:rsidSect="004C4B22">
      <w:headerReference w:type="default" r:id="rId14"/>
      <w:footerReference w:type="default" r:id="rId15"/>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5C461" w14:textId="77777777" w:rsidR="00E51B2C" w:rsidRDefault="00E51B2C">
      <w:pPr>
        <w:spacing w:after="0" w:line="240" w:lineRule="auto"/>
      </w:pPr>
      <w:r>
        <w:separator/>
      </w:r>
    </w:p>
  </w:endnote>
  <w:endnote w:type="continuationSeparator" w:id="0">
    <w:p w14:paraId="20510C45" w14:textId="77777777" w:rsidR="00E51B2C" w:rsidRDefault="00E51B2C">
      <w:pPr>
        <w:spacing w:after="0" w:line="240" w:lineRule="auto"/>
      </w:pPr>
      <w:r>
        <w:continuationSeparator/>
      </w:r>
    </w:p>
  </w:endnote>
  <w:endnote w:type="continuationNotice" w:id="1">
    <w:p w14:paraId="0C547C4D" w14:textId="77777777" w:rsidR="00E51B2C" w:rsidRDefault="00E51B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sidR="006545C1">
      <w:rPr>
        <w:rFonts w:ascii="Book Antiqua" w:hAnsi="Book Antiqua"/>
        <w:b/>
        <w:bCs/>
        <w:i/>
        <w:color w:val="7F7F7F" w:themeColor="text1" w:themeTint="80"/>
        <w:lang w:val="es-ES"/>
      </w:rPr>
      <w:t>de Asuntos del Consumidor</w:t>
    </w:r>
    <w:r w:rsidRPr="00D80F47">
      <w:rPr>
        <w:rFonts w:ascii="Book Antiqua" w:hAnsi="Book Antiqua"/>
        <w:b/>
        <w:bCs/>
        <w:i/>
        <w:color w:val="7F7F7F" w:themeColor="text1" w:themeTint="80"/>
        <w:lang w:val="es-ES"/>
      </w:rPr>
      <w:t xml:space="preserve">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C81AB" w14:textId="77777777" w:rsidR="00E51B2C" w:rsidRDefault="00E51B2C">
      <w:pPr>
        <w:spacing w:after="0" w:line="240" w:lineRule="auto"/>
      </w:pPr>
      <w:r>
        <w:separator/>
      </w:r>
    </w:p>
  </w:footnote>
  <w:footnote w:type="continuationSeparator" w:id="0">
    <w:p w14:paraId="0C858D93" w14:textId="77777777" w:rsidR="00E51B2C" w:rsidRDefault="00E51B2C">
      <w:pPr>
        <w:spacing w:after="0" w:line="240" w:lineRule="auto"/>
      </w:pPr>
      <w:r>
        <w:continuationSeparator/>
      </w:r>
    </w:p>
  </w:footnote>
  <w:footnote w:type="continuationNotice" w:id="1">
    <w:p w14:paraId="42C6A918" w14:textId="77777777" w:rsidR="00E51B2C" w:rsidRDefault="00E51B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7EEBD26C" w:rsidR="00FF743C" w:rsidRPr="00D80F47"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sidR="006545C1">
      <w:rPr>
        <w:rFonts w:ascii="Book Antiqua" w:hAnsi="Book Antiqua"/>
        <w:b/>
        <w:i/>
        <w:color w:val="7F7F7F" w:themeColor="text1" w:themeTint="80"/>
        <w:spacing w:val="60"/>
        <w:lang w:val="es-PR"/>
      </w:rPr>
      <w:t>Final</w:t>
    </w:r>
    <w:r w:rsidR="0015377F">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R</w:t>
    </w:r>
    <w:r w:rsidRPr="00D80F47">
      <w:rPr>
        <w:rFonts w:ascii="Book Antiqua" w:hAnsi="Book Antiqua"/>
        <w:b/>
        <w:i/>
        <w:color w:val="7F7F7F" w:themeColor="text1" w:themeTint="80"/>
        <w:spacing w:val="60"/>
        <w:lang w:val="es-PR"/>
      </w:rPr>
      <w:t>.</w:t>
    </w:r>
    <w:r w:rsidR="00C8670B">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d</w:t>
    </w:r>
    <w:r w:rsidR="007B3187">
      <w:rPr>
        <w:rFonts w:ascii="Book Antiqua" w:hAnsi="Book Antiqua"/>
        <w:b/>
        <w:i/>
        <w:color w:val="7F7F7F" w:themeColor="text1" w:themeTint="80"/>
        <w:spacing w:val="60"/>
        <w:lang w:val="es-PR"/>
      </w:rPr>
      <w:t>e</w:t>
    </w:r>
    <w:r w:rsidR="00721BDE">
      <w:rPr>
        <w:rFonts w:ascii="Book Antiqua" w:hAnsi="Book Antiqua"/>
        <w:b/>
        <w:i/>
        <w:color w:val="7F7F7F" w:themeColor="text1" w:themeTint="80"/>
        <w:spacing w:val="60"/>
        <w:lang w:val="es-PR"/>
      </w:rPr>
      <w:t xml:space="preserve"> </w:t>
    </w:r>
    <w:r w:rsidR="007B3187">
      <w:rPr>
        <w:rFonts w:ascii="Book Antiqua" w:hAnsi="Book Antiqua"/>
        <w:b/>
        <w:i/>
        <w:color w:val="7F7F7F" w:themeColor="text1" w:themeTint="80"/>
        <w:spacing w:val="60"/>
        <w:lang w:val="es-PR"/>
      </w:rPr>
      <w:t>l</w:t>
    </w:r>
    <w:r w:rsidR="00721BDE">
      <w:rPr>
        <w:rFonts w:ascii="Book Antiqua" w:hAnsi="Book Antiqua"/>
        <w:b/>
        <w:i/>
        <w:color w:val="7F7F7F" w:themeColor="text1" w:themeTint="80"/>
        <w:spacing w:val="60"/>
        <w:lang w:val="es-PR"/>
      </w:rPr>
      <w:t>a</w:t>
    </w:r>
    <w:r w:rsidR="007B3187">
      <w:rPr>
        <w:rFonts w:ascii="Book Antiqua" w:hAnsi="Book Antiqua"/>
        <w:b/>
        <w:i/>
        <w:color w:val="7F7F7F" w:themeColor="text1" w:themeTint="80"/>
        <w:spacing w:val="60"/>
        <w:lang w:val="es-PR"/>
      </w:rPr>
      <w:t xml:space="preserve"> </w:t>
    </w:r>
    <w:r w:rsidR="00721BDE">
      <w:rPr>
        <w:rFonts w:ascii="Book Antiqua" w:hAnsi="Book Antiqua"/>
        <w:b/>
        <w:i/>
        <w:color w:val="7F7F7F" w:themeColor="text1" w:themeTint="80"/>
        <w:spacing w:val="60"/>
        <w:lang w:val="es-PR"/>
      </w:rPr>
      <w:t>C</w:t>
    </w:r>
    <w:r w:rsidR="007B3187">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88</w:t>
    </w:r>
    <w:r w:rsidR="007B3187">
      <w:rPr>
        <w:rFonts w:ascii="Book Antiqua" w:hAnsi="Book Antiqua"/>
        <w:b/>
        <w:i/>
        <w:color w:val="7F7F7F" w:themeColor="text1" w:themeTint="80"/>
        <w:spacing w:val="60"/>
        <w:lang w:val="es-PR"/>
      </w:rPr>
      <w:tab/>
      <w:t xml:space="preserve">   </w:t>
    </w:r>
    <w:r w:rsidRPr="00D80F47">
      <w:rPr>
        <w:rFonts w:ascii="Book Antiqua" w:hAnsi="Book Antiqua"/>
        <w:b/>
        <w:i/>
        <w:color w:val="7F7F7F" w:themeColor="text1" w:themeTint="80"/>
        <w:spacing w:val="60"/>
        <w:lang w:val="es-PR"/>
      </w:rPr>
      <w:tab/>
    </w:r>
    <w:r w:rsidR="007B3187">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3"/>
  </w:num>
  <w:num w:numId="2" w16cid:durableId="61176380">
    <w:abstractNumId w:val="7"/>
  </w:num>
  <w:num w:numId="3" w16cid:durableId="1059595349">
    <w:abstractNumId w:val="3"/>
  </w:num>
  <w:num w:numId="4" w16cid:durableId="2061787766">
    <w:abstractNumId w:val="17"/>
  </w:num>
  <w:num w:numId="5" w16cid:durableId="1979995804">
    <w:abstractNumId w:val="11"/>
  </w:num>
  <w:num w:numId="6" w16cid:durableId="248587837">
    <w:abstractNumId w:val="14"/>
  </w:num>
  <w:num w:numId="7" w16cid:durableId="1013386577">
    <w:abstractNumId w:val="15"/>
  </w:num>
  <w:num w:numId="8" w16cid:durableId="192153168">
    <w:abstractNumId w:val="18"/>
  </w:num>
  <w:num w:numId="9" w16cid:durableId="1334843169">
    <w:abstractNumId w:val="16"/>
  </w:num>
  <w:num w:numId="10" w16cid:durableId="1816602797">
    <w:abstractNumId w:val="8"/>
  </w:num>
  <w:num w:numId="11" w16cid:durableId="1897281236">
    <w:abstractNumId w:val="0"/>
  </w:num>
  <w:num w:numId="12" w16cid:durableId="1776559535">
    <w:abstractNumId w:val="12"/>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0"/>
  </w:num>
  <w:num w:numId="18" w16cid:durableId="1892884976">
    <w:abstractNumId w:val="1"/>
  </w:num>
  <w:num w:numId="19" w16cid:durableId="13889904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0726D"/>
    <w:rsid w:val="00010035"/>
    <w:rsid w:val="0001109F"/>
    <w:rsid w:val="00015F9B"/>
    <w:rsid w:val="0001634C"/>
    <w:rsid w:val="000304B5"/>
    <w:rsid w:val="00032057"/>
    <w:rsid w:val="00033FC1"/>
    <w:rsid w:val="00040B2F"/>
    <w:rsid w:val="00042087"/>
    <w:rsid w:val="000422D9"/>
    <w:rsid w:val="00042A23"/>
    <w:rsid w:val="000471C1"/>
    <w:rsid w:val="00047A01"/>
    <w:rsid w:val="00050EA2"/>
    <w:rsid w:val="00061727"/>
    <w:rsid w:val="00064B89"/>
    <w:rsid w:val="00065F8A"/>
    <w:rsid w:val="00070369"/>
    <w:rsid w:val="00073F7F"/>
    <w:rsid w:val="00075375"/>
    <w:rsid w:val="00075E8A"/>
    <w:rsid w:val="00077928"/>
    <w:rsid w:val="00080CE3"/>
    <w:rsid w:val="00082E27"/>
    <w:rsid w:val="00084777"/>
    <w:rsid w:val="00084D4B"/>
    <w:rsid w:val="00086DA1"/>
    <w:rsid w:val="00087891"/>
    <w:rsid w:val="0009177F"/>
    <w:rsid w:val="0009268B"/>
    <w:rsid w:val="000939F8"/>
    <w:rsid w:val="000A00A2"/>
    <w:rsid w:val="000A06E8"/>
    <w:rsid w:val="000A1321"/>
    <w:rsid w:val="000A7D79"/>
    <w:rsid w:val="000B0775"/>
    <w:rsid w:val="000B2BA9"/>
    <w:rsid w:val="000B67BF"/>
    <w:rsid w:val="000C3683"/>
    <w:rsid w:val="000C3C0B"/>
    <w:rsid w:val="000C4097"/>
    <w:rsid w:val="000C4519"/>
    <w:rsid w:val="000C48D4"/>
    <w:rsid w:val="000D27C8"/>
    <w:rsid w:val="000D2AC7"/>
    <w:rsid w:val="000D5859"/>
    <w:rsid w:val="000E5BA2"/>
    <w:rsid w:val="000E5FD5"/>
    <w:rsid w:val="000F1464"/>
    <w:rsid w:val="000F1DB9"/>
    <w:rsid w:val="000F4696"/>
    <w:rsid w:val="00100979"/>
    <w:rsid w:val="00104CFC"/>
    <w:rsid w:val="001053AD"/>
    <w:rsid w:val="00114E04"/>
    <w:rsid w:val="00115530"/>
    <w:rsid w:val="0011677E"/>
    <w:rsid w:val="00117919"/>
    <w:rsid w:val="00117E0F"/>
    <w:rsid w:val="00124C65"/>
    <w:rsid w:val="0012509B"/>
    <w:rsid w:val="00125E9E"/>
    <w:rsid w:val="001270C2"/>
    <w:rsid w:val="00137432"/>
    <w:rsid w:val="00146D4D"/>
    <w:rsid w:val="00150327"/>
    <w:rsid w:val="0015377F"/>
    <w:rsid w:val="001574B4"/>
    <w:rsid w:val="00164FDF"/>
    <w:rsid w:val="00166898"/>
    <w:rsid w:val="00170214"/>
    <w:rsid w:val="00172D4D"/>
    <w:rsid w:val="0017514B"/>
    <w:rsid w:val="0017673D"/>
    <w:rsid w:val="00176C61"/>
    <w:rsid w:val="0018253F"/>
    <w:rsid w:val="00186ECD"/>
    <w:rsid w:val="00193B05"/>
    <w:rsid w:val="00194554"/>
    <w:rsid w:val="0019467B"/>
    <w:rsid w:val="001A16E7"/>
    <w:rsid w:val="001A296C"/>
    <w:rsid w:val="001A76D6"/>
    <w:rsid w:val="001B5D39"/>
    <w:rsid w:val="001B6E59"/>
    <w:rsid w:val="001C545F"/>
    <w:rsid w:val="001C7E62"/>
    <w:rsid w:val="001D2F9B"/>
    <w:rsid w:val="001D4D02"/>
    <w:rsid w:val="001E470C"/>
    <w:rsid w:val="001F0CE2"/>
    <w:rsid w:val="001F60C9"/>
    <w:rsid w:val="00200B93"/>
    <w:rsid w:val="00206FEF"/>
    <w:rsid w:val="00207FDA"/>
    <w:rsid w:val="00212FA6"/>
    <w:rsid w:val="00214247"/>
    <w:rsid w:val="00215857"/>
    <w:rsid w:val="00222E3B"/>
    <w:rsid w:val="0022306F"/>
    <w:rsid w:val="00224B34"/>
    <w:rsid w:val="002258E0"/>
    <w:rsid w:val="0023263A"/>
    <w:rsid w:val="00241A7D"/>
    <w:rsid w:val="00242400"/>
    <w:rsid w:val="00242743"/>
    <w:rsid w:val="00244846"/>
    <w:rsid w:val="00246A0D"/>
    <w:rsid w:val="00252895"/>
    <w:rsid w:val="00252EE9"/>
    <w:rsid w:val="002531D9"/>
    <w:rsid w:val="00256B0A"/>
    <w:rsid w:val="002573CC"/>
    <w:rsid w:val="00260526"/>
    <w:rsid w:val="0026315B"/>
    <w:rsid w:val="0026365C"/>
    <w:rsid w:val="00265E43"/>
    <w:rsid w:val="00270095"/>
    <w:rsid w:val="0027425D"/>
    <w:rsid w:val="0027486C"/>
    <w:rsid w:val="00274930"/>
    <w:rsid w:val="0028263E"/>
    <w:rsid w:val="0029577C"/>
    <w:rsid w:val="00296371"/>
    <w:rsid w:val="0029730D"/>
    <w:rsid w:val="002A5740"/>
    <w:rsid w:val="002A65AE"/>
    <w:rsid w:val="002A78E9"/>
    <w:rsid w:val="002B1945"/>
    <w:rsid w:val="002B417D"/>
    <w:rsid w:val="002B4D4B"/>
    <w:rsid w:val="002B5271"/>
    <w:rsid w:val="002B5CAD"/>
    <w:rsid w:val="002B6F5D"/>
    <w:rsid w:val="002C42AD"/>
    <w:rsid w:val="002C73CA"/>
    <w:rsid w:val="002D12EA"/>
    <w:rsid w:val="002D4046"/>
    <w:rsid w:val="002D6515"/>
    <w:rsid w:val="002D79D4"/>
    <w:rsid w:val="002D7B2D"/>
    <w:rsid w:val="002E1CA2"/>
    <w:rsid w:val="002E1CD3"/>
    <w:rsid w:val="002F3F0B"/>
    <w:rsid w:val="00303634"/>
    <w:rsid w:val="00311262"/>
    <w:rsid w:val="00311DBC"/>
    <w:rsid w:val="00314244"/>
    <w:rsid w:val="0031713B"/>
    <w:rsid w:val="0032169C"/>
    <w:rsid w:val="003258E9"/>
    <w:rsid w:val="00334DC6"/>
    <w:rsid w:val="0033626E"/>
    <w:rsid w:val="0034091C"/>
    <w:rsid w:val="0034248B"/>
    <w:rsid w:val="00345210"/>
    <w:rsid w:val="00345B19"/>
    <w:rsid w:val="003468C5"/>
    <w:rsid w:val="0035079E"/>
    <w:rsid w:val="003537E8"/>
    <w:rsid w:val="003547E9"/>
    <w:rsid w:val="003548DB"/>
    <w:rsid w:val="0035744E"/>
    <w:rsid w:val="003579CA"/>
    <w:rsid w:val="00360C58"/>
    <w:rsid w:val="00360DE1"/>
    <w:rsid w:val="0036337F"/>
    <w:rsid w:val="003657E1"/>
    <w:rsid w:val="00365EF8"/>
    <w:rsid w:val="00372B11"/>
    <w:rsid w:val="00373DAB"/>
    <w:rsid w:val="0037424B"/>
    <w:rsid w:val="00381646"/>
    <w:rsid w:val="00382143"/>
    <w:rsid w:val="00383202"/>
    <w:rsid w:val="00383B9C"/>
    <w:rsid w:val="003919F9"/>
    <w:rsid w:val="00394B8D"/>
    <w:rsid w:val="00396185"/>
    <w:rsid w:val="003A2B3D"/>
    <w:rsid w:val="003A38EE"/>
    <w:rsid w:val="003A47C3"/>
    <w:rsid w:val="003A5E6E"/>
    <w:rsid w:val="003A72A1"/>
    <w:rsid w:val="003A79C9"/>
    <w:rsid w:val="003B1FF2"/>
    <w:rsid w:val="003B2B79"/>
    <w:rsid w:val="003B3122"/>
    <w:rsid w:val="003B7F97"/>
    <w:rsid w:val="003C086B"/>
    <w:rsid w:val="003C0A97"/>
    <w:rsid w:val="003C1B1D"/>
    <w:rsid w:val="003C2E71"/>
    <w:rsid w:val="003C5548"/>
    <w:rsid w:val="003C7251"/>
    <w:rsid w:val="003C7E72"/>
    <w:rsid w:val="003D33C1"/>
    <w:rsid w:val="003E12EB"/>
    <w:rsid w:val="003F0CD5"/>
    <w:rsid w:val="003F2E94"/>
    <w:rsid w:val="003F5D18"/>
    <w:rsid w:val="00406232"/>
    <w:rsid w:val="00406AC1"/>
    <w:rsid w:val="00410ECE"/>
    <w:rsid w:val="004122EE"/>
    <w:rsid w:val="00412348"/>
    <w:rsid w:val="004136A3"/>
    <w:rsid w:val="00414166"/>
    <w:rsid w:val="00416DD1"/>
    <w:rsid w:val="00416F11"/>
    <w:rsid w:val="00417EA5"/>
    <w:rsid w:val="00421D9C"/>
    <w:rsid w:val="00422688"/>
    <w:rsid w:val="0042540A"/>
    <w:rsid w:val="00426402"/>
    <w:rsid w:val="00430942"/>
    <w:rsid w:val="00433B94"/>
    <w:rsid w:val="004351E0"/>
    <w:rsid w:val="00435945"/>
    <w:rsid w:val="00435D5C"/>
    <w:rsid w:val="00436364"/>
    <w:rsid w:val="00442186"/>
    <w:rsid w:val="00445DB5"/>
    <w:rsid w:val="00447CEA"/>
    <w:rsid w:val="0045180E"/>
    <w:rsid w:val="00453020"/>
    <w:rsid w:val="00455AA8"/>
    <w:rsid w:val="004577FB"/>
    <w:rsid w:val="004620B0"/>
    <w:rsid w:val="004626CA"/>
    <w:rsid w:val="00464323"/>
    <w:rsid w:val="00467A36"/>
    <w:rsid w:val="00470B60"/>
    <w:rsid w:val="00470F3F"/>
    <w:rsid w:val="00472407"/>
    <w:rsid w:val="00472793"/>
    <w:rsid w:val="00477BA6"/>
    <w:rsid w:val="0048070C"/>
    <w:rsid w:val="00487B4C"/>
    <w:rsid w:val="00487E0B"/>
    <w:rsid w:val="00491786"/>
    <w:rsid w:val="00491844"/>
    <w:rsid w:val="004A2F2C"/>
    <w:rsid w:val="004A4A0A"/>
    <w:rsid w:val="004A593A"/>
    <w:rsid w:val="004B2EE4"/>
    <w:rsid w:val="004C0940"/>
    <w:rsid w:val="004C1C8B"/>
    <w:rsid w:val="004C2D8F"/>
    <w:rsid w:val="004C4B22"/>
    <w:rsid w:val="004D4B37"/>
    <w:rsid w:val="004E36CD"/>
    <w:rsid w:val="004E4121"/>
    <w:rsid w:val="004E784A"/>
    <w:rsid w:val="004F40E0"/>
    <w:rsid w:val="004F4F61"/>
    <w:rsid w:val="005021E4"/>
    <w:rsid w:val="00502B33"/>
    <w:rsid w:val="00503E24"/>
    <w:rsid w:val="00510739"/>
    <w:rsid w:val="00510996"/>
    <w:rsid w:val="0051286B"/>
    <w:rsid w:val="00514543"/>
    <w:rsid w:val="0051774B"/>
    <w:rsid w:val="00517E64"/>
    <w:rsid w:val="005213F5"/>
    <w:rsid w:val="00530B50"/>
    <w:rsid w:val="005330A2"/>
    <w:rsid w:val="00533BD0"/>
    <w:rsid w:val="005446B2"/>
    <w:rsid w:val="00547C7B"/>
    <w:rsid w:val="0055155D"/>
    <w:rsid w:val="005536DA"/>
    <w:rsid w:val="00557834"/>
    <w:rsid w:val="00560A4F"/>
    <w:rsid w:val="00560B27"/>
    <w:rsid w:val="00561732"/>
    <w:rsid w:val="005738D9"/>
    <w:rsid w:val="00581AA3"/>
    <w:rsid w:val="00582EEB"/>
    <w:rsid w:val="00584073"/>
    <w:rsid w:val="00590933"/>
    <w:rsid w:val="0059467F"/>
    <w:rsid w:val="005A45DD"/>
    <w:rsid w:val="005B0570"/>
    <w:rsid w:val="005B4C72"/>
    <w:rsid w:val="005B649D"/>
    <w:rsid w:val="005B7D24"/>
    <w:rsid w:val="005C10D1"/>
    <w:rsid w:val="005C4ABB"/>
    <w:rsid w:val="005C76B7"/>
    <w:rsid w:val="005E0023"/>
    <w:rsid w:val="005E532D"/>
    <w:rsid w:val="005E667D"/>
    <w:rsid w:val="005F3287"/>
    <w:rsid w:val="005F47AB"/>
    <w:rsid w:val="006005E2"/>
    <w:rsid w:val="00601F6D"/>
    <w:rsid w:val="00602468"/>
    <w:rsid w:val="00612BDA"/>
    <w:rsid w:val="00613838"/>
    <w:rsid w:val="00615A07"/>
    <w:rsid w:val="00616A32"/>
    <w:rsid w:val="00620F0B"/>
    <w:rsid w:val="006218B9"/>
    <w:rsid w:val="00622332"/>
    <w:rsid w:val="00623090"/>
    <w:rsid w:val="00625B53"/>
    <w:rsid w:val="006264FA"/>
    <w:rsid w:val="006271A3"/>
    <w:rsid w:val="0063442C"/>
    <w:rsid w:val="00635DE6"/>
    <w:rsid w:val="0063739F"/>
    <w:rsid w:val="00640129"/>
    <w:rsid w:val="006415F8"/>
    <w:rsid w:val="00642B9B"/>
    <w:rsid w:val="00644AD2"/>
    <w:rsid w:val="006471A0"/>
    <w:rsid w:val="00650CE2"/>
    <w:rsid w:val="00651B48"/>
    <w:rsid w:val="00652772"/>
    <w:rsid w:val="00652CDE"/>
    <w:rsid w:val="00654477"/>
    <w:rsid w:val="006545C1"/>
    <w:rsid w:val="006560AF"/>
    <w:rsid w:val="0065616E"/>
    <w:rsid w:val="0065682F"/>
    <w:rsid w:val="006574EC"/>
    <w:rsid w:val="00666E22"/>
    <w:rsid w:val="0067067D"/>
    <w:rsid w:val="00672C7E"/>
    <w:rsid w:val="006772BB"/>
    <w:rsid w:val="00677A22"/>
    <w:rsid w:val="00680204"/>
    <w:rsid w:val="00680B44"/>
    <w:rsid w:val="00681327"/>
    <w:rsid w:val="00686ED6"/>
    <w:rsid w:val="0069000A"/>
    <w:rsid w:val="00690604"/>
    <w:rsid w:val="00691A41"/>
    <w:rsid w:val="00695B6A"/>
    <w:rsid w:val="006A100B"/>
    <w:rsid w:val="006B031C"/>
    <w:rsid w:val="006B2162"/>
    <w:rsid w:val="006B45DF"/>
    <w:rsid w:val="006C0721"/>
    <w:rsid w:val="006C13D4"/>
    <w:rsid w:val="006C540C"/>
    <w:rsid w:val="006C5D0C"/>
    <w:rsid w:val="006D03E5"/>
    <w:rsid w:val="006D0ECD"/>
    <w:rsid w:val="006D26CB"/>
    <w:rsid w:val="006D3C9A"/>
    <w:rsid w:val="006D48FC"/>
    <w:rsid w:val="006D4A95"/>
    <w:rsid w:val="006E199B"/>
    <w:rsid w:val="006E25D5"/>
    <w:rsid w:val="006E7102"/>
    <w:rsid w:val="006F0BC0"/>
    <w:rsid w:val="006F58BD"/>
    <w:rsid w:val="00702995"/>
    <w:rsid w:val="00702AF8"/>
    <w:rsid w:val="007039E3"/>
    <w:rsid w:val="00704C2F"/>
    <w:rsid w:val="0070733E"/>
    <w:rsid w:val="0071579E"/>
    <w:rsid w:val="00721472"/>
    <w:rsid w:val="00721BDE"/>
    <w:rsid w:val="00731329"/>
    <w:rsid w:val="007355C5"/>
    <w:rsid w:val="00751279"/>
    <w:rsid w:val="00755D0F"/>
    <w:rsid w:val="00764BA1"/>
    <w:rsid w:val="00766288"/>
    <w:rsid w:val="0076688F"/>
    <w:rsid w:val="007708BB"/>
    <w:rsid w:val="00774716"/>
    <w:rsid w:val="00774AC3"/>
    <w:rsid w:val="00774D75"/>
    <w:rsid w:val="00775B08"/>
    <w:rsid w:val="00776A21"/>
    <w:rsid w:val="007777A1"/>
    <w:rsid w:val="007806AE"/>
    <w:rsid w:val="00782DD7"/>
    <w:rsid w:val="00785BAD"/>
    <w:rsid w:val="00787BA2"/>
    <w:rsid w:val="007A1C67"/>
    <w:rsid w:val="007A2351"/>
    <w:rsid w:val="007A7A0A"/>
    <w:rsid w:val="007B0E5F"/>
    <w:rsid w:val="007B1258"/>
    <w:rsid w:val="007B2CFB"/>
    <w:rsid w:val="007B3187"/>
    <w:rsid w:val="007B6081"/>
    <w:rsid w:val="007C0C4F"/>
    <w:rsid w:val="007C0E2E"/>
    <w:rsid w:val="007C3B43"/>
    <w:rsid w:val="007C4053"/>
    <w:rsid w:val="007C46E6"/>
    <w:rsid w:val="007D09E3"/>
    <w:rsid w:val="007D1990"/>
    <w:rsid w:val="007D20C5"/>
    <w:rsid w:val="007E09FA"/>
    <w:rsid w:val="007E344C"/>
    <w:rsid w:val="007F143E"/>
    <w:rsid w:val="007F2B70"/>
    <w:rsid w:val="007F4530"/>
    <w:rsid w:val="007F6B77"/>
    <w:rsid w:val="007F6B80"/>
    <w:rsid w:val="00800B5C"/>
    <w:rsid w:val="00804C1C"/>
    <w:rsid w:val="00813DEF"/>
    <w:rsid w:val="00813E35"/>
    <w:rsid w:val="0081745A"/>
    <w:rsid w:val="00823135"/>
    <w:rsid w:val="00825C96"/>
    <w:rsid w:val="00832EB2"/>
    <w:rsid w:val="00836722"/>
    <w:rsid w:val="00840694"/>
    <w:rsid w:val="008440A0"/>
    <w:rsid w:val="00845132"/>
    <w:rsid w:val="0084732F"/>
    <w:rsid w:val="00850D8F"/>
    <w:rsid w:val="008518F6"/>
    <w:rsid w:val="0085607D"/>
    <w:rsid w:val="00856BD4"/>
    <w:rsid w:val="00857A6A"/>
    <w:rsid w:val="00857C4D"/>
    <w:rsid w:val="0086481F"/>
    <w:rsid w:val="00865118"/>
    <w:rsid w:val="00870978"/>
    <w:rsid w:val="00875E48"/>
    <w:rsid w:val="00876B8E"/>
    <w:rsid w:val="0088037B"/>
    <w:rsid w:val="00885A17"/>
    <w:rsid w:val="00891AA2"/>
    <w:rsid w:val="00892ACB"/>
    <w:rsid w:val="00894F91"/>
    <w:rsid w:val="008A3ED8"/>
    <w:rsid w:val="008A7491"/>
    <w:rsid w:val="008B556E"/>
    <w:rsid w:val="008C01FF"/>
    <w:rsid w:val="008C1C17"/>
    <w:rsid w:val="008C2D0E"/>
    <w:rsid w:val="008C2E3C"/>
    <w:rsid w:val="008C56A2"/>
    <w:rsid w:val="008C6BBE"/>
    <w:rsid w:val="008C79EC"/>
    <w:rsid w:val="008D728C"/>
    <w:rsid w:val="008E22AD"/>
    <w:rsid w:val="008E3937"/>
    <w:rsid w:val="008E5589"/>
    <w:rsid w:val="008E55D4"/>
    <w:rsid w:val="008F1D17"/>
    <w:rsid w:val="008F285D"/>
    <w:rsid w:val="008F42AC"/>
    <w:rsid w:val="008F5D92"/>
    <w:rsid w:val="008F5DED"/>
    <w:rsid w:val="00903341"/>
    <w:rsid w:val="00906246"/>
    <w:rsid w:val="0090679A"/>
    <w:rsid w:val="00906F79"/>
    <w:rsid w:val="0091103A"/>
    <w:rsid w:val="00914F89"/>
    <w:rsid w:val="0091508E"/>
    <w:rsid w:val="0091792A"/>
    <w:rsid w:val="0092099E"/>
    <w:rsid w:val="009259CF"/>
    <w:rsid w:val="009276C5"/>
    <w:rsid w:val="0093150A"/>
    <w:rsid w:val="009340BE"/>
    <w:rsid w:val="0093434C"/>
    <w:rsid w:val="00934DEB"/>
    <w:rsid w:val="00936511"/>
    <w:rsid w:val="00936C03"/>
    <w:rsid w:val="00956C43"/>
    <w:rsid w:val="00957442"/>
    <w:rsid w:val="0096056B"/>
    <w:rsid w:val="00960FEB"/>
    <w:rsid w:val="009636A1"/>
    <w:rsid w:val="00963E72"/>
    <w:rsid w:val="00963F5D"/>
    <w:rsid w:val="00971320"/>
    <w:rsid w:val="00975363"/>
    <w:rsid w:val="009802D0"/>
    <w:rsid w:val="00982266"/>
    <w:rsid w:val="00982654"/>
    <w:rsid w:val="009866E0"/>
    <w:rsid w:val="00991CC5"/>
    <w:rsid w:val="00992D25"/>
    <w:rsid w:val="00993115"/>
    <w:rsid w:val="00996905"/>
    <w:rsid w:val="009974DE"/>
    <w:rsid w:val="009A25C7"/>
    <w:rsid w:val="009A42DC"/>
    <w:rsid w:val="009A5F8F"/>
    <w:rsid w:val="009A6546"/>
    <w:rsid w:val="009A7177"/>
    <w:rsid w:val="009B0280"/>
    <w:rsid w:val="009B2CAD"/>
    <w:rsid w:val="009B364F"/>
    <w:rsid w:val="009B61E8"/>
    <w:rsid w:val="009C0504"/>
    <w:rsid w:val="009C1DD7"/>
    <w:rsid w:val="009C21A6"/>
    <w:rsid w:val="009C467F"/>
    <w:rsid w:val="009C468C"/>
    <w:rsid w:val="009C4A57"/>
    <w:rsid w:val="009D1631"/>
    <w:rsid w:val="009D1E43"/>
    <w:rsid w:val="009D27AC"/>
    <w:rsid w:val="009D4592"/>
    <w:rsid w:val="009D5074"/>
    <w:rsid w:val="009D6158"/>
    <w:rsid w:val="009D6C16"/>
    <w:rsid w:val="009D708D"/>
    <w:rsid w:val="009E4BBB"/>
    <w:rsid w:val="009E4D8F"/>
    <w:rsid w:val="009F4DAC"/>
    <w:rsid w:val="00A00AAC"/>
    <w:rsid w:val="00A02F94"/>
    <w:rsid w:val="00A075CE"/>
    <w:rsid w:val="00A1077A"/>
    <w:rsid w:val="00A22FDC"/>
    <w:rsid w:val="00A246E2"/>
    <w:rsid w:val="00A269E6"/>
    <w:rsid w:val="00A272AE"/>
    <w:rsid w:val="00A274D3"/>
    <w:rsid w:val="00A30719"/>
    <w:rsid w:val="00A33C0F"/>
    <w:rsid w:val="00A351A4"/>
    <w:rsid w:val="00A35ADF"/>
    <w:rsid w:val="00A411DE"/>
    <w:rsid w:val="00A41DA6"/>
    <w:rsid w:val="00A42EA8"/>
    <w:rsid w:val="00A442AC"/>
    <w:rsid w:val="00A46626"/>
    <w:rsid w:val="00A4749A"/>
    <w:rsid w:val="00A52B84"/>
    <w:rsid w:val="00A62AC6"/>
    <w:rsid w:val="00A62BE8"/>
    <w:rsid w:val="00A67CF5"/>
    <w:rsid w:val="00A71C45"/>
    <w:rsid w:val="00A74FA0"/>
    <w:rsid w:val="00A77B02"/>
    <w:rsid w:val="00A80C87"/>
    <w:rsid w:val="00A81AC5"/>
    <w:rsid w:val="00A8282B"/>
    <w:rsid w:val="00A85B80"/>
    <w:rsid w:val="00A877B1"/>
    <w:rsid w:val="00A87E22"/>
    <w:rsid w:val="00A902A3"/>
    <w:rsid w:val="00A92B10"/>
    <w:rsid w:val="00A94422"/>
    <w:rsid w:val="00AA060B"/>
    <w:rsid w:val="00AA3956"/>
    <w:rsid w:val="00AB2223"/>
    <w:rsid w:val="00AB2704"/>
    <w:rsid w:val="00AB2A46"/>
    <w:rsid w:val="00AB4E48"/>
    <w:rsid w:val="00AB5613"/>
    <w:rsid w:val="00AC041C"/>
    <w:rsid w:val="00AC1526"/>
    <w:rsid w:val="00AC28C1"/>
    <w:rsid w:val="00AC3607"/>
    <w:rsid w:val="00AC5728"/>
    <w:rsid w:val="00AD37CB"/>
    <w:rsid w:val="00AD4371"/>
    <w:rsid w:val="00AD6DF6"/>
    <w:rsid w:val="00AE34C7"/>
    <w:rsid w:val="00AE5DEC"/>
    <w:rsid w:val="00AE6E12"/>
    <w:rsid w:val="00AE710F"/>
    <w:rsid w:val="00AE716B"/>
    <w:rsid w:val="00AE78A6"/>
    <w:rsid w:val="00AF0CEF"/>
    <w:rsid w:val="00AF4E9C"/>
    <w:rsid w:val="00AF5CBC"/>
    <w:rsid w:val="00B03008"/>
    <w:rsid w:val="00B03370"/>
    <w:rsid w:val="00B035FD"/>
    <w:rsid w:val="00B0515B"/>
    <w:rsid w:val="00B130F1"/>
    <w:rsid w:val="00B16E0E"/>
    <w:rsid w:val="00B17A2F"/>
    <w:rsid w:val="00B202DD"/>
    <w:rsid w:val="00B2137E"/>
    <w:rsid w:val="00B2328A"/>
    <w:rsid w:val="00B23C14"/>
    <w:rsid w:val="00B2513D"/>
    <w:rsid w:val="00B25AEF"/>
    <w:rsid w:val="00B2623B"/>
    <w:rsid w:val="00B27CAF"/>
    <w:rsid w:val="00B30598"/>
    <w:rsid w:val="00B306EA"/>
    <w:rsid w:val="00B31778"/>
    <w:rsid w:val="00B32A84"/>
    <w:rsid w:val="00B32D5B"/>
    <w:rsid w:val="00B426DC"/>
    <w:rsid w:val="00B541DE"/>
    <w:rsid w:val="00B548DD"/>
    <w:rsid w:val="00B54C95"/>
    <w:rsid w:val="00B6081F"/>
    <w:rsid w:val="00B7102C"/>
    <w:rsid w:val="00B710C7"/>
    <w:rsid w:val="00B72D6D"/>
    <w:rsid w:val="00B73F26"/>
    <w:rsid w:val="00B74176"/>
    <w:rsid w:val="00B87D26"/>
    <w:rsid w:val="00B951BC"/>
    <w:rsid w:val="00B9643E"/>
    <w:rsid w:val="00BA52E3"/>
    <w:rsid w:val="00BA5838"/>
    <w:rsid w:val="00BB0018"/>
    <w:rsid w:val="00BB0907"/>
    <w:rsid w:val="00BB1BA5"/>
    <w:rsid w:val="00BB3F58"/>
    <w:rsid w:val="00BB4FA8"/>
    <w:rsid w:val="00BB5C03"/>
    <w:rsid w:val="00BB6F81"/>
    <w:rsid w:val="00BC0BD5"/>
    <w:rsid w:val="00BC219E"/>
    <w:rsid w:val="00BC764D"/>
    <w:rsid w:val="00BD39A5"/>
    <w:rsid w:val="00BD3E72"/>
    <w:rsid w:val="00BE429D"/>
    <w:rsid w:val="00BE4F3F"/>
    <w:rsid w:val="00BE5B3F"/>
    <w:rsid w:val="00BF1528"/>
    <w:rsid w:val="00BF193B"/>
    <w:rsid w:val="00BF2010"/>
    <w:rsid w:val="00BF449E"/>
    <w:rsid w:val="00BF6143"/>
    <w:rsid w:val="00C003AF"/>
    <w:rsid w:val="00C06548"/>
    <w:rsid w:val="00C10019"/>
    <w:rsid w:val="00C1093C"/>
    <w:rsid w:val="00C10EC0"/>
    <w:rsid w:val="00C12E7C"/>
    <w:rsid w:val="00C12EAA"/>
    <w:rsid w:val="00C16A9C"/>
    <w:rsid w:val="00C21052"/>
    <w:rsid w:val="00C219CA"/>
    <w:rsid w:val="00C23BB2"/>
    <w:rsid w:val="00C244E1"/>
    <w:rsid w:val="00C26A6A"/>
    <w:rsid w:val="00C26D35"/>
    <w:rsid w:val="00C34E78"/>
    <w:rsid w:val="00C3740E"/>
    <w:rsid w:val="00C50071"/>
    <w:rsid w:val="00C520BA"/>
    <w:rsid w:val="00C5556C"/>
    <w:rsid w:val="00C55B6F"/>
    <w:rsid w:val="00C61D64"/>
    <w:rsid w:val="00C63760"/>
    <w:rsid w:val="00C70EBC"/>
    <w:rsid w:val="00C72EF4"/>
    <w:rsid w:val="00C740B5"/>
    <w:rsid w:val="00C7600A"/>
    <w:rsid w:val="00C76BFC"/>
    <w:rsid w:val="00C77DA5"/>
    <w:rsid w:val="00C80A21"/>
    <w:rsid w:val="00C83FDF"/>
    <w:rsid w:val="00C8670B"/>
    <w:rsid w:val="00C9033D"/>
    <w:rsid w:val="00C95B4C"/>
    <w:rsid w:val="00CA7042"/>
    <w:rsid w:val="00CA7298"/>
    <w:rsid w:val="00CB0189"/>
    <w:rsid w:val="00CB6663"/>
    <w:rsid w:val="00CC0F42"/>
    <w:rsid w:val="00CC12B8"/>
    <w:rsid w:val="00CC1801"/>
    <w:rsid w:val="00CC21E1"/>
    <w:rsid w:val="00CC2EDA"/>
    <w:rsid w:val="00CC7420"/>
    <w:rsid w:val="00CD03AD"/>
    <w:rsid w:val="00CD2053"/>
    <w:rsid w:val="00CD337C"/>
    <w:rsid w:val="00CE293D"/>
    <w:rsid w:val="00CE2F7D"/>
    <w:rsid w:val="00CF0CC1"/>
    <w:rsid w:val="00CF348D"/>
    <w:rsid w:val="00CF699D"/>
    <w:rsid w:val="00D01635"/>
    <w:rsid w:val="00D0422A"/>
    <w:rsid w:val="00D0486F"/>
    <w:rsid w:val="00D0635C"/>
    <w:rsid w:val="00D0746A"/>
    <w:rsid w:val="00D07F57"/>
    <w:rsid w:val="00D12404"/>
    <w:rsid w:val="00D20C28"/>
    <w:rsid w:val="00D27220"/>
    <w:rsid w:val="00D27704"/>
    <w:rsid w:val="00D301C6"/>
    <w:rsid w:val="00D3213B"/>
    <w:rsid w:val="00D32D5A"/>
    <w:rsid w:val="00D36D3A"/>
    <w:rsid w:val="00D41838"/>
    <w:rsid w:val="00D42E9C"/>
    <w:rsid w:val="00D526C6"/>
    <w:rsid w:val="00D537E1"/>
    <w:rsid w:val="00D578A4"/>
    <w:rsid w:val="00D63605"/>
    <w:rsid w:val="00D65881"/>
    <w:rsid w:val="00D7610D"/>
    <w:rsid w:val="00D80F47"/>
    <w:rsid w:val="00D811C2"/>
    <w:rsid w:val="00D84FBD"/>
    <w:rsid w:val="00D8549B"/>
    <w:rsid w:val="00D85B94"/>
    <w:rsid w:val="00D8709F"/>
    <w:rsid w:val="00D87F37"/>
    <w:rsid w:val="00D92151"/>
    <w:rsid w:val="00D93450"/>
    <w:rsid w:val="00D94489"/>
    <w:rsid w:val="00D96B2E"/>
    <w:rsid w:val="00D97AF4"/>
    <w:rsid w:val="00DA2A2D"/>
    <w:rsid w:val="00DA32D4"/>
    <w:rsid w:val="00DA4527"/>
    <w:rsid w:val="00DA5A1D"/>
    <w:rsid w:val="00DA7FC2"/>
    <w:rsid w:val="00DB4669"/>
    <w:rsid w:val="00DB47CF"/>
    <w:rsid w:val="00DB4915"/>
    <w:rsid w:val="00DB4E3D"/>
    <w:rsid w:val="00DB6043"/>
    <w:rsid w:val="00DC6EF6"/>
    <w:rsid w:val="00DC7AB9"/>
    <w:rsid w:val="00DD0431"/>
    <w:rsid w:val="00DE0F64"/>
    <w:rsid w:val="00DE2FC5"/>
    <w:rsid w:val="00DE694D"/>
    <w:rsid w:val="00DF181D"/>
    <w:rsid w:val="00DF3586"/>
    <w:rsid w:val="00DF66A6"/>
    <w:rsid w:val="00DF76B3"/>
    <w:rsid w:val="00E0392B"/>
    <w:rsid w:val="00E0723E"/>
    <w:rsid w:val="00E07576"/>
    <w:rsid w:val="00E1723A"/>
    <w:rsid w:val="00E208BE"/>
    <w:rsid w:val="00E226F1"/>
    <w:rsid w:val="00E276E6"/>
    <w:rsid w:val="00E312A7"/>
    <w:rsid w:val="00E36DEC"/>
    <w:rsid w:val="00E41C75"/>
    <w:rsid w:val="00E43951"/>
    <w:rsid w:val="00E43C17"/>
    <w:rsid w:val="00E457D9"/>
    <w:rsid w:val="00E50259"/>
    <w:rsid w:val="00E51B2C"/>
    <w:rsid w:val="00E52E31"/>
    <w:rsid w:val="00E54C54"/>
    <w:rsid w:val="00E55005"/>
    <w:rsid w:val="00E57562"/>
    <w:rsid w:val="00E6365A"/>
    <w:rsid w:val="00E65C8F"/>
    <w:rsid w:val="00E6738B"/>
    <w:rsid w:val="00E6795B"/>
    <w:rsid w:val="00E71A43"/>
    <w:rsid w:val="00E731C8"/>
    <w:rsid w:val="00E737AF"/>
    <w:rsid w:val="00E75134"/>
    <w:rsid w:val="00E75AF4"/>
    <w:rsid w:val="00E81DC8"/>
    <w:rsid w:val="00E86895"/>
    <w:rsid w:val="00E93811"/>
    <w:rsid w:val="00E95AB4"/>
    <w:rsid w:val="00E96449"/>
    <w:rsid w:val="00E96C8C"/>
    <w:rsid w:val="00EA1061"/>
    <w:rsid w:val="00EA2317"/>
    <w:rsid w:val="00EA6BD5"/>
    <w:rsid w:val="00EA7D87"/>
    <w:rsid w:val="00EB1719"/>
    <w:rsid w:val="00EB7241"/>
    <w:rsid w:val="00EC05A2"/>
    <w:rsid w:val="00EC659A"/>
    <w:rsid w:val="00EC767B"/>
    <w:rsid w:val="00ED15C8"/>
    <w:rsid w:val="00ED17CB"/>
    <w:rsid w:val="00ED2DE1"/>
    <w:rsid w:val="00ED45D3"/>
    <w:rsid w:val="00EE15E0"/>
    <w:rsid w:val="00EE2682"/>
    <w:rsid w:val="00EE4A14"/>
    <w:rsid w:val="00EE5DF0"/>
    <w:rsid w:val="00EF4097"/>
    <w:rsid w:val="00EF5320"/>
    <w:rsid w:val="00F00F54"/>
    <w:rsid w:val="00F02DE0"/>
    <w:rsid w:val="00F07A77"/>
    <w:rsid w:val="00F1152E"/>
    <w:rsid w:val="00F148E2"/>
    <w:rsid w:val="00F15D08"/>
    <w:rsid w:val="00F17C16"/>
    <w:rsid w:val="00F270E8"/>
    <w:rsid w:val="00F41DCD"/>
    <w:rsid w:val="00F50AA1"/>
    <w:rsid w:val="00F50E33"/>
    <w:rsid w:val="00F51E02"/>
    <w:rsid w:val="00F530A0"/>
    <w:rsid w:val="00F53F05"/>
    <w:rsid w:val="00F562AA"/>
    <w:rsid w:val="00F56B36"/>
    <w:rsid w:val="00F609A0"/>
    <w:rsid w:val="00F61DBC"/>
    <w:rsid w:val="00F649D4"/>
    <w:rsid w:val="00F65F7B"/>
    <w:rsid w:val="00F6639A"/>
    <w:rsid w:val="00F66BFD"/>
    <w:rsid w:val="00F67784"/>
    <w:rsid w:val="00F7077C"/>
    <w:rsid w:val="00F814EF"/>
    <w:rsid w:val="00F8219F"/>
    <w:rsid w:val="00F82A9A"/>
    <w:rsid w:val="00F83704"/>
    <w:rsid w:val="00F93D79"/>
    <w:rsid w:val="00F95A22"/>
    <w:rsid w:val="00FA028D"/>
    <w:rsid w:val="00FA0B9E"/>
    <w:rsid w:val="00FA7093"/>
    <w:rsid w:val="00FB4D06"/>
    <w:rsid w:val="00FB5682"/>
    <w:rsid w:val="00FB7A0F"/>
    <w:rsid w:val="00FD0A86"/>
    <w:rsid w:val="00FD385C"/>
    <w:rsid w:val="00FD4A10"/>
    <w:rsid w:val="00FD65E7"/>
    <w:rsid w:val="00FE0B0E"/>
    <w:rsid w:val="00FE4C21"/>
    <w:rsid w:val="00FE6DD7"/>
    <w:rsid w:val="00FF231A"/>
    <w:rsid w:val="00FF2A00"/>
    <w:rsid w:val="00FF30A9"/>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energia.pr.gov/wpcontent/uploads/sites/7/2021/05/RFI-LUMA-MI-21-0007-210504-PREB-001-Att3.xlsx"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3.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4.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5.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6.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4387</Words>
  <Characters>25009</Characters>
  <Application>Microsoft Office Word</Application>
  <DocSecurity>4</DocSecurity>
  <Lines>208</Lines>
  <Paragraphs>58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2025-03-26T14:35:00Z</cp:lastPrinted>
  <dcterms:created xsi:type="dcterms:W3CDTF">2025-06-23T17:57:00Z</dcterms:created>
  <dcterms:modified xsi:type="dcterms:W3CDTF">2025-06-23T17:57:00Z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