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E40D0" w14:textId="77777777" w:rsidR="006E74E9" w:rsidRPr="006E74E9" w:rsidRDefault="006E74E9" w:rsidP="006E74E9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6E74E9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6E74E9">
        <w:rPr>
          <w:rFonts w:ascii="Book Antiqua" w:hAnsi="Book Antiqua"/>
          <w:szCs w:val="24"/>
          <w:lang w:val="es-ES"/>
        </w:rPr>
        <w:fldChar w:fldCharType="begin"/>
      </w:r>
      <w:r w:rsidRPr="006E74E9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6E74E9">
        <w:rPr>
          <w:rFonts w:ascii="Book Antiqua" w:hAnsi="Book Antiqua"/>
          <w:szCs w:val="24"/>
          <w:lang w:val="es-ES"/>
        </w:rPr>
        <w:fldChar w:fldCharType="end"/>
      </w:r>
    </w:p>
    <w:p w14:paraId="18494F4B" w14:textId="6121626F" w:rsidR="006E74E9" w:rsidRPr="006E74E9" w:rsidRDefault="006E74E9" w:rsidP="006E74E9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6E74E9">
        <w:rPr>
          <w:rFonts w:ascii="Book Antiqua" w:hAnsi="Book Antiqua"/>
          <w:b/>
          <w:bCs/>
          <w:szCs w:val="24"/>
          <w:lang w:val="es-PR"/>
        </w:rPr>
        <w:t>(</w:t>
      </w:r>
      <w:r w:rsidRPr="006E74E9">
        <w:rPr>
          <w:rFonts w:ascii="Book Antiqua" w:hAnsi="Book Antiqua"/>
          <w:b/>
          <w:bCs/>
          <w:szCs w:val="24"/>
          <w:lang w:val="es-PR"/>
        </w:rPr>
        <w:t>10</w:t>
      </w:r>
      <w:r w:rsidRPr="006E74E9">
        <w:rPr>
          <w:rFonts w:ascii="Book Antiqua" w:hAnsi="Book Antiqua"/>
          <w:b/>
          <w:bCs/>
          <w:szCs w:val="24"/>
          <w:lang w:val="es-PR"/>
        </w:rPr>
        <w:t xml:space="preserve"> DE </w:t>
      </w:r>
      <w:r w:rsidRPr="006E74E9">
        <w:rPr>
          <w:rFonts w:ascii="Book Antiqua" w:hAnsi="Book Antiqua"/>
          <w:b/>
          <w:bCs/>
          <w:szCs w:val="24"/>
          <w:lang w:val="es-PR"/>
        </w:rPr>
        <w:t>MARZO</w:t>
      </w:r>
      <w:r w:rsidRPr="006E74E9">
        <w:rPr>
          <w:rFonts w:ascii="Book Antiqua" w:hAnsi="Book Antiqua"/>
          <w:b/>
          <w:bCs/>
          <w:szCs w:val="24"/>
          <w:lang w:val="es-PR"/>
        </w:rPr>
        <w:t xml:space="preserve"> DE 2025)</w:t>
      </w:r>
    </w:p>
    <w:p w14:paraId="6ACA0C3D" w14:textId="0746E240" w:rsidR="006E74E9" w:rsidRPr="006E74E9" w:rsidRDefault="006E74E9" w:rsidP="006E74E9">
      <w:pPr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6E74E9">
        <w:rPr>
          <w:rFonts w:ascii="Book Antiqua" w:hAnsi="Book Antiqua"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F2D7068" wp14:editId="587D7E8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200773857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13D95D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BE5C328" w14:textId="0BE4FCFC" w:rsidR="00B25CCC" w:rsidRPr="00D22D5E" w:rsidRDefault="00D7108F" w:rsidP="00B25CCC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D22D5E">
        <w:rPr>
          <w:rFonts w:ascii="Book Antiqua" w:hAnsi="Book Antiqua"/>
          <w:sz w:val="28"/>
          <w:szCs w:val="28"/>
          <w:lang w:val="es-ES_tradnl"/>
        </w:rPr>
        <w:t>GOBIERNO</w:t>
      </w:r>
      <w:r w:rsidR="00B25CCC" w:rsidRPr="00D22D5E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487CA57B" w14:textId="77777777" w:rsidR="00B25CCC" w:rsidRPr="00D22D5E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0E53240" w14:textId="124F701A" w:rsidR="00B25CCC" w:rsidRPr="00D22D5E" w:rsidRDefault="00D7108F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D22D5E">
        <w:rPr>
          <w:rFonts w:ascii="Book Antiqua" w:hAnsi="Book Antiqua"/>
          <w:lang w:val="es-ES_tradnl"/>
        </w:rPr>
        <w:t>20m</w:t>
      </w:r>
      <w:r w:rsidR="00B25CCC" w:rsidRPr="00D22D5E">
        <w:rPr>
          <w:rFonts w:ascii="Book Antiqua" w:hAnsi="Book Antiqua"/>
          <w:lang w:val="es-ES_tradnl"/>
        </w:rPr>
        <w:t>a. Asamblea</w:t>
      </w:r>
      <w:r w:rsidR="00B25CCC" w:rsidRPr="00D22D5E">
        <w:rPr>
          <w:rFonts w:ascii="Book Antiqua" w:hAnsi="Book Antiqua"/>
          <w:lang w:val="es-ES_tradnl"/>
        </w:rPr>
        <w:tab/>
      </w:r>
      <w:r w:rsidRPr="00D22D5E">
        <w:rPr>
          <w:rFonts w:ascii="Book Antiqua" w:hAnsi="Book Antiqua"/>
          <w:lang w:val="es-ES_tradnl"/>
        </w:rPr>
        <w:t>1r</w:t>
      </w:r>
      <w:r w:rsidR="00B25CCC" w:rsidRPr="00D22D5E">
        <w:rPr>
          <w:rFonts w:ascii="Book Antiqua" w:hAnsi="Book Antiqua"/>
          <w:lang w:val="es-ES_tradnl"/>
        </w:rPr>
        <w:t>a. Sesión</w:t>
      </w:r>
    </w:p>
    <w:p w14:paraId="23C5C7E6" w14:textId="77777777" w:rsidR="00B25CCC" w:rsidRPr="00D22D5E" w:rsidRDefault="00B25CCC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D22D5E">
        <w:rPr>
          <w:rFonts w:ascii="Book Antiqua" w:hAnsi="Book Antiqua"/>
          <w:lang w:val="es-ES_tradnl"/>
        </w:rPr>
        <w:tab/>
        <w:t>Legislativa</w:t>
      </w:r>
      <w:r w:rsidRPr="00D22D5E">
        <w:rPr>
          <w:rFonts w:ascii="Book Antiqua" w:hAnsi="Book Antiqua"/>
          <w:lang w:val="es-ES_tradnl"/>
        </w:rPr>
        <w:tab/>
      </w:r>
      <w:r w:rsidRPr="00D22D5E">
        <w:rPr>
          <w:rFonts w:ascii="Book Antiqua" w:hAnsi="Book Antiqua"/>
          <w:lang w:val="es-ES_tradnl"/>
        </w:rPr>
        <w:tab/>
        <w:t xml:space="preserve">      Ordinaria</w:t>
      </w:r>
    </w:p>
    <w:p w14:paraId="759285C3" w14:textId="77777777" w:rsidR="00B25CCC" w:rsidRPr="00D22D5E" w:rsidRDefault="00B25CCC" w:rsidP="00B25CCC">
      <w:pPr>
        <w:rPr>
          <w:rFonts w:ascii="Book Antiqua" w:hAnsi="Book Antiqua"/>
          <w:lang w:val="es-ES_tradnl"/>
        </w:rPr>
      </w:pPr>
    </w:p>
    <w:p w14:paraId="1122876C" w14:textId="77777777" w:rsidR="00B25CCC" w:rsidRPr="00D22D5E" w:rsidRDefault="00B25CCC" w:rsidP="00B25CCC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D22D5E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74B1FE31" w14:textId="77777777" w:rsidR="00B25CCC" w:rsidRPr="00D22D5E" w:rsidRDefault="00B25CCC" w:rsidP="00B25CCC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6B719456" w14:textId="63011950" w:rsidR="00B25CCC" w:rsidRPr="00D22D5E" w:rsidRDefault="00B25CCC" w:rsidP="00B25CCC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D22D5E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F43F98">
        <w:rPr>
          <w:rFonts w:ascii="Book Antiqua" w:hAnsi="Book Antiqua"/>
          <w:b/>
          <w:sz w:val="52"/>
          <w:szCs w:val="52"/>
          <w:lang w:val="es-ES_tradnl"/>
        </w:rPr>
        <w:t>8</w:t>
      </w:r>
      <w:r w:rsidR="00530050">
        <w:rPr>
          <w:rFonts w:ascii="Book Antiqua" w:hAnsi="Book Antiqua"/>
          <w:b/>
          <w:sz w:val="52"/>
          <w:szCs w:val="52"/>
          <w:lang w:val="es-ES_tradnl"/>
        </w:rPr>
        <w:t>8</w:t>
      </w:r>
    </w:p>
    <w:p w14:paraId="7F548EDD" w14:textId="77777777" w:rsidR="00B25CCC" w:rsidRPr="00D22D5E" w:rsidRDefault="00B25CCC" w:rsidP="00B25CCC">
      <w:pPr>
        <w:jc w:val="center"/>
        <w:rPr>
          <w:rFonts w:ascii="Book Antiqua" w:hAnsi="Book Antiqua"/>
          <w:b/>
          <w:lang w:val="es-ES_tradnl"/>
        </w:rPr>
      </w:pPr>
    </w:p>
    <w:p w14:paraId="69F9BC94" w14:textId="70C6DCFF" w:rsidR="00B25CCC" w:rsidRPr="00D22D5E" w:rsidRDefault="00B25CCC" w:rsidP="00B25CCC">
      <w:pPr>
        <w:jc w:val="center"/>
        <w:rPr>
          <w:rFonts w:ascii="Book Antiqua" w:hAnsi="Book Antiqua"/>
          <w:lang w:val="es-ES_tradnl"/>
        </w:rPr>
      </w:pPr>
      <w:r w:rsidRPr="00D22D5E">
        <w:rPr>
          <w:rFonts w:ascii="Book Antiqua" w:hAnsi="Book Antiqua"/>
          <w:lang w:val="es-ES_tradnl"/>
        </w:rPr>
        <w:t xml:space="preserve"> </w:t>
      </w:r>
      <w:r w:rsidR="00F43F98">
        <w:rPr>
          <w:rFonts w:ascii="Book Antiqua" w:hAnsi="Book Antiqua"/>
          <w:lang w:val="es-ES_tradnl"/>
        </w:rPr>
        <w:t xml:space="preserve">28 </w:t>
      </w:r>
      <w:r w:rsidRPr="00D22D5E">
        <w:rPr>
          <w:rFonts w:ascii="Book Antiqua" w:hAnsi="Book Antiqua"/>
          <w:lang w:val="es-ES_tradnl"/>
        </w:rPr>
        <w:t>DE ENERO DE 202</w:t>
      </w:r>
      <w:r w:rsidR="00D7108F" w:rsidRPr="00D22D5E">
        <w:rPr>
          <w:rFonts w:ascii="Book Antiqua" w:hAnsi="Book Antiqua"/>
          <w:lang w:val="es-ES_tradnl"/>
        </w:rPr>
        <w:t>5</w:t>
      </w:r>
    </w:p>
    <w:p w14:paraId="2CC46331" w14:textId="77777777" w:rsidR="00B25CCC" w:rsidRPr="00D22D5E" w:rsidRDefault="00B25CCC" w:rsidP="00B25CCC">
      <w:pPr>
        <w:jc w:val="center"/>
        <w:rPr>
          <w:rFonts w:ascii="Book Antiqua" w:hAnsi="Book Antiqua"/>
          <w:szCs w:val="24"/>
          <w:lang w:val="es-ES_tradnl"/>
        </w:rPr>
      </w:pPr>
    </w:p>
    <w:p w14:paraId="051E1816" w14:textId="44085FF8" w:rsidR="00B25CCC" w:rsidRPr="00D22D5E" w:rsidRDefault="00B25CCC" w:rsidP="00B25CCC">
      <w:pPr>
        <w:jc w:val="center"/>
        <w:rPr>
          <w:rFonts w:ascii="Book Antiqua" w:hAnsi="Book Antiqua"/>
          <w:i/>
          <w:lang w:val="es-ES_tradnl"/>
        </w:rPr>
      </w:pPr>
      <w:r w:rsidRPr="00D22D5E">
        <w:rPr>
          <w:rFonts w:ascii="Book Antiqua" w:hAnsi="Book Antiqua"/>
          <w:lang w:val="es-ES_tradnl"/>
        </w:rPr>
        <w:t xml:space="preserve">Presentada por </w:t>
      </w:r>
      <w:r w:rsidR="00FC6420">
        <w:rPr>
          <w:rFonts w:ascii="Book Antiqua" w:hAnsi="Book Antiqua"/>
          <w:lang w:val="es-ES_tradnl"/>
        </w:rPr>
        <w:t>el</w:t>
      </w:r>
      <w:r w:rsidRPr="00D22D5E">
        <w:rPr>
          <w:rFonts w:ascii="Book Antiqua" w:hAnsi="Book Antiqua"/>
          <w:lang w:val="es-ES_tradnl"/>
        </w:rPr>
        <w:t xml:space="preserve"> representante</w:t>
      </w:r>
      <w:r w:rsidR="0026407E" w:rsidRPr="00D22D5E">
        <w:rPr>
          <w:rFonts w:ascii="Book Antiqua" w:hAnsi="Book Antiqua"/>
          <w:lang w:val="es-ES_tradnl"/>
        </w:rPr>
        <w:t xml:space="preserve"> </w:t>
      </w:r>
      <w:r w:rsidR="0026407E" w:rsidRPr="00D22D5E">
        <w:rPr>
          <w:rFonts w:ascii="Book Antiqua" w:hAnsi="Book Antiqua"/>
          <w:i/>
          <w:lang w:val="es-ES_tradnl"/>
        </w:rPr>
        <w:t>Santiago Guzmán</w:t>
      </w:r>
      <w:r w:rsidRPr="00D22D5E">
        <w:rPr>
          <w:rFonts w:ascii="Book Antiqua" w:hAnsi="Book Antiqua"/>
          <w:i/>
          <w:lang w:val="es-ES_tradnl"/>
        </w:rPr>
        <w:t xml:space="preserve"> </w:t>
      </w:r>
    </w:p>
    <w:p w14:paraId="6E8EA9D4" w14:textId="77777777" w:rsidR="00B25CCC" w:rsidRPr="00D22D5E" w:rsidRDefault="00B25CCC" w:rsidP="00B25CCC">
      <w:pPr>
        <w:jc w:val="center"/>
        <w:rPr>
          <w:rFonts w:ascii="Book Antiqua" w:hAnsi="Book Antiqua"/>
          <w:i/>
          <w:lang w:val="es-ES_tradnl"/>
        </w:rPr>
      </w:pPr>
    </w:p>
    <w:p w14:paraId="72161FCD" w14:textId="500B9C69" w:rsidR="00B25CCC" w:rsidRPr="00D22D5E" w:rsidRDefault="0026407E" w:rsidP="00B25CCC">
      <w:pPr>
        <w:jc w:val="center"/>
        <w:rPr>
          <w:rFonts w:ascii="Book Antiqua" w:hAnsi="Book Antiqua"/>
          <w:lang w:val="es-ES_tradnl"/>
        </w:rPr>
      </w:pPr>
      <w:r w:rsidRPr="00D22D5E">
        <w:rPr>
          <w:rFonts w:ascii="Book Antiqua" w:hAnsi="Book Antiqua"/>
          <w:lang w:val="es-ES_tradnl"/>
        </w:rPr>
        <w:t>Referid</w:t>
      </w:r>
      <w:r w:rsidR="00086C0A">
        <w:rPr>
          <w:rFonts w:ascii="Book Antiqua" w:hAnsi="Book Antiqua"/>
          <w:lang w:val="es-ES_tradnl"/>
        </w:rPr>
        <w:t>a</w:t>
      </w:r>
      <w:r w:rsidR="00B25CCC" w:rsidRPr="00D22D5E">
        <w:rPr>
          <w:rFonts w:ascii="Book Antiqua" w:hAnsi="Book Antiqua"/>
          <w:lang w:val="es-ES_tradnl"/>
        </w:rPr>
        <w:t xml:space="preserve"> a la Comisión de </w:t>
      </w:r>
      <w:r w:rsidR="00086C0A">
        <w:rPr>
          <w:rFonts w:ascii="Book Antiqua" w:hAnsi="Book Antiqua"/>
          <w:lang w:val="es-ES_tradnl"/>
        </w:rPr>
        <w:t>Asuntos Internos</w:t>
      </w:r>
    </w:p>
    <w:p w14:paraId="55CEE9FE" w14:textId="77777777" w:rsidR="00B25CCC" w:rsidRPr="00D22D5E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DF38C1D" w14:textId="77777777" w:rsidR="00B25CCC" w:rsidRPr="00D22D5E" w:rsidRDefault="00B25CCC" w:rsidP="00B25CC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D22D5E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03532262" w14:textId="77777777" w:rsidR="00B25CCC" w:rsidRPr="00D22D5E" w:rsidRDefault="00B25CCC" w:rsidP="00B25CCC">
      <w:pPr>
        <w:jc w:val="both"/>
        <w:rPr>
          <w:rFonts w:ascii="Book Antiqua" w:hAnsi="Book Antiqua"/>
          <w:lang w:val="es-ES_tradnl"/>
        </w:rPr>
      </w:pPr>
    </w:p>
    <w:p w14:paraId="22872698" w14:textId="52D450FD" w:rsidR="003C18F6" w:rsidRPr="00D22D5E" w:rsidRDefault="00B25CCC" w:rsidP="006E74E9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bookmarkStart w:id="1" w:name="_Hlk493581372"/>
      <w:r w:rsidRPr="00D22D5E">
        <w:rPr>
          <w:rFonts w:ascii="Book Antiqua" w:hAnsi="Book Antiqua"/>
          <w:szCs w:val="24"/>
          <w:lang w:val="es-ES_tradnl"/>
        </w:rPr>
        <w:t xml:space="preserve">Para ordenar a la </w:t>
      </w:r>
      <w:r w:rsidR="00DE7452" w:rsidRPr="00D22D5E">
        <w:rPr>
          <w:rFonts w:ascii="Book Antiqua" w:hAnsi="Book Antiqua"/>
          <w:szCs w:val="24"/>
          <w:lang w:val="es-ES_tradnl"/>
        </w:rPr>
        <w:t>Comisión de Asuntos del Consumidor de la Cámara de Representantes realizar una investigación exhaustiva sobre las interrupciones y fluctuaciones de voltaje en el servicio eléctrico, su impacto en los consumidores; examinar el proceso de reclamación de daños a enseres eléctricos, su accesibilidad, transparencia y efectividad; evaluar el rol de la Oficina Independiente de Protección al Consumidor (OIPC) en la supervisión y fiscalización de estas reclamaciones; analizar las deficiencias operacionales, administrativas y de transparencia en la gestión de LUMA Energy, Inc. relacionadas con las reclamaciones de los consumidores; y para otros fines relacionados.</w:t>
      </w:r>
    </w:p>
    <w:p w14:paraId="5C7EFE5E" w14:textId="77777777" w:rsidR="00DE7452" w:rsidRPr="00D22D5E" w:rsidRDefault="00DE7452" w:rsidP="00DE7452">
      <w:pPr>
        <w:ind w:left="720" w:hanging="630"/>
        <w:jc w:val="both"/>
        <w:rPr>
          <w:rFonts w:ascii="Book Antiqua" w:hAnsi="Book Antiqua"/>
          <w:szCs w:val="24"/>
          <w:lang w:val="es-ES_tradnl"/>
        </w:rPr>
      </w:pPr>
    </w:p>
    <w:bookmarkEnd w:id="1"/>
    <w:p w14:paraId="31B7634C" w14:textId="4B600C57" w:rsidR="00B25CCC" w:rsidRPr="00D22D5E" w:rsidRDefault="00B25CCC" w:rsidP="004E3857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D22D5E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70DA18C5" w14:textId="77777777" w:rsidR="004E3857" w:rsidRPr="00D22D5E" w:rsidRDefault="003C18F6" w:rsidP="006E74E9">
      <w:pPr>
        <w:pStyle w:val="NormalWeb"/>
        <w:ind w:firstLine="630"/>
        <w:jc w:val="both"/>
        <w:rPr>
          <w:rFonts w:ascii="Book Antiqua" w:hAnsi="Book Antiqua"/>
          <w:sz w:val="24"/>
          <w:szCs w:val="24"/>
          <w:lang w:val="es-ES_tradnl"/>
        </w:rPr>
      </w:pPr>
      <w:r w:rsidRPr="00D22D5E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4E3857" w:rsidRPr="00D22D5E">
        <w:rPr>
          <w:rFonts w:ascii="Book Antiqua" w:hAnsi="Book Antiqua"/>
          <w:sz w:val="24"/>
          <w:szCs w:val="24"/>
          <w:lang w:val="es-ES_tradnl"/>
        </w:rPr>
        <w:t>El servicio eléctrico es un componente esencial para garantizar la calidad de vida, el desarrollo económico y la estabilidad social de los ciudadanos. En Puerto Rico, los abonados han enfrentado constantes interrupciones y fluctuaciones de voltaje en el servicio eléctrico provisto por LUMA Energy, Inc., lo que ha ocasionado daños significativos a enseres eléctricos, pérdidas económicas y un impacto adverso en hogares, negocios y comunidades. Estas deficiencias en el servicio han generado múltiples preocupaciones entre los consumidores, quienes enfrentan barreras para presentar reclamaciones de manera efectiva y transparente.</w:t>
      </w:r>
    </w:p>
    <w:p w14:paraId="79F53227" w14:textId="06919764" w:rsidR="004E3857" w:rsidRPr="00D22D5E" w:rsidRDefault="004E3857" w:rsidP="006E74E9">
      <w:pPr>
        <w:spacing w:before="100" w:beforeAutospacing="1" w:after="100" w:afterAutospacing="1"/>
        <w:ind w:firstLine="630"/>
        <w:jc w:val="both"/>
        <w:rPr>
          <w:rFonts w:ascii="Book Antiqua" w:eastAsiaTheme="minorHAnsi" w:hAnsi="Book Antiqua"/>
          <w:szCs w:val="24"/>
          <w:lang w:val="es-ES_tradnl"/>
        </w:rPr>
      </w:pPr>
      <w:r w:rsidRPr="00D22D5E">
        <w:rPr>
          <w:rFonts w:ascii="Book Antiqua" w:eastAsiaTheme="minorHAnsi" w:hAnsi="Book Antiqua"/>
          <w:szCs w:val="24"/>
          <w:lang w:val="es-ES_tradnl"/>
        </w:rPr>
        <w:lastRenderedPageBreak/>
        <w:t>Se han identificado deficiencias operacionales y administrativas que afectan la capacidad de los abonados para resolver sus reclamaciones relacionadas con daños a electrodomésticos y otros perjuicios derivados de las fallas en el sistema eléctrico. Estas deficiencias incluyen la falta de accesibilidad a información clara y detallada sobre los procedimientos de reclamación, así como la percepción de discrecionalidad en la atención de las solicitudes presentadas.</w:t>
      </w:r>
    </w:p>
    <w:p w14:paraId="4E91F448" w14:textId="39EE10B9" w:rsidR="004E3857" w:rsidRPr="00D22D5E" w:rsidRDefault="004E3857" w:rsidP="006E74E9">
      <w:pPr>
        <w:spacing w:before="100" w:beforeAutospacing="1" w:after="100" w:afterAutospacing="1"/>
        <w:ind w:firstLine="630"/>
        <w:jc w:val="both"/>
        <w:rPr>
          <w:rFonts w:ascii="Book Antiqua" w:eastAsiaTheme="minorHAnsi" w:hAnsi="Book Antiqua"/>
          <w:szCs w:val="24"/>
          <w:lang w:val="es-ES_tradnl"/>
        </w:rPr>
      </w:pPr>
      <w:r w:rsidRPr="00D22D5E">
        <w:rPr>
          <w:rFonts w:ascii="Book Antiqua" w:eastAsiaTheme="minorHAnsi" w:hAnsi="Book Antiqua"/>
          <w:szCs w:val="24"/>
          <w:lang w:val="es-ES_tradnl"/>
        </w:rPr>
        <w:t>El proceso de reclamación actual exige que los consumidores completen formularios específicos, aporten documentación técnica especializada y cumplan con procedimientos que, en ocasiones, resultan complejos y poco uniformes. Estas barreras desincentivan a los consumidores a ejercer su derecho a la compensación por los daños sufridos, lo que contribuye a la desconfianza hacia LUMA Energy y los mecanismos de supervisión existentes.</w:t>
      </w:r>
    </w:p>
    <w:p w14:paraId="50556092" w14:textId="7D045628" w:rsidR="004E3857" w:rsidRPr="00D22D5E" w:rsidRDefault="004E3857" w:rsidP="006E74E9">
      <w:pPr>
        <w:spacing w:before="100" w:beforeAutospacing="1" w:after="100" w:afterAutospacing="1"/>
        <w:ind w:firstLine="720"/>
        <w:jc w:val="both"/>
        <w:rPr>
          <w:rFonts w:ascii="Book Antiqua" w:eastAsiaTheme="minorHAnsi" w:hAnsi="Book Antiqua"/>
          <w:szCs w:val="24"/>
          <w:lang w:val="es-ES_tradnl"/>
        </w:rPr>
      </w:pPr>
      <w:r w:rsidRPr="00D22D5E">
        <w:rPr>
          <w:rFonts w:ascii="Book Antiqua" w:eastAsiaTheme="minorHAnsi" w:hAnsi="Book Antiqua"/>
          <w:szCs w:val="24"/>
          <w:lang w:val="es-ES_tradnl"/>
        </w:rPr>
        <w:t>Además, la Oficina Independiente de Protección al Consumidor (OIPC), creada bajo la Ley Núm. 57-2014, tiene la responsabilidad de educar, orientar, asistir y representar a los consumidores de servicios energéticos en Puerto Rico. No obstante, surge la necesidad de evaluar su rol específico en la supervisión y fiscalización del proceso de reclamación de daños a enseres eléctricos, así como su efectividad en garantizar que los consumidores reciban una atención justa, expedita y eficiente. Es fundamental analizar las acciones emprendidas por la OIPC para proteger los derechos de los abonados y las recomendaciones que ha emitido para mejorar el proceso de reclamación.</w:t>
      </w:r>
    </w:p>
    <w:p w14:paraId="7666A8E3" w14:textId="0907C99D" w:rsidR="004E3857" w:rsidRPr="00D22D5E" w:rsidRDefault="004E3857" w:rsidP="004E3857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  <w:r w:rsidRPr="00D22D5E">
        <w:rPr>
          <w:rFonts w:ascii="Book Antiqua" w:eastAsiaTheme="minorHAnsi" w:hAnsi="Book Antiqua"/>
          <w:szCs w:val="24"/>
          <w:lang w:val="es-ES_tradnl"/>
        </w:rPr>
        <w:t xml:space="preserve">     </w:t>
      </w:r>
      <w:r w:rsidR="006E74E9">
        <w:rPr>
          <w:rFonts w:ascii="Book Antiqua" w:eastAsiaTheme="minorHAnsi" w:hAnsi="Book Antiqua"/>
          <w:szCs w:val="24"/>
          <w:lang w:val="es-ES_tradnl"/>
        </w:rPr>
        <w:tab/>
      </w:r>
      <w:r w:rsidRPr="00D22D5E">
        <w:rPr>
          <w:rFonts w:ascii="Book Antiqua" w:eastAsiaTheme="minorHAnsi" w:hAnsi="Book Antiqua"/>
          <w:szCs w:val="24"/>
          <w:lang w:val="es-ES_tradnl"/>
        </w:rPr>
        <w:t>Esta Resolución tiene como objetivo investigar de manera exhaustiva:</w:t>
      </w:r>
    </w:p>
    <w:p w14:paraId="5B6A033A" w14:textId="77777777" w:rsidR="004E3857" w:rsidRPr="00D22D5E" w:rsidRDefault="004E3857" w:rsidP="004E3857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Book Antiqua" w:hAnsi="Book Antiqua"/>
          <w:szCs w:val="24"/>
          <w:lang w:val="es-ES_tradnl"/>
        </w:rPr>
      </w:pPr>
      <w:r w:rsidRPr="00D22D5E">
        <w:rPr>
          <w:rFonts w:ascii="Book Antiqua" w:hAnsi="Book Antiqua"/>
          <w:szCs w:val="24"/>
          <w:lang w:val="es-ES_tradnl"/>
        </w:rPr>
        <w:t>Las interrupciones y fluctuaciones de voltaje en el servicio eléctrico y su impacto en los consumidores.</w:t>
      </w:r>
    </w:p>
    <w:p w14:paraId="0D0A9E2B" w14:textId="77777777" w:rsidR="004E3857" w:rsidRPr="00D22D5E" w:rsidRDefault="004E3857" w:rsidP="004E3857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Book Antiqua" w:hAnsi="Book Antiqua"/>
          <w:szCs w:val="24"/>
          <w:lang w:val="es-ES_tradnl"/>
        </w:rPr>
      </w:pPr>
      <w:r w:rsidRPr="00D22D5E">
        <w:rPr>
          <w:rFonts w:ascii="Book Antiqua" w:hAnsi="Book Antiqua"/>
          <w:szCs w:val="24"/>
          <w:lang w:val="es-ES_tradnl"/>
        </w:rPr>
        <w:t>La accesibilidad, transparencia y efectividad del proceso de reclamación de daños a enseres eléctricos implementado por LUMA Energy, Inc.</w:t>
      </w:r>
    </w:p>
    <w:p w14:paraId="6B627FC8" w14:textId="77777777" w:rsidR="004E3857" w:rsidRPr="00D22D5E" w:rsidRDefault="004E3857" w:rsidP="004E3857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Book Antiqua" w:hAnsi="Book Antiqua"/>
          <w:szCs w:val="24"/>
          <w:lang w:val="es-ES_tradnl"/>
        </w:rPr>
      </w:pPr>
      <w:r w:rsidRPr="00D22D5E">
        <w:rPr>
          <w:rFonts w:ascii="Book Antiqua" w:hAnsi="Book Antiqua"/>
          <w:szCs w:val="24"/>
          <w:lang w:val="es-ES_tradnl"/>
        </w:rPr>
        <w:t>El rol de la OIPC en la supervisión y fiscalización de estas reclamaciones, así como su capacidad para emitir recomendaciones y garantizar la protección de los derechos de los consumidores.</w:t>
      </w:r>
    </w:p>
    <w:p w14:paraId="3CCD0348" w14:textId="77777777" w:rsidR="004E3857" w:rsidRPr="00D22D5E" w:rsidRDefault="004E3857" w:rsidP="004E3857">
      <w:pPr>
        <w:numPr>
          <w:ilvl w:val="0"/>
          <w:numId w:val="7"/>
        </w:numPr>
        <w:spacing w:before="100" w:beforeAutospacing="1" w:after="100" w:afterAutospacing="1"/>
        <w:jc w:val="both"/>
        <w:rPr>
          <w:rFonts w:ascii="Book Antiqua" w:hAnsi="Book Antiqua"/>
          <w:szCs w:val="24"/>
          <w:lang w:val="es-ES_tradnl"/>
        </w:rPr>
      </w:pPr>
      <w:r w:rsidRPr="00D22D5E">
        <w:rPr>
          <w:rFonts w:ascii="Book Antiqua" w:hAnsi="Book Antiqua"/>
          <w:szCs w:val="24"/>
          <w:lang w:val="es-ES_tradnl"/>
        </w:rPr>
        <w:t>Las deficiencias operacionales, administrativas y de transparencia en la gestión de LUMA Energy, Inc. relacionadas con las reclamaciones de los consumidores.</w:t>
      </w:r>
    </w:p>
    <w:p w14:paraId="09A9A3E9" w14:textId="509EFA64" w:rsidR="00086C0A" w:rsidRDefault="004E3857" w:rsidP="00086C0A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  <w:r w:rsidRPr="00D22D5E">
        <w:rPr>
          <w:rFonts w:ascii="Book Antiqua" w:eastAsiaTheme="minorHAnsi" w:hAnsi="Book Antiqua"/>
          <w:szCs w:val="24"/>
          <w:lang w:val="es-ES_tradnl"/>
        </w:rPr>
        <w:t xml:space="preserve">     </w:t>
      </w:r>
      <w:r w:rsidR="006E74E9">
        <w:rPr>
          <w:rFonts w:ascii="Book Antiqua" w:eastAsiaTheme="minorHAnsi" w:hAnsi="Book Antiqua"/>
          <w:szCs w:val="24"/>
          <w:lang w:val="es-ES_tradnl"/>
        </w:rPr>
        <w:tab/>
      </w:r>
      <w:r w:rsidRPr="00D22D5E">
        <w:rPr>
          <w:rFonts w:ascii="Book Antiqua" w:eastAsiaTheme="minorHAnsi" w:hAnsi="Book Antiqua"/>
          <w:szCs w:val="24"/>
          <w:lang w:val="es-ES_tradnl"/>
        </w:rPr>
        <w:t>Por estas razones, es imperativo que la Cámara de Representantes lleve a cabo una investigación exhaustiva a través de la Comisión de Asuntos del Consumidor, con el fin de identificar las áreas de mejora necesarias, promover la rendición de cuentas y garantizar que los derechos de los consumidores sean protegidos de manera adecuada y efectiva.</w:t>
      </w:r>
    </w:p>
    <w:p w14:paraId="5642F409" w14:textId="77777777" w:rsidR="006E74E9" w:rsidRPr="006E74E9" w:rsidRDefault="006E74E9" w:rsidP="00086C0A">
      <w:pPr>
        <w:spacing w:before="100" w:beforeAutospacing="1" w:after="100" w:afterAutospacing="1"/>
        <w:jc w:val="both"/>
        <w:rPr>
          <w:rFonts w:ascii="Book Antiqua" w:eastAsiaTheme="minorHAnsi" w:hAnsi="Book Antiqua"/>
          <w:szCs w:val="24"/>
          <w:lang w:val="es-ES_tradnl"/>
        </w:rPr>
      </w:pPr>
    </w:p>
    <w:p w14:paraId="4D811978" w14:textId="16E04DC4" w:rsidR="00B25CCC" w:rsidRPr="00D22D5E" w:rsidRDefault="00B25CCC" w:rsidP="00086C0A">
      <w:pPr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B25CCC" w:rsidRPr="00D22D5E" w:rsidSect="00B25CCC">
          <w:headerReference w:type="even" r:id="rId7"/>
          <w:headerReference w:type="default" r:id="rId8"/>
          <w:footerReference w:type="even" r:id="rId9"/>
          <w:footerReference w:type="default" r:id="rId10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  <w:r w:rsidRPr="00D22D5E">
        <w:rPr>
          <w:rFonts w:ascii="Book Antiqua" w:hAnsi="Book Antiqua"/>
          <w:i/>
          <w:caps/>
          <w:szCs w:val="24"/>
          <w:lang w:val="es-ES_tradnl"/>
        </w:rPr>
        <w:lastRenderedPageBreak/>
        <w:t>RESUéLVESE POR LA CáMARA DE REPRESENTANTES DE PUERTO RICO:</w:t>
      </w:r>
      <w:r w:rsidR="006E74E9">
        <w:rPr>
          <w:rFonts w:ascii="Book Antiqua" w:hAnsi="Book Antiqua"/>
          <w:szCs w:val="24"/>
          <w:lang w:val="es-ES_tradnl"/>
        </w:rPr>
        <w:tab/>
      </w:r>
    </w:p>
    <w:p w14:paraId="16002376" w14:textId="743C4955" w:rsidR="00923CD4" w:rsidRPr="00D22D5E" w:rsidRDefault="00C0034D" w:rsidP="006E74E9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D22D5E">
        <w:rPr>
          <w:rFonts w:ascii="Book Antiqua" w:hAnsi="Book Antiqua"/>
          <w:szCs w:val="24"/>
          <w:lang w:val="es-ES_tradnl"/>
        </w:rPr>
        <w:t>Se</w:t>
      </w:r>
      <w:r w:rsidR="00607459" w:rsidRPr="00D22D5E">
        <w:rPr>
          <w:rFonts w:ascii="Book Antiqua" w:hAnsi="Book Antiqua"/>
          <w:szCs w:val="24"/>
          <w:lang w:val="es-ES_tradnl"/>
        </w:rPr>
        <w:t>cción 1.</w:t>
      </w:r>
      <w:r w:rsidR="00197C5C">
        <w:rPr>
          <w:rFonts w:ascii="Book Antiqua" w:hAnsi="Book Antiqua"/>
          <w:szCs w:val="24"/>
          <w:lang w:val="es-ES_tradnl"/>
        </w:rPr>
        <w:t>-</w:t>
      </w:r>
      <w:r w:rsidR="004E3857" w:rsidRPr="00D22D5E">
        <w:rPr>
          <w:rFonts w:ascii="Book Antiqua" w:hAnsi="Book Antiqua"/>
          <w:szCs w:val="24"/>
          <w:lang w:val="es-ES_tradnl"/>
        </w:rPr>
        <w:t xml:space="preserve">Se ordena a la Comisión de Asuntos del Consumidor de la Cámara de Representantes realizar una investigación exhaustiva </w:t>
      </w:r>
      <w:r w:rsidR="00923CD4" w:rsidRPr="00D22D5E">
        <w:rPr>
          <w:rFonts w:ascii="Book Antiqua" w:hAnsi="Book Antiqua"/>
          <w:szCs w:val="24"/>
          <w:lang w:val="es-ES_tradnl"/>
        </w:rPr>
        <w:t>sobre las interrupciones y fluctuaciones de voltaje en el servicio eléctrico, su impacto en los consumidores; examinar el proceso de reclamación de daños a enseres eléctricos, su accesibilidad, transparencia y efectividad; evaluar el rol de la Oficina Independiente de Protección al Consumidor (OIPC) en la supervisión y fiscalización de estas reclamaciones; analizar las deficiencias operacionales, administrativas y de transparencia en la gestión de LUMA Energy, Inc. relacionadas con las reclamaciones de los consumidores</w:t>
      </w:r>
      <w:r w:rsidR="00197C5C">
        <w:rPr>
          <w:rFonts w:ascii="Book Antiqua" w:hAnsi="Book Antiqua"/>
          <w:szCs w:val="24"/>
          <w:lang w:val="es-ES_tradnl"/>
        </w:rPr>
        <w:t>.</w:t>
      </w:r>
    </w:p>
    <w:p w14:paraId="346B4E32" w14:textId="3A487346" w:rsidR="003A167F" w:rsidRDefault="004E3857" w:rsidP="006E74E9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D22D5E">
        <w:rPr>
          <w:rFonts w:ascii="Book Antiqua" w:hAnsi="Book Antiqua"/>
          <w:szCs w:val="24"/>
          <w:lang w:val="es-ES_tradnl"/>
        </w:rPr>
        <w:t>Sección 2.</w:t>
      </w:r>
      <w:r w:rsidR="00197C5C">
        <w:rPr>
          <w:rFonts w:ascii="Book Antiqua" w:hAnsi="Book Antiqua"/>
          <w:szCs w:val="24"/>
          <w:lang w:val="es-ES_tradnl"/>
        </w:rPr>
        <w:t>-</w:t>
      </w:r>
      <w:r w:rsidRPr="00D22D5E">
        <w:rPr>
          <w:rFonts w:ascii="Book Antiqua" w:hAnsi="Book Antiqua"/>
          <w:szCs w:val="24"/>
          <w:lang w:val="es-ES_tradnl"/>
        </w:rPr>
        <w:t>Como parte de esta investigación, la Comisión evaluará, sin limitarse a:</w:t>
      </w:r>
    </w:p>
    <w:p w14:paraId="1CC6034F" w14:textId="77777777" w:rsidR="007B2CF9" w:rsidRDefault="004E3857" w:rsidP="00086C0A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D22D5E">
        <w:rPr>
          <w:rFonts w:ascii="Book Antiqua" w:hAnsi="Book Antiqua"/>
          <w:szCs w:val="24"/>
          <w:lang w:val="es-ES_tradnl"/>
        </w:rPr>
        <w:t xml:space="preserve">El impacto de las interrupciones y fluctuaciones de voltaje en los consumidores, incluyendo: </w:t>
      </w:r>
    </w:p>
    <w:p w14:paraId="52373777" w14:textId="12042365" w:rsidR="004E3857" w:rsidRDefault="004E3857" w:rsidP="00086C0A">
      <w:pPr>
        <w:pStyle w:val="Prrafodelista"/>
        <w:numPr>
          <w:ilvl w:val="1"/>
          <w:numId w:val="8"/>
        </w:numPr>
        <w:spacing w:after="0" w:line="480" w:lineRule="auto"/>
        <w:jc w:val="both"/>
        <w:rPr>
          <w:rFonts w:ascii="Book Antiqua" w:hAnsi="Book Antiqua"/>
          <w:lang w:val="es-ES_tradnl"/>
        </w:rPr>
      </w:pPr>
      <w:r w:rsidRPr="007B2CF9">
        <w:rPr>
          <w:rFonts w:ascii="Book Antiqua" w:hAnsi="Book Antiqua"/>
          <w:lang w:val="es-ES_tradnl"/>
        </w:rPr>
        <w:t>Los daños reportados a enseres eléctricos y otros equipos.</w:t>
      </w:r>
    </w:p>
    <w:p w14:paraId="296DDF01" w14:textId="77777777" w:rsidR="004E3857" w:rsidRDefault="004E3857" w:rsidP="00086C0A">
      <w:pPr>
        <w:pStyle w:val="Prrafodelista"/>
        <w:numPr>
          <w:ilvl w:val="1"/>
          <w:numId w:val="8"/>
        </w:numPr>
        <w:spacing w:after="0" w:line="480" w:lineRule="auto"/>
        <w:jc w:val="both"/>
        <w:rPr>
          <w:rFonts w:ascii="Book Antiqua" w:hAnsi="Book Antiqua"/>
          <w:lang w:val="es-ES_tradnl"/>
        </w:rPr>
      </w:pPr>
      <w:r w:rsidRPr="00F21520">
        <w:rPr>
          <w:rFonts w:ascii="Book Antiqua" w:hAnsi="Book Antiqua"/>
          <w:lang w:val="es-ES_tradnl"/>
        </w:rPr>
        <w:t xml:space="preserve">Las consecuencias económicas y sociales para los hogares y negocios     afectados. </w:t>
      </w:r>
    </w:p>
    <w:p w14:paraId="36A9D45C" w14:textId="0FF7B11F" w:rsidR="00D22D5E" w:rsidRDefault="004E3857" w:rsidP="00086C0A">
      <w:pPr>
        <w:pStyle w:val="Prrafodelista"/>
        <w:numPr>
          <w:ilvl w:val="1"/>
          <w:numId w:val="8"/>
        </w:numPr>
        <w:spacing w:after="0" w:line="480" w:lineRule="auto"/>
        <w:jc w:val="both"/>
        <w:rPr>
          <w:rFonts w:ascii="Book Antiqua" w:hAnsi="Book Antiqua"/>
          <w:lang w:val="es-ES_tradnl"/>
        </w:rPr>
      </w:pPr>
      <w:r w:rsidRPr="00F21520">
        <w:rPr>
          <w:rFonts w:ascii="Book Antiqua" w:hAnsi="Book Antiqua"/>
          <w:lang w:val="es-ES_tradnl"/>
        </w:rPr>
        <w:t>La frecuencia y duración de las interrupciones en el servicio eléctrico.</w:t>
      </w:r>
    </w:p>
    <w:p w14:paraId="6BFAE587" w14:textId="04367564" w:rsidR="004E3857" w:rsidRPr="001A0191" w:rsidRDefault="004E3857" w:rsidP="00086C0A">
      <w:pPr>
        <w:pStyle w:val="Prrafodelista"/>
        <w:numPr>
          <w:ilvl w:val="0"/>
          <w:numId w:val="8"/>
        </w:numPr>
        <w:spacing w:after="0" w:line="480" w:lineRule="auto"/>
        <w:jc w:val="both"/>
        <w:rPr>
          <w:rFonts w:ascii="Book Antiqua" w:hAnsi="Book Antiqua"/>
          <w:lang w:val="es-ES_tradnl"/>
        </w:rPr>
      </w:pPr>
      <w:r w:rsidRPr="001A0191">
        <w:rPr>
          <w:rFonts w:ascii="Book Antiqua" w:hAnsi="Book Antiqua"/>
          <w:lang w:val="es-ES_tradnl"/>
        </w:rPr>
        <w:t>La accesibilidad y efectividad del proceso de reclamación implementado por LUMA Energy, incluyendo: A. La claridad de los pasos y requisitos establecidos para los consumidores. B. El tiempo de respuesta y resolución de las reclamaciones presentadas. C. Las barreras operativas o tecnológicas que enfrentan los ciudadanos al presentar reclamaciones.</w:t>
      </w:r>
    </w:p>
    <w:p w14:paraId="4FA9BBD4" w14:textId="65A19E23" w:rsidR="004E3857" w:rsidRPr="00D22D5E" w:rsidRDefault="004E3857" w:rsidP="00086C0A">
      <w:pPr>
        <w:pStyle w:val="NormalWeb"/>
        <w:numPr>
          <w:ilvl w:val="0"/>
          <w:numId w:val="8"/>
        </w:numPr>
        <w:spacing w:before="0" w:beforeAutospacing="0" w:after="0" w:afterAutospacing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D22D5E">
        <w:rPr>
          <w:rFonts w:ascii="Book Antiqua" w:hAnsi="Book Antiqua"/>
          <w:sz w:val="24"/>
          <w:szCs w:val="24"/>
          <w:lang w:val="es-ES_tradnl"/>
        </w:rPr>
        <w:lastRenderedPageBreak/>
        <w:t>El papel de la OIPC en la supervisión de las reclamaciones, incluyendo: A. Las medidas adoptadas para garantizar el acceso a una atención justa y eficiente. B. Las recomendaciones emitidas para mejorar el proceso de reclamación. C. La capacidad de la OIPC para representar los intereses de los consumidores ante LUMA Energy.</w:t>
      </w:r>
    </w:p>
    <w:p w14:paraId="0C9EC59A" w14:textId="4E4AE809" w:rsidR="00767CF3" w:rsidRPr="00767CF3" w:rsidRDefault="004E3857" w:rsidP="00086C0A">
      <w:pPr>
        <w:pStyle w:val="NormalWeb"/>
        <w:numPr>
          <w:ilvl w:val="0"/>
          <w:numId w:val="8"/>
        </w:numPr>
        <w:spacing w:before="0" w:beforeAutospacing="0" w:after="0" w:afterAutospacing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D22D5E">
        <w:rPr>
          <w:rFonts w:ascii="Book Antiqua" w:hAnsi="Book Antiqua"/>
          <w:sz w:val="24"/>
          <w:szCs w:val="24"/>
          <w:lang w:val="es-ES_tradnl"/>
        </w:rPr>
        <w:t>Las deficiencias operacionales y administrativas en la gestión de LUMA Energy, incluyendo: A. La transparencia en la comunicación con los abonados afectados. B. La ejecución de medidas correctivas para prevenir futuras interrupciones y fluctuaciones. C. La asignación de recursos económicos y tecnológicos para atender los reclamos ciudadanos.</w:t>
      </w:r>
    </w:p>
    <w:p w14:paraId="33DB932C" w14:textId="51436991" w:rsidR="00197C5C" w:rsidRDefault="002E6483" w:rsidP="006E74E9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767CF3">
        <w:rPr>
          <w:rFonts w:ascii="Book Antiqua" w:hAnsi="Book Antiqua"/>
          <w:sz w:val="24"/>
          <w:szCs w:val="24"/>
          <w:lang w:val="es-ES_tradnl"/>
        </w:rPr>
        <w:t>S</w:t>
      </w:r>
      <w:r w:rsidR="001A0191" w:rsidRPr="00767CF3">
        <w:rPr>
          <w:rFonts w:ascii="Book Antiqua" w:hAnsi="Book Antiqua"/>
          <w:sz w:val="24"/>
          <w:szCs w:val="24"/>
          <w:lang w:val="es-ES_tradnl"/>
        </w:rPr>
        <w:t>e</w:t>
      </w:r>
      <w:r w:rsidR="004E3857" w:rsidRPr="00767CF3">
        <w:rPr>
          <w:rFonts w:ascii="Book Antiqua" w:hAnsi="Book Antiqua"/>
          <w:sz w:val="24"/>
          <w:szCs w:val="24"/>
          <w:lang w:val="es-ES_tradnl"/>
        </w:rPr>
        <w:t>cción 3.</w:t>
      </w:r>
      <w:r w:rsidR="00197C5C">
        <w:rPr>
          <w:rFonts w:ascii="Book Antiqua" w:hAnsi="Book Antiqua"/>
          <w:sz w:val="24"/>
          <w:szCs w:val="24"/>
          <w:lang w:val="es-ES_tradnl"/>
        </w:rPr>
        <w:t>-</w:t>
      </w:r>
      <w:r w:rsidR="004E3857" w:rsidRPr="00767CF3">
        <w:rPr>
          <w:rFonts w:ascii="Book Antiqua" w:hAnsi="Book Antiqua"/>
          <w:sz w:val="24"/>
          <w:szCs w:val="24"/>
          <w:lang w:val="es-ES_tradnl"/>
        </w:rPr>
        <w:t>La Comisión citará a vistas públicas a representantes de LUMA Energy, a la Oficina Independiente de Protección al Consumidor (OIPC), a ciudadanos afectados, y a otros actores relevantes con el propósito de recabar información pertinente y proponer soluciones efectivas para esta problemática</w:t>
      </w:r>
      <w:r w:rsidR="00197C5C">
        <w:rPr>
          <w:rFonts w:ascii="Book Antiqua" w:hAnsi="Book Antiqua"/>
          <w:sz w:val="24"/>
          <w:szCs w:val="24"/>
          <w:lang w:val="es-ES_tradnl"/>
        </w:rPr>
        <w:t>.</w:t>
      </w:r>
    </w:p>
    <w:p w14:paraId="1D467ED7" w14:textId="2B5FBCC2" w:rsidR="00257668" w:rsidRPr="00197C5C" w:rsidRDefault="00257668" w:rsidP="006E74E9">
      <w:pPr>
        <w:pStyle w:val="NormalWeb"/>
        <w:spacing w:before="0" w:beforeAutospacing="0" w:after="0" w:afterAutospacing="0" w:line="48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0541CA">
        <w:rPr>
          <w:rStyle w:val="Textoennegrita"/>
          <w:rFonts w:ascii="Book Antiqua" w:hAnsi="Book Antiqua"/>
          <w:b w:val="0"/>
          <w:bCs w:val="0"/>
          <w:sz w:val="24"/>
          <w:szCs w:val="24"/>
          <w:lang w:val="es-ES_tradnl"/>
        </w:rPr>
        <w:t>Sección 4</w:t>
      </w:r>
      <w:r w:rsidRPr="00197C5C">
        <w:rPr>
          <w:rStyle w:val="Textoennegrita"/>
          <w:rFonts w:ascii="Book Antiqua" w:hAnsi="Book Antiqua"/>
          <w:sz w:val="24"/>
          <w:szCs w:val="24"/>
          <w:lang w:val="es-ES_tradnl"/>
        </w:rPr>
        <w:t>.</w:t>
      </w:r>
      <w:r w:rsidR="00197C5C">
        <w:rPr>
          <w:rFonts w:ascii="Book Antiqua" w:hAnsi="Book Antiqua"/>
          <w:sz w:val="24"/>
          <w:szCs w:val="24"/>
          <w:lang w:val="es-ES_tradnl"/>
        </w:rPr>
        <w:t>-</w:t>
      </w:r>
      <w:r w:rsidRPr="00197C5C">
        <w:rPr>
          <w:rFonts w:ascii="Book Antiqua" w:hAnsi="Book Antiqua"/>
          <w:sz w:val="24"/>
          <w:szCs w:val="24"/>
          <w:lang w:val="es-ES_tradnl"/>
        </w:rPr>
        <w:t>La Comisión rendirá a la Cámara de Representantes de Puerto Rico los informes parciales que estime necesarios o convenientes en los que incluyan sus hallazgos, conclusiones y recomendaciones; asimismo, someterá un informe final, antes de que finalice la Vigésima Asamblea Legislativa.</w:t>
      </w:r>
    </w:p>
    <w:p w14:paraId="5DFBBEFB" w14:textId="137CA6C5" w:rsidR="00B25CCC" w:rsidRPr="00D22D5E" w:rsidRDefault="00257668" w:rsidP="006E74E9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0541CA">
        <w:rPr>
          <w:rStyle w:val="Textoennegrita"/>
          <w:rFonts w:ascii="Book Antiqua" w:eastAsiaTheme="majorEastAsia" w:hAnsi="Book Antiqua"/>
          <w:b w:val="0"/>
          <w:bCs w:val="0"/>
          <w:szCs w:val="24"/>
          <w:lang w:val="es-ES_tradnl"/>
        </w:rPr>
        <w:t>Sección 5</w:t>
      </w:r>
      <w:r>
        <w:rPr>
          <w:rStyle w:val="Textoennegrita"/>
          <w:rFonts w:ascii="Book Antiqua" w:eastAsiaTheme="majorEastAsia" w:hAnsi="Book Antiqua"/>
          <w:szCs w:val="24"/>
          <w:lang w:val="es-ES_tradnl"/>
        </w:rPr>
        <w:t>.</w:t>
      </w:r>
      <w:r w:rsidR="00197C5C">
        <w:rPr>
          <w:rFonts w:ascii="Book Antiqua" w:hAnsi="Book Antiqua"/>
          <w:szCs w:val="24"/>
          <w:lang w:val="es-ES_tradnl"/>
        </w:rPr>
        <w:t>-</w:t>
      </w:r>
      <w:r>
        <w:rPr>
          <w:rFonts w:ascii="Book Antiqua" w:hAnsi="Book Antiqua"/>
          <w:szCs w:val="24"/>
          <w:lang w:val="es-ES_tradnl"/>
        </w:rPr>
        <w:t>Esta Resolución comenzará a regir inmediatamente después de su aprobación.</w:t>
      </w:r>
      <w:r>
        <w:rPr>
          <w:rFonts w:ascii="Book Antiqua" w:hAnsi="Book Antiqua"/>
          <w:lang w:val="es-ES_tradnl"/>
        </w:rPr>
        <w:t xml:space="preserve"> </w:t>
      </w:r>
    </w:p>
    <w:sectPr w:rsidR="00B25CCC" w:rsidRPr="00D22D5E" w:rsidSect="00B25CCC">
      <w:headerReference w:type="default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A6163" w14:textId="77777777" w:rsidR="00A01F69" w:rsidRDefault="00A01F69">
      <w:r>
        <w:separator/>
      </w:r>
    </w:p>
  </w:endnote>
  <w:endnote w:type="continuationSeparator" w:id="0">
    <w:p w14:paraId="6F5875D1" w14:textId="77777777" w:rsidR="00A01F69" w:rsidRDefault="00A01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6B96F" w14:textId="77777777" w:rsidR="000203EB" w:rsidRDefault="000203EB">
    <w:pPr>
      <w:pStyle w:val="Piedepgina"/>
      <w:framePr w:wrap="around" w:vAnchor="text" w:hAnchor="margin" w:xAlign="right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end"/>
    </w:r>
  </w:p>
  <w:p w14:paraId="3BF4B7D5" w14:textId="77777777" w:rsidR="000203EB" w:rsidRDefault="00020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0791E" w14:textId="77777777" w:rsidR="000203EB" w:rsidRDefault="000203EB">
    <w:pPr>
      <w:pStyle w:val="Piedepgina"/>
      <w:framePr w:wrap="around" w:vAnchor="text" w:hAnchor="margin" w:xAlign="right" w:y="1"/>
      <w:rPr>
        <w:rStyle w:val="Nmerodepgina"/>
        <w:rFonts w:eastAsiaTheme="majorEastAsia"/>
      </w:rPr>
    </w:pPr>
  </w:p>
  <w:p w14:paraId="4F836377" w14:textId="77777777" w:rsidR="000203EB" w:rsidRDefault="000203EB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C7F1C" w14:textId="77777777" w:rsidR="00A01F69" w:rsidRDefault="00A01F69">
      <w:r>
        <w:separator/>
      </w:r>
    </w:p>
  </w:footnote>
  <w:footnote w:type="continuationSeparator" w:id="0">
    <w:p w14:paraId="3E1F1341" w14:textId="77777777" w:rsidR="00A01F69" w:rsidRDefault="00A01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4EB97" w14:textId="77777777" w:rsidR="000203EB" w:rsidRDefault="000203EB">
    <w:pPr>
      <w:pStyle w:val="Encabezado"/>
      <w:framePr w:wrap="around" w:vAnchor="text" w:hAnchor="margin" w:xAlign="center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end"/>
    </w:r>
  </w:p>
  <w:p w14:paraId="5EFEEB9A" w14:textId="77777777" w:rsidR="000203EB" w:rsidRDefault="000203E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0BF7F" w14:textId="77777777" w:rsidR="000203EB" w:rsidRPr="00072A94" w:rsidRDefault="000203EB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072A94">
      <w:rPr>
        <w:rFonts w:ascii="Book Antiqua" w:hAnsi="Book Antiqua"/>
        <w:szCs w:val="18"/>
      </w:rPr>
      <w:fldChar w:fldCharType="begin"/>
    </w:r>
    <w:r w:rsidRPr="00072A94">
      <w:rPr>
        <w:rFonts w:ascii="Book Antiqua" w:hAnsi="Book Antiqua"/>
        <w:szCs w:val="18"/>
      </w:rPr>
      <w:instrText xml:space="preserve">PAGE </w:instrText>
    </w:r>
    <w:r w:rsidRPr="00072A94">
      <w:rPr>
        <w:rFonts w:ascii="Book Antiqua" w:hAnsi="Book Antiqua"/>
        <w:szCs w:val="18"/>
      </w:rPr>
      <w:fldChar w:fldCharType="separate"/>
    </w:r>
    <w:r w:rsidR="00923CD4">
      <w:rPr>
        <w:rFonts w:ascii="Book Antiqua" w:hAnsi="Book Antiqua"/>
        <w:noProof/>
        <w:szCs w:val="18"/>
      </w:rPr>
      <w:t>2</w:t>
    </w:r>
    <w:r w:rsidRPr="00072A94">
      <w:rPr>
        <w:rFonts w:ascii="Book Antiqua" w:hAnsi="Book Antiqua"/>
        <w:szCs w:val="18"/>
      </w:rPr>
      <w:fldChar w:fldCharType="end"/>
    </w:r>
  </w:p>
  <w:p w14:paraId="252F6C8A" w14:textId="77777777" w:rsidR="000203EB" w:rsidRDefault="000203EB"/>
  <w:p w14:paraId="2763B849" w14:textId="77777777" w:rsidR="000203EB" w:rsidRDefault="000203EB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8138F" w14:textId="77777777" w:rsidR="000203EB" w:rsidRDefault="000203EB">
    <w:pPr>
      <w:pStyle w:val="Encabezado"/>
      <w:jc w:val="center"/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 PAGE </w:instrText>
    </w:r>
    <w:r>
      <w:rPr>
        <w:rStyle w:val="Nmerodepgina"/>
        <w:rFonts w:eastAsiaTheme="majorEastAsia"/>
      </w:rPr>
      <w:fldChar w:fldCharType="separate"/>
    </w:r>
    <w:r w:rsidR="00923CD4">
      <w:rPr>
        <w:rStyle w:val="Nmerodepgina"/>
        <w:rFonts w:eastAsiaTheme="majorEastAsia"/>
        <w:noProof/>
      </w:rPr>
      <w:t>4</w:t>
    </w:r>
    <w:r>
      <w:rPr>
        <w:rStyle w:val="Nmerodepgina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17E89"/>
    <w:multiLevelType w:val="multilevel"/>
    <w:tmpl w:val="7DC43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ascii="Book Antiqua" w:eastAsia="Times New Roman" w:hAnsi="Book Antiqua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D930F3"/>
    <w:multiLevelType w:val="hybridMultilevel"/>
    <w:tmpl w:val="F1D8979E"/>
    <w:lvl w:ilvl="0" w:tplc="FAC2887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67EC1"/>
    <w:multiLevelType w:val="multilevel"/>
    <w:tmpl w:val="F56E0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7B751F"/>
    <w:multiLevelType w:val="multilevel"/>
    <w:tmpl w:val="7F7C580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900AE5"/>
    <w:multiLevelType w:val="hybridMultilevel"/>
    <w:tmpl w:val="B756F2D8"/>
    <w:lvl w:ilvl="0" w:tplc="412A61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0D547D6"/>
    <w:multiLevelType w:val="hybridMultilevel"/>
    <w:tmpl w:val="40624A38"/>
    <w:lvl w:ilvl="0" w:tplc="20EC8164">
      <w:start w:val="1"/>
      <w:numFmt w:val="decimal"/>
      <w:lvlText w:val="%1."/>
      <w:lvlJc w:val="left"/>
      <w:pPr>
        <w:ind w:left="81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5D73541F"/>
    <w:multiLevelType w:val="hybridMultilevel"/>
    <w:tmpl w:val="421EC3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942256"/>
    <w:multiLevelType w:val="multilevel"/>
    <w:tmpl w:val="F12E3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8074290">
    <w:abstractNumId w:val="3"/>
  </w:num>
  <w:num w:numId="2" w16cid:durableId="1566837018">
    <w:abstractNumId w:val="7"/>
  </w:num>
  <w:num w:numId="3" w16cid:durableId="1835603274">
    <w:abstractNumId w:val="5"/>
  </w:num>
  <w:num w:numId="4" w16cid:durableId="986054664">
    <w:abstractNumId w:val="6"/>
  </w:num>
  <w:num w:numId="5" w16cid:durableId="1701587661">
    <w:abstractNumId w:val="4"/>
  </w:num>
  <w:num w:numId="6" w16cid:durableId="1770807868">
    <w:abstractNumId w:val="1"/>
  </w:num>
  <w:num w:numId="7" w16cid:durableId="165481205">
    <w:abstractNumId w:val="2"/>
  </w:num>
  <w:num w:numId="8" w16cid:durableId="1277561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CC"/>
    <w:rsid w:val="000203EB"/>
    <w:rsid w:val="000541CA"/>
    <w:rsid w:val="00086C0A"/>
    <w:rsid w:val="000D4B87"/>
    <w:rsid w:val="00100615"/>
    <w:rsid w:val="001263F3"/>
    <w:rsid w:val="00133D04"/>
    <w:rsid w:val="00197C5C"/>
    <w:rsid w:val="001A0191"/>
    <w:rsid w:val="001B2C62"/>
    <w:rsid w:val="001E0B56"/>
    <w:rsid w:val="002131DA"/>
    <w:rsid w:val="00257668"/>
    <w:rsid w:val="0026407E"/>
    <w:rsid w:val="002D3CC3"/>
    <w:rsid w:val="002E6483"/>
    <w:rsid w:val="00306752"/>
    <w:rsid w:val="003448B8"/>
    <w:rsid w:val="00371FD0"/>
    <w:rsid w:val="003A167F"/>
    <w:rsid w:val="003C18F6"/>
    <w:rsid w:val="0042383C"/>
    <w:rsid w:val="004E3857"/>
    <w:rsid w:val="00530050"/>
    <w:rsid w:val="0054382A"/>
    <w:rsid w:val="005F64EE"/>
    <w:rsid w:val="00607459"/>
    <w:rsid w:val="00662F22"/>
    <w:rsid w:val="006A258D"/>
    <w:rsid w:val="006B0B56"/>
    <w:rsid w:val="006E74E9"/>
    <w:rsid w:val="00710E1C"/>
    <w:rsid w:val="00741CE1"/>
    <w:rsid w:val="00767CF3"/>
    <w:rsid w:val="007A1E18"/>
    <w:rsid w:val="007B2CF9"/>
    <w:rsid w:val="007E78F3"/>
    <w:rsid w:val="00865AA2"/>
    <w:rsid w:val="008A5E4E"/>
    <w:rsid w:val="008B2C1D"/>
    <w:rsid w:val="008E692E"/>
    <w:rsid w:val="009118A6"/>
    <w:rsid w:val="00923CD4"/>
    <w:rsid w:val="00A01F69"/>
    <w:rsid w:val="00A05529"/>
    <w:rsid w:val="00AD4ABF"/>
    <w:rsid w:val="00AE4E88"/>
    <w:rsid w:val="00B25CCC"/>
    <w:rsid w:val="00C0034D"/>
    <w:rsid w:val="00C3165E"/>
    <w:rsid w:val="00CC640F"/>
    <w:rsid w:val="00D22D5E"/>
    <w:rsid w:val="00D468DB"/>
    <w:rsid w:val="00D7108F"/>
    <w:rsid w:val="00D9044A"/>
    <w:rsid w:val="00D93074"/>
    <w:rsid w:val="00D96357"/>
    <w:rsid w:val="00DC0322"/>
    <w:rsid w:val="00DE7452"/>
    <w:rsid w:val="00E46269"/>
    <w:rsid w:val="00E90766"/>
    <w:rsid w:val="00E911C3"/>
    <w:rsid w:val="00EC3925"/>
    <w:rsid w:val="00F03CC7"/>
    <w:rsid w:val="00F21520"/>
    <w:rsid w:val="00F43F98"/>
    <w:rsid w:val="00FA05EC"/>
    <w:rsid w:val="00FC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8"/>
    <o:shapelayout v:ext="edit">
      <o:idmap v:ext="edit" data="1"/>
    </o:shapelayout>
  </w:shapeDefaults>
  <w:decimalSymbol w:val="."/>
  <w:listSeparator w:val=";"/>
  <w14:docId w14:val="6FEB019F"/>
  <w15:docId w15:val="{70A221B5-C5E5-4E90-887D-E6933B684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CC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25C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25CC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25CC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25CC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25CC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5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25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25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25C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25CC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25C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25C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25C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25C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25C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B25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25CC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B25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25CC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B25CC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25CC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B25C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25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25CC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25CCC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B25CCC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rsid w:val="00B25CCC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B25CCC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Nmerodepgina">
    <w:name w:val="page number"/>
    <w:basedOn w:val="Fuentedeprrafopredeter"/>
    <w:rsid w:val="00B25CCC"/>
  </w:style>
  <w:style w:type="paragraph" w:styleId="Piedepgina">
    <w:name w:val="footer"/>
    <w:basedOn w:val="Normal"/>
    <w:link w:val="PiedepginaCar"/>
    <w:rsid w:val="00B25CCC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PiedepginaCar">
    <w:name w:val="Pie de página Car"/>
    <w:basedOn w:val="Fuentedeprrafopredeter"/>
    <w:link w:val="Piedepgina"/>
    <w:rsid w:val="00B25CCC"/>
    <w:rPr>
      <w:rFonts w:ascii="Courier New" w:eastAsia="Times New Roman" w:hAnsi="Courier New" w:cs="Times New Roman"/>
      <w:snapToGrid w:val="0"/>
      <w:kern w:val="0"/>
      <w:szCs w:val="20"/>
      <w14:ligatures w14:val="none"/>
    </w:rPr>
  </w:style>
  <w:style w:type="character" w:styleId="Nmerodelnea">
    <w:name w:val="line number"/>
    <w:basedOn w:val="Fuentedeprrafopredeter"/>
    <w:uiPriority w:val="99"/>
    <w:semiHidden/>
    <w:unhideWhenUsed/>
    <w:rsid w:val="00B25CCC"/>
  </w:style>
  <w:style w:type="paragraph" w:styleId="NormalWeb">
    <w:name w:val="Normal (Web)"/>
    <w:basedOn w:val="Normal"/>
    <w:uiPriority w:val="99"/>
    <w:unhideWhenUsed/>
    <w:rsid w:val="0026407E"/>
    <w:pPr>
      <w:spacing w:before="100" w:beforeAutospacing="1" w:after="100" w:afterAutospacing="1"/>
    </w:pPr>
    <w:rPr>
      <w:rFonts w:eastAsiaTheme="minorHAnsi"/>
      <w:sz w:val="20"/>
    </w:rPr>
  </w:style>
  <w:style w:type="character" w:styleId="Textoennegrita">
    <w:name w:val="Strong"/>
    <w:basedOn w:val="Fuentedeprrafopredeter"/>
    <w:uiPriority w:val="22"/>
    <w:qFormat/>
    <w:rsid w:val="00C0034D"/>
    <w:rPr>
      <w:b/>
      <w:bCs/>
    </w:rPr>
  </w:style>
  <w:style w:type="paragraph" w:styleId="Textonotapie">
    <w:name w:val="footnote text"/>
    <w:basedOn w:val="Normal"/>
    <w:link w:val="TextonotapieCar"/>
    <w:uiPriority w:val="99"/>
    <w:unhideWhenUsed/>
    <w:rsid w:val="003C18F6"/>
    <w:rPr>
      <w:szCs w:val="24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C18F6"/>
    <w:rPr>
      <w:rFonts w:ascii="Times New Roman" w:eastAsia="Times New Roman" w:hAnsi="Times New Roman" w:cs="Times New Roman"/>
      <w:kern w:val="0"/>
      <w14:ligatures w14:val="none"/>
    </w:rPr>
  </w:style>
  <w:style w:type="character" w:styleId="Refdenotaalpie">
    <w:name w:val="footnote reference"/>
    <w:basedOn w:val="Fuentedeprrafopredeter"/>
    <w:uiPriority w:val="99"/>
    <w:unhideWhenUsed/>
    <w:rsid w:val="003C18F6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3C18F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6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Rocío Alayón Morell</cp:lastModifiedBy>
  <cp:revision>5</cp:revision>
  <cp:lastPrinted>2025-03-07T18:19:00Z</cp:lastPrinted>
  <dcterms:created xsi:type="dcterms:W3CDTF">2025-01-28T16:20:00Z</dcterms:created>
  <dcterms:modified xsi:type="dcterms:W3CDTF">2025-03-07T18:20:00Z</dcterms:modified>
</cp:coreProperties>
</file>