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D79F6" w14:textId="2B6BD7A0" w:rsidR="005D66A7" w:rsidRDefault="005D66A7" w:rsidP="00BD127C">
      <w:pPr>
        <w:suppressLineNumbers/>
        <w:jc w:val="center"/>
        <w:rPr>
          <w:rFonts w:ascii="Book Antiqua" w:hAnsi="Book Antiqua"/>
          <w:sz w:val="28"/>
          <w:szCs w:val="28"/>
          <w:lang w:val="es-ES_tradnl"/>
        </w:rPr>
      </w:pPr>
      <w:r>
        <w:rPr>
          <w:rFonts w:ascii="Book Antiqua" w:hAnsi="Book Antiqua"/>
          <w:sz w:val="28"/>
          <w:szCs w:val="28"/>
          <w:lang w:val="es-ES_tradnl"/>
        </w:rPr>
        <w:t>(ENTIRILLADO ELECTRÓNICO)</w:t>
      </w:r>
    </w:p>
    <w:p w14:paraId="2B6C291F" w14:textId="5C6B6A65" w:rsidR="00BD127C" w:rsidRPr="00970FA7" w:rsidRDefault="00BD127C" w:rsidP="00BD127C">
      <w:pPr>
        <w:suppressLineNumbers/>
        <w:jc w:val="center"/>
        <w:rPr>
          <w:rFonts w:ascii="Book Antiqua" w:hAnsi="Book Antiqua"/>
          <w:lang w:val="es-ES_tradnl"/>
        </w:rPr>
      </w:pPr>
      <w:r>
        <w:rPr>
          <w:rFonts w:ascii="Book Antiqua" w:hAnsi="Book Antiqua"/>
          <w:sz w:val="28"/>
          <w:szCs w:val="28"/>
          <w:lang w:val="es-ES_tradnl"/>
        </w:rPr>
        <w:t xml:space="preserve">GOBIERNO </w:t>
      </w:r>
      <w:r w:rsidRPr="00970FA7">
        <w:rPr>
          <w:rFonts w:ascii="Book Antiqua" w:hAnsi="Book Antiqua"/>
          <w:sz w:val="28"/>
          <w:szCs w:val="28"/>
          <w:lang w:val="es-ES_tradnl"/>
        </w:rPr>
        <w:t>DE PUERTO RICO</w:t>
      </w:r>
    </w:p>
    <w:p w14:paraId="6F7260E0" w14:textId="77777777" w:rsidR="00BD127C" w:rsidRPr="00970FA7" w:rsidRDefault="00BD127C" w:rsidP="00BD127C">
      <w:pPr>
        <w:suppressLineNumbers/>
        <w:jc w:val="center"/>
        <w:rPr>
          <w:rFonts w:ascii="Book Antiqua" w:hAnsi="Book Antiqua"/>
          <w:lang w:val="es-ES_tradnl"/>
        </w:rPr>
      </w:pPr>
    </w:p>
    <w:p w14:paraId="11FB70AE" w14:textId="77777777" w:rsidR="00BD127C" w:rsidRPr="00AC29D5" w:rsidRDefault="00BD127C" w:rsidP="00BD127C">
      <w:pPr>
        <w:pStyle w:val="Title2"/>
        <w:suppressLineNumbers/>
        <w:rPr>
          <w:rFonts w:ascii="Book Antiqua" w:hAnsi="Book Antiqua"/>
          <w:szCs w:val="24"/>
          <w:lang w:val="es-ES_tradnl"/>
        </w:rPr>
      </w:pPr>
      <w:r>
        <w:rPr>
          <w:rFonts w:ascii="Book Antiqua" w:hAnsi="Book Antiqua"/>
          <w:szCs w:val="24"/>
          <w:lang w:val="es-PR"/>
        </w:rPr>
        <w:t>20</w:t>
      </w:r>
      <w:r>
        <w:rPr>
          <w:rFonts w:ascii="Book Antiqua" w:hAnsi="Book Antiqua"/>
          <w:szCs w:val="24"/>
          <w:vertAlign w:val="superscript"/>
          <w:lang w:val="es-PR"/>
        </w:rPr>
        <w:t>ma.</w:t>
      </w:r>
      <w:r w:rsidRPr="00AC29D5">
        <w:rPr>
          <w:rFonts w:ascii="Book Antiqua" w:hAnsi="Book Antiqua"/>
          <w:szCs w:val="24"/>
          <w:lang w:val="es-ES_tradnl"/>
        </w:rPr>
        <w:tab/>
        <w:t>Asamblea</w:t>
      </w:r>
      <w:r w:rsidRPr="00AC29D5">
        <w:rPr>
          <w:rFonts w:ascii="Book Antiqua" w:hAnsi="Book Antiqua"/>
          <w:szCs w:val="24"/>
          <w:lang w:val="es-ES_tradnl"/>
        </w:rPr>
        <w:tab/>
      </w:r>
      <w:r>
        <w:rPr>
          <w:rFonts w:ascii="Book Antiqua" w:hAnsi="Book Antiqua"/>
          <w:szCs w:val="24"/>
          <w:lang w:val="es-ES_tradnl"/>
        </w:rPr>
        <w:t>1</w:t>
      </w:r>
      <w:r>
        <w:rPr>
          <w:rFonts w:ascii="Book Antiqua" w:hAnsi="Book Antiqua"/>
          <w:szCs w:val="24"/>
          <w:vertAlign w:val="superscript"/>
          <w:lang w:val="es-ES_tradnl"/>
        </w:rPr>
        <w:t>r</w:t>
      </w:r>
      <w:r w:rsidRPr="00F407C4">
        <w:rPr>
          <w:rFonts w:ascii="Book Antiqua" w:hAnsi="Book Antiqua"/>
          <w:szCs w:val="24"/>
          <w:vertAlign w:val="superscript"/>
          <w:lang w:val="es-ES_tradnl"/>
        </w:rPr>
        <w:t>a</w:t>
      </w:r>
      <w:r w:rsidRPr="00AC29D5">
        <w:rPr>
          <w:rFonts w:ascii="Book Antiqua" w:hAnsi="Book Antiqua"/>
          <w:szCs w:val="24"/>
          <w:vertAlign w:val="superscript"/>
          <w:lang w:val="es-ES_tradnl"/>
        </w:rPr>
        <w:t>.</w:t>
      </w:r>
      <w:r w:rsidRPr="00AC29D5">
        <w:rPr>
          <w:rFonts w:ascii="Book Antiqua" w:hAnsi="Book Antiqua"/>
          <w:szCs w:val="24"/>
          <w:lang w:val="es-ES_tradnl"/>
        </w:rPr>
        <w:tab/>
        <w:t>Sesión</w:t>
      </w:r>
    </w:p>
    <w:p w14:paraId="761E8E10" w14:textId="77777777" w:rsidR="00BD127C" w:rsidRPr="00AC29D5" w:rsidRDefault="00BD127C" w:rsidP="00BD127C">
      <w:pPr>
        <w:pStyle w:val="Title2"/>
        <w:suppressLineNumbers/>
        <w:rPr>
          <w:rFonts w:ascii="Book Antiqua" w:hAnsi="Book Antiqua"/>
          <w:szCs w:val="24"/>
          <w:lang w:val="es-ES_tradnl"/>
        </w:rPr>
      </w:pPr>
      <w:r w:rsidRPr="00AC29D5">
        <w:rPr>
          <w:rFonts w:ascii="Book Antiqua" w:hAnsi="Book Antiqua"/>
          <w:szCs w:val="24"/>
          <w:lang w:val="es-ES_tradnl"/>
        </w:rPr>
        <w:tab/>
        <w:t>Legislativa</w:t>
      </w:r>
      <w:r w:rsidRPr="00AC29D5">
        <w:rPr>
          <w:rFonts w:ascii="Book Antiqua" w:hAnsi="Book Antiqua"/>
          <w:szCs w:val="24"/>
          <w:lang w:val="es-ES_tradnl"/>
        </w:rPr>
        <w:tab/>
      </w:r>
      <w:r w:rsidRPr="00AC29D5">
        <w:rPr>
          <w:rFonts w:ascii="Book Antiqua" w:hAnsi="Book Antiqua"/>
          <w:szCs w:val="24"/>
          <w:lang w:val="es-ES_tradnl"/>
        </w:rPr>
        <w:tab/>
        <w:t>Ordinaria</w:t>
      </w:r>
    </w:p>
    <w:p w14:paraId="0D3CE743" w14:textId="77777777" w:rsidR="00BD127C" w:rsidRDefault="00BD127C" w:rsidP="00BD127C">
      <w:pPr>
        <w:suppressLineNumbers/>
        <w:rPr>
          <w:rFonts w:ascii="Book Antiqua" w:hAnsi="Book Antiqua"/>
          <w:lang w:val="es-ES_tradnl"/>
        </w:rPr>
      </w:pPr>
    </w:p>
    <w:p w14:paraId="7480BB18" w14:textId="77777777" w:rsidR="00BD127C" w:rsidRPr="00970FA7" w:rsidRDefault="00BD127C" w:rsidP="00BD127C">
      <w:pPr>
        <w:suppressLineNumbers/>
        <w:jc w:val="center"/>
        <w:rPr>
          <w:rFonts w:ascii="Book Antiqua" w:hAnsi="Book Antiqua"/>
          <w:b/>
          <w:sz w:val="36"/>
          <w:lang w:val="es-ES_tradnl"/>
        </w:rPr>
      </w:pPr>
      <w:r w:rsidRPr="00970FA7">
        <w:rPr>
          <w:rFonts w:ascii="Book Antiqua" w:hAnsi="Book Antiqua"/>
          <w:b/>
          <w:sz w:val="36"/>
          <w:lang w:val="es-ES_tradnl"/>
        </w:rPr>
        <w:t>C</w:t>
      </w:r>
      <w:r w:rsidRPr="00970FA7">
        <w:rPr>
          <w:rFonts w:ascii="Book Antiqua" w:hAnsi="Book Antiqua"/>
          <w:b/>
          <w:sz w:val="36"/>
          <w:lang w:val="es-PR"/>
        </w:rPr>
        <w:t>Á</w:t>
      </w:r>
      <w:r w:rsidRPr="00970FA7">
        <w:rPr>
          <w:rFonts w:ascii="Book Antiqua" w:hAnsi="Book Antiqua"/>
          <w:b/>
          <w:sz w:val="36"/>
          <w:lang w:val="es-ES_tradnl"/>
        </w:rPr>
        <w:t>MARA DE REPRESENTANTES</w:t>
      </w:r>
    </w:p>
    <w:p w14:paraId="09968C0C" w14:textId="77777777" w:rsidR="00BD127C" w:rsidRPr="00970FA7" w:rsidRDefault="00BD127C" w:rsidP="00BD127C">
      <w:pPr>
        <w:suppressLineNumbers/>
        <w:jc w:val="center"/>
        <w:rPr>
          <w:rFonts w:ascii="Book Antiqua" w:hAnsi="Book Antiqua"/>
          <w:lang w:val="es-ES_tradnl"/>
        </w:rPr>
      </w:pPr>
    </w:p>
    <w:p w14:paraId="6F875371" w14:textId="4C9C6A79" w:rsidR="00BD127C" w:rsidRPr="00970FA7" w:rsidRDefault="00BD127C" w:rsidP="00BD127C">
      <w:pPr>
        <w:suppressLineNumbers/>
        <w:jc w:val="center"/>
        <w:rPr>
          <w:rFonts w:ascii="Book Antiqua" w:hAnsi="Book Antiqua"/>
          <w:b/>
          <w:sz w:val="52"/>
          <w:lang w:val="es-ES_tradnl"/>
        </w:rPr>
      </w:pPr>
      <w:r w:rsidRPr="00970FA7">
        <w:rPr>
          <w:rFonts w:ascii="Book Antiqua" w:hAnsi="Book Antiqua"/>
          <w:b/>
          <w:sz w:val="52"/>
          <w:lang w:val="es-ES_tradnl"/>
        </w:rPr>
        <w:t xml:space="preserve">P. </w:t>
      </w:r>
      <w:bookmarkStart w:id="0" w:name="_Hlk138151090"/>
      <w:r w:rsidRPr="00970FA7">
        <w:rPr>
          <w:rFonts w:ascii="Book Antiqua" w:hAnsi="Book Antiqua"/>
          <w:b/>
          <w:sz w:val="52"/>
          <w:lang w:val="es-ES_tradnl"/>
        </w:rPr>
        <w:t>de la C.</w:t>
      </w:r>
      <w:bookmarkEnd w:id="0"/>
      <w:r w:rsidRPr="00970FA7">
        <w:rPr>
          <w:rFonts w:ascii="Book Antiqua" w:hAnsi="Book Antiqua"/>
          <w:b/>
          <w:sz w:val="52"/>
          <w:lang w:val="es-ES_tradnl"/>
        </w:rPr>
        <w:t xml:space="preserve"> </w:t>
      </w:r>
      <w:r w:rsidR="009B436E">
        <w:rPr>
          <w:rFonts w:ascii="Book Antiqua" w:hAnsi="Book Antiqua"/>
          <w:b/>
          <w:sz w:val="52"/>
          <w:lang w:val="es-ES_tradnl"/>
        </w:rPr>
        <w:t>279</w:t>
      </w:r>
    </w:p>
    <w:p w14:paraId="359900E6" w14:textId="77777777" w:rsidR="00BD127C" w:rsidRPr="00970FA7" w:rsidRDefault="00BD127C" w:rsidP="00BD127C">
      <w:pPr>
        <w:suppressLineNumbers/>
        <w:jc w:val="center"/>
        <w:rPr>
          <w:rFonts w:ascii="Book Antiqua" w:hAnsi="Book Antiqua"/>
          <w:lang w:val="es-ES_tradnl"/>
        </w:rPr>
      </w:pPr>
    </w:p>
    <w:p w14:paraId="49C4524B" w14:textId="7F4FBF36" w:rsidR="00BD127C" w:rsidRPr="00970FA7" w:rsidRDefault="00A56E42" w:rsidP="00BD127C">
      <w:pPr>
        <w:suppressLineNumbers/>
        <w:jc w:val="center"/>
        <w:rPr>
          <w:rFonts w:ascii="Book Antiqua" w:hAnsi="Book Antiqua"/>
          <w:lang w:val="es-ES_tradnl"/>
        </w:rPr>
      </w:pPr>
      <w:r>
        <w:rPr>
          <w:rFonts w:ascii="Book Antiqua" w:hAnsi="Book Antiqua"/>
          <w:lang w:val="es-ES_tradnl"/>
        </w:rPr>
        <w:t>29 DE ENERO DE 2025</w:t>
      </w:r>
    </w:p>
    <w:p w14:paraId="0B95DFD1" w14:textId="77777777" w:rsidR="00BD127C" w:rsidRPr="00970FA7" w:rsidRDefault="00BD127C" w:rsidP="00BD127C">
      <w:pPr>
        <w:suppressLineNumbers/>
        <w:jc w:val="center"/>
        <w:rPr>
          <w:rFonts w:ascii="Book Antiqua" w:hAnsi="Book Antiqua"/>
          <w:lang w:val="es-ES_tradnl"/>
        </w:rPr>
      </w:pPr>
    </w:p>
    <w:p w14:paraId="0FB7FCDE" w14:textId="77777777" w:rsidR="00BD127C" w:rsidRPr="00CC21EC" w:rsidRDefault="00BD127C" w:rsidP="00BD127C">
      <w:pPr>
        <w:suppressLineNumbers/>
        <w:jc w:val="center"/>
        <w:rPr>
          <w:rFonts w:ascii="Book Antiqua" w:hAnsi="Book Antiqua"/>
          <w:i/>
          <w:lang w:val="es-PR"/>
        </w:rPr>
      </w:pPr>
      <w:r w:rsidRPr="00970FA7">
        <w:rPr>
          <w:rFonts w:ascii="Book Antiqua" w:hAnsi="Book Antiqua"/>
          <w:lang w:val="es-ES_tradnl"/>
        </w:rPr>
        <w:t xml:space="preserve">Presentado por </w:t>
      </w:r>
      <w:r>
        <w:rPr>
          <w:rFonts w:ascii="Book Antiqua" w:hAnsi="Book Antiqua"/>
          <w:lang w:val="es-ES_tradnl"/>
        </w:rPr>
        <w:t>la</w:t>
      </w:r>
      <w:r w:rsidRPr="00970FA7">
        <w:rPr>
          <w:rFonts w:ascii="Book Antiqua" w:hAnsi="Book Antiqua"/>
          <w:lang w:val="es-ES_tradnl"/>
        </w:rPr>
        <w:t xml:space="preserve"> representante</w:t>
      </w:r>
      <w:r>
        <w:rPr>
          <w:rFonts w:ascii="Book Antiqua" w:hAnsi="Book Antiqua"/>
          <w:i/>
          <w:lang w:val="es-ES_tradnl"/>
        </w:rPr>
        <w:t xml:space="preserve"> </w:t>
      </w:r>
      <w:r>
        <w:rPr>
          <w:rFonts w:ascii="Book Antiqua" w:hAnsi="Book Antiqua"/>
          <w:i/>
          <w:lang w:val="es-PR"/>
        </w:rPr>
        <w:t>Martínez Soto</w:t>
      </w:r>
    </w:p>
    <w:p w14:paraId="206C7D02" w14:textId="77777777" w:rsidR="00BD127C" w:rsidRDefault="00BD127C" w:rsidP="00BD127C">
      <w:pPr>
        <w:suppressLineNumbers/>
        <w:jc w:val="center"/>
        <w:rPr>
          <w:rFonts w:ascii="Book Antiqua" w:hAnsi="Book Antiqua"/>
          <w:i/>
          <w:lang w:val="es-PR"/>
        </w:rPr>
      </w:pPr>
    </w:p>
    <w:p w14:paraId="7D047D94" w14:textId="467EC705" w:rsidR="00BD127C" w:rsidRDefault="00BD127C" w:rsidP="00BD127C">
      <w:pPr>
        <w:suppressLineNumbers/>
        <w:jc w:val="center"/>
        <w:rPr>
          <w:rFonts w:ascii="Book Antiqua" w:hAnsi="Book Antiqua"/>
          <w:lang w:val="es-ES_tradnl"/>
        </w:rPr>
      </w:pPr>
      <w:r w:rsidRPr="00970FA7">
        <w:rPr>
          <w:rFonts w:ascii="Book Antiqua" w:hAnsi="Book Antiqua"/>
          <w:lang w:val="es-ES_tradnl"/>
        </w:rPr>
        <w:t>Referido a</w:t>
      </w:r>
      <w:r w:rsidR="00F81719">
        <w:rPr>
          <w:rFonts w:ascii="Book Antiqua" w:hAnsi="Book Antiqua"/>
          <w:lang w:val="es-ES_tradnl"/>
        </w:rPr>
        <w:t xml:space="preserve"> las Comisiones</w:t>
      </w:r>
      <w:r w:rsidRPr="00970FA7">
        <w:rPr>
          <w:rFonts w:ascii="Book Antiqua" w:hAnsi="Book Antiqua"/>
          <w:lang w:val="es-ES_tradnl"/>
        </w:rPr>
        <w:t xml:space="preserve"> </w:t>
      </w:r>
      <w:r w:rsidR="00F81719">
        <w:rPr>
          <w:rFonts w:ascii="Book Antiqua" w:hAnsi="Book Antiqua"/>
          <w:lang w:val="es-ES_tradnl"/>
        </w:rPr>
        <w:t>de Salud; y de Gobierno</w:t>
      </w:r>
    </w:p>
    <w:p w14:paraId="30529E63" w14:textId="77777777" w:rsidR="00BD127C" w:rsidRDefault="00BD127C" w:rsidP="00BD127C">
      <w:pPr>
        <w:suppressLineNumbers/>
        <w:jc w:val="center"/>
        <w:rPr>
          <w:rFonts w:ascii="Book Antiqua" w:hAnsi="Book Antiqua"/>
          <w:lang w:val="es-ES_tradnl"/>
        </w:rPr>
      </w:pPr>
    </w:p>
    <w:p w14:paraId="6C930D1C" w14:textId="77777777" w:rsidR="00BD127C" w:rsidRPr="00A56E42" w:rsidRDefault="00BD127C" w:rsidP="00BD127C">
      <w:pPr>
        <w:suppressLineNumbers/>
        <w:jc w:val="center"/>
        <w:rPr>
          <w:rFonts w:ascii="Book Antiqua" w:hAnsi="Book Antiqua"/>
          <w:b/>
          <w:sz w:val="28"/>
          <w:szCs w:val="28"/>
          <w:lang w:val="es-ES_tradnl"/>
        </w:rPr>
      </w:pPr>
      <w:r w:rsidRPr="00A56E42">
        <w:rPr>
          <w:rFonts w:ascii="Book Antiqua" w:hAnsi="Book Antiqua"/>
          <w:b/>
          <w:sz w:val="28"/>
          <w:szCs w:val="28"/>
          <w:lang w:val="es-ES_tradnl"/>
        </w:rPr>
        <w:t>LEY</w:t>
      </w:r>
    </w:p>
    <w:p w14:paraId="606AE082" w14:textId="77777777" w:rsidR="00BD127C" w:rsidRDefault="00BD127C" w:rsidP="00BD127C">
      <w:pPr>
        <w:suppressLineNumbers/>
        <w:jc w:val="center"/>
        <w:rPr>
          <w:rFonts w:ascii="Book Antiqua" w:hAnsi="Book Antiqua"/>
          <w:lang w:val="es-ES_tradnl"/>
        </w:rPr>
      </w:pPr>
    </w:p>
    <w:p w14:paraId="0BD83166" w14:textId="77777777" w:rsidR="00BD127C" w:rsidRPr="006301FC" w:rsidRDefault="00BD127C" w:rsidP="00BD127C">
      <w:pPr>
        <w:pStyle w:val="BodyText"/>
        <w:suppressLineNumbers/>
        <w:ind w:left="720" w:hanging="720"/>
        <w:rPr>
          <w:rFonts w:ascii="Book Antiqua" w:hAnsi="Book Antiqua" w:cs="AngsanaUPC"/>
        </w:rPr>
      </w:pPr>
      <w:r w:rsidRPr="006301FC">
        <w:rPr>
          <w:rFonts w:ascii="Book Antiqua" w:hAnsi="Book Antiqua" w:cs="AngsanaUPC"/>
        </w:rPr>
        <w:t xml:space="preserve">Para </w:t>
      </w:r>
      <w:r>
        <w:rPr>
          <w:rFonts w:ascii="Book Antiqua" w:hAnsi="Book Antiqua" w:cs="AngsanaUPC"/>
        </w:rPr>
        <w:t xml:space="preserve">crear </w:t>
      </w:r>
      <w:bookmarkStart w:id="1" w:name="_Hlk483291499"/>
      <w:r>
        <w:rPr>
          <w:rFonts w:ascii="Book Antiqua" w:hAnsi="Book Antiqua" w:cs="AngsanaUPC"/>
        </w:rPr>
        <w:t xml:space="preserve">la “Ley </w:t>
      </w:r>
      <w:r>
        <w:rPr>
          <w:rFonts w:ascii="Book Antiqua" w:hAnsi="Book Antiqua"/>
          <w:lang w:val="es-PR"/>
        </w:rPr>
        <w:t>para establecer el uso de torniquetes en las Agencias Gubernamentales y Escuelas Públicas de Puerto Rico</w:t>
      </w:r>
      <w:r w:rsidRPr="00B23BD7">
        <w:rPr>
          <w:rFonts w:ascii="Book Antiqua" w:hAnsi="Book Antiqua"/>
          <w:lang w:val="es-PR"/>
        </w:rPr>
        <w:t>”</w:t>
      </w:r>
      <w:r>
        <w:rPr>
          <w:rFonts w:ascii="Book Antiqua" w:hAnsi="Book Antiqua"/>
          <w:lang w:val="es-PR"/>
        </w:rPr>
        <w:t xml:space="preserve"> a los fines de </w:t>
      </w:r>
      <w:r>
        <w:rPr>
          <w:rFonts w:ascii="Book Antiqua" w:hAnsi="Book Antiqua"/>
          <w:color w:val="000000"/>
          <w:lang w:val="es-PR"/>
        </w:rPr>
        <w:t>que todas las agencias gubernamentales y escuelas públicas de Puerto Rico cuenten con un instrumento (torniquete) el cual ayude a salvar una vida en una situación de emergencia; y para otros fines relacionados</w:t>
      </w:r>
      <w:r>
        <w:rPr>
          <w:rFonts w:ascii="Book Antiqua" w:hAnsi="Book Antiqua" w:cs="AngsanaUPC"/>
          <w:bCs/>
          <w:lang w:val="es-ES"/>
        </w:rPr>
        <w:t>.</w:t>
      </w:r>
      <w:bookmarkEnd w:id="1"/>
      <w:r w:rsidRPr="006301FC">
        <w:rPr>
          <w:rFonts w:ascii="Book Antiqua" w:hAnsi="Book Antiqua" w:cs="AngsanaUPC"/>
        </w:rPr>
        <w:t xml:space="preserve"> </w:t>
      </w:r>
    </w:p>
    <w:p w14:paraId="005100D9" w14:textId="77777777" w:rsidR="00BD127C" w:rsidRPr="002152AF" w:rsidRDefault="00BD127C" w:rsidP="00BD127C">
      <w:pPr>
        <w:suppressLineNumbers/>
        <w:ind w:left="360" w:hanging="360"/>
        <w:jc w:val="both"/>
        <w:rPr>
          <w:rFonts w:ascii="Book Antiqua" w:hAnsi="Book Antiqua"/>
          <w:lang w:val="es-ES"/>
        </w:rPr>
      </w:pPr>
      <w:r w:rsidRPr="00970FA7">
        <w:rPr>
          <w:rFonts w:ascii="Book Antiqua" w:hAnsi="Book Antiqua"/>
          <w:lang w:val="es-ES"/>
        </w:rPr>
        <w:t> </w:t>
      </w:r>
    </w:p>
    <w:p w14:paraId="3E9A3B01" w14:textId="77777777" w:rsidR="00BD127C" w:rsidRDefault="00BD127C" w:rsidP="00BD127C">
      <w:pPr>
        <w:suppressLineNumbers/>
        <w:jc w:val="center"/>
        <w:rPr>
          <w:rFonts w:ascii="Book Antiqua" w:hAnsi="Book Antiqua"/>
          <w:lang w:val="es-ES"/>
        </w:rPr>
      </w:pPr>
      <w:r w:rsidRPr="002152AF">
        <w:rPr>
          <w:rFonts w:ascii="Book Antiqua" w:hAnsi="Book Antiqua"/>
          <w:lang w:val="es-ES"/>
        </w:rPr>
        <w:t>EXPOSICIÓN DE MOTIVOS</w:t>
      </w:r>
    </w:p>
    <w:p w14:paraId="3DD67BB8" w14:textId="77777777" w:rsidR="00BD127C" w:rsidRDefault="00BD127C" w:rsidP="00BD127C">
      <w:pPr>
        <w:suppressLineNumbers/>
        <w:rPr>
          <w:rFonts w:ascii="Book Antiqua" w:hAnsi="Book Antiqua"/>
          <w:lang w:val="es-PR"/>
        </w:rPr>
      </w:pPr>
    </w:p>
    <w:p w14:paraId="06E7892E" w14:textId="77777777" w:rsidR="00BD127C" w:rsidRDefault="00BD127C" w:rsidP="00BD127C">
      <w:pPr>
        <w:suppressLineNumbers/>
        <w:ind w:firstLine="720"/>
        <w:jc w:val="both"/>
        <w:rPr>
          <w:rFonts w:ascii="Book Antiqua" w:hAnsi="Book Antiqua"/>
          <w:bCs/>
          <w:lang w:val="es-ES"/>
        </w:rPr>
      </w:pPr>
      <w:r>
        <w:rPr>
          <w:rFonts w:ascii="Book Antiqua" w:hAnsi="Book Antiqua"/>
          <w:bCs/>
          <w:lang w:val="es-ES"/>
        </w:rPr>
        <w:t>El Artículo II Sección 20 de la Constitución del Estado Libre Asociado de Puerto Rico establece los derechos humanos reconocidos, entre ellos “el derecho de toda persona a disfrutar de un nivel de vida adecuado que asegure para sí y para su familia la salud”. Nuestra Carta Magna establece el derecho a la salud como uno fundamental.  Esto incluye que todas las personas tengan acceso a servicios de salud accesibles, de calidad y de forma oportuna.</w:t>
      </w:r>
    </w:p>
    <w:p w14:paraId="7B866BDF" w14:textId="77777777" w:rsidR="00BD127C" w:rsidRDefault="00BD127C" w:rsidP="00BD127C">
      <w:pPr>
        <w:suppressLineNumbers/>
        <w:ind w:firstLine="720"/>
        <w:jc w:val="both"/>
        <w:rPr>
          <w:rFonts w:ascii="Book Antiqua" w:hAnsi="Book Antiqua"/>
          <w:bCs/>
          <w:lang w:val="es-ES"/>
        </w:rPr>
      </w:pPr>
    </w:p>
    <w:p w14:paraId="6EE532C2" w14:textId="77777777" w:rsidR="00BD127C" w:rsidRDefault="00BD127C" w:rsidP="00BD127C">
      <w:pPr>
        <w:suppressLineNumbers/>
        <w:ind w:firstLine="720"/>
        <w:jc w:val="both"/>
        <w:rPr>
          <w:rFonts w:ascii="Book Antiqua" w:hAnsi="Book Antiqua"/>
          <w:bCs/>
          <w:lang w:val="es-ES"/>
        </w:rPr>
      </w:pPr>
      <w:r>
        <w:rPr>
          <w:rFonts w:ascii="Book Antiqua" w:hAnsi="Book Antiqua"/>
          <w:bCs/>
          <w:lang w:val="es-ES"/>
        </w:rPr>
        <w:t xml:space="preserve">Actualmente, Puerto Rico cuenta con uno de los hospitales más completos en el Caribe.  El Centro Médico es una Institución que cuenta con profesionales de primer orden y a su vez, recibe la mayor cantidad de pacientes en estado crítico.  Cónsono con lo anterior, cabe destacar que este lugar cuenta con el Hospital Cuidado Agudo Especializado en Pacientes Politraumatizados (Hospital de Trauma). El mismo, provee cuidado especializado a pacientes adultos y pediátricos con traumas corporales múltiples.  Este Hospital es el componente de la Administración de Servicios Médicos de Puerto Rico, que ofrece servicios de hospitalización y se atienden a los pacientes de todas </w:t>
      </w:r>
      <w:r>
        <w:rPr>
          <w:rFonts w:ascii="Book Antiqua" w:hAnsi="Book Antiqua"/>
          <w:bCs/>
          <w:lang w:val="es-ES"/>
        </w:rPr>
        <w:lastRenderedPageBreak/>
        <w:t xml:space="preserve">las Instituciones que forman parte del Centro Médico, así como pacientes de todo Puerto Rico e Isla Vírgenes sin considerar condición económica. </w:t>
      </w:r>
    </w:p>
    <w:p w14:paraId="691C24D4" w14:textId="77777777" w:rsidR="00A56E42" w:rsidRDefault="00A56E42" w:rsidP="00BD127C">
      <w:pPr>
        <w:suppressLineNumbers/>
        <w:ind w:firstLine="720"/>
        <w:jc w:val="both"/>
        <w:rPr>
          <w:rFonts w:ascii="Book Antiqua" w:hAnsi="Book Antiqua"/>
          <w:bCs/>
          <w:lang w:val="es-ES"/>
        </w:rPr>
      </w:pPr>
    </w:p>
    <w:p w14:paraId="69D93A47" w14:textId="77777777" w:rsidR="00BD127C" w:rsidRDefault="00BD127C" w:rsidP="00BD127C">
      <w:pPr>
        <w:suppressLineNumbers/>
        <w:ind w:firstLine="720"/>
        <w:jc w:val="both"/>
        <w:rPr>
          <w:rFonts w:ascii="Book Antiqua" w:hAnsi="Book Antiqua"/>
          <w:bCs/>
          <w:lang w:val="es-ES"/>
        </w:rPr>
      </w:pPr>
      <w:r>
        <w:rPr>
          <w:rFonts w:ascii="Book Antiqua" w:hAnsi="Book Antiqua"/>
          <w:bCs/>
          <w:lang w:val="es-ES"/>
        </w:rPr>
        <w:t xml:space="preserve">El trauma, es una condición que afecta mayormente a adultos-jóvenes.  Estos pacientes, generalmente no tienen experiencia en el manejo de crisis. El estado de desarrollo mental y su madurez crea unas necesidades especiales que tienen que ser consideradas en la planificación de intervenciones efectivas para el tipo de lesión que le afecte.  La complejidad y severidad de cada paciente, generalmente los expone a una mayor tendencia de desarrollo de complicaciones durante la fase de hospitalización.  Según datos recientes, el 50% de los pacientes que llegan al Centro de Trauma fallece en los primeros cinco (5) minutos, mientras que el 30% de éstos lo hacen en una hora.  Las estadísticas nos dicen que en general, el 80% de estas personas muere en una hora.  </w:t>
      </w:r>
    </w:p>
    <w:p w14:paraId="4D9DB518" w14:textId="77777777" w:rsidR="00BD127C" w:rsidRDefault="00BD127C" w:rsidP="00BD127C">
      <w:pPr>
        <w:suppressLineNumbers/>
        <w:ind w:firstLine="720"/>
        <w:jc w:val="both"/>
        <w:rPr>
          <w:rFonts w:ascii="Book Antiqua" w:hAnsi="Book Antiqua"/>
          <w:bCs/>
          <w:lang w:val="es-ES"/>
        </w:rPr>
      </w:pPr>
    </w:p>
    <w:p w14:paraId="36394ADD" w14:textId="77777777" w:rsidR="00BD127C" w:rsidRPr="003E4C10" w:rsidRDefault="00BD127C" w:rsidP="00BD127C">
      <w:pPr>
        <w:suppressLineNumbers/>
        <w:ind w:firstLine="720"/>
        <w:jc w:val="both"/>
        <w:rPr>
          <w:rFonts w:ascii="Book Antiqua" w:hAnsi="Book Antiqua"/>
          <w:bCs/>
          <w:lang w:val="es-PR"/>
        </w:rPr>
      </w:pPr>
      <w:r>
        <w:rPr>
          <w:rFonts w:ascii="Book Antiqua" w:hAnsi="Book Antiqua"/>
          <w:bCs/>
          <w:lang w:val="es-ES"/>
        </w:rPr>
        <w:t xml:space="preserve">En estos casos, poder contribuir a salvar vidas, debe ser un tema vital en la agenda de Gobierno.  </w:t>
      </w:r>
      <w:r w:rsidRPr="004F1F5E">
        <w:rPr>
          <w:rFonts w:ascii="Book Antiqua" w:hAnsi="Book Antiqua"/>
          <w:bCs/>
          <w:lang w:val="es-ES"/>
        </w:rPr>
        <w:t>La misión del</w:t>
      </w:r>
      <w:r>
        <w:rPr>
          <w:rFonts w:ascii="Book Antiqua" w:hAnsi="Book Antiqua"/>
          <w:bCs/>
          <w:lang w:val="es-ES"/>
        </w:rPr>
        <w:t xml:space="preserve"> Estado, </w:t>
      </w:r>
      <w:r w:rsidRPr="004F1F5E">
        <w:rPr>
          <w:rFonts w:ascii="Book Antiqua" w:hAnsi="Book Antiqua"/>
          <w:bCs/>
          <w:lang w:val="es-ES"/>
        </w:rPr>
        <w:t>en la sociedad moderna, es garantizarle</w:t>
      </w:r>
      <w:r>
        <w:rPr>
          <w:rFonts w:ascii="Book Antiqua" w:hAnsi="Book Antiqua"/>
          <w:bCs/>
          <w:lang w:val="es-ES"/>
        </w:rPr>
        <w:t>s</w:t>
      </w:r>
      <w:r w:rsidRPr="004F1F5E">
        <w:rPr>
          <w:rFonts w:ascii="Book Antiqua" w:hAnsi="Book Antiqua"/>
          <w:bCs/>
          <w:lang w:val="es-ES"/>
        </w:rPr>
        <w:t xml:space="preserve"> a sus constituyentes el más alto grado de calidad </w:t>
      </w:r>
      <w:r>
        <w:rPr>
          <w:rFonts w:ascii="Book Antiqua" w:hAnsi="Book Antiqua"/>
          <w:bCs/>
          <w:lang w:val="es-ES"/>
        </w:rPr>
        <w:t xml:space="preserve">de </w:t>
      </w:r>
      <w:r w:rsidRPr="004F1F5E">
        <w:rPr>
          <w:rFonts w:ascii="Book Antiqua" w:hAnsi="Book Antiqua"/>
          <w:bCs/>
          <w:lang w:val="es-ES"/>
        </w:rPr>
        <w:t>vida posible</w:t>
      </w:r>
      <w:r>
        <w:rPr>
          <w:rFonts w:ascii="Book Antiqua" w:hAnsi="Book Antiqua"/>
          <w:bCs/>
          <w:lang w:val="es-ES"/>
        </w:rPr>
        <w:t xml:space="preserve">. Todos los seres humanos tenemos la capacidad de contribuir a salvar vidas.  Así como sucede con el </w:t>
      </w:r>
      <w:r w:rsidRPr="003E4C10">
        <w:rPr>
          <w:rFonts w:ascii="Book Antiqua" w:hAnsi="Book Antiqua"/>
          <w:bCs/>
          <w:lang w:val="es-PR"/>
        </w:rPr>
        <w:t>“Cardiopulmonary Resuscitation” (CPR), un c</w:t>
      </w:r>
      <w:r>
        <w:rPr>
          <w:rFonts w:ascii="Book Antiqua" w:hAnsi="Book Antiqua"/>
          <w:bCs/>
          <w:lang w:val="es-PR"/>
        </w:rPr>
        <w:t xml:space="preserve">iudadano que esté familiarizado con técnicas básicas de control de sangrado está equipado para salvar una vida cuando los segundos cuentan.  </w:t>
      </w:r>
    </w:p>
    <w:p w14:paraId="4EF9BE66" w14:textId="77777777" w:rsidR="00BD127C" w:rsidRDefault="00BD127C" w:rsidP="00BD127C">
      <w:pPr>
        <w:suppressLineNumbers/>
        <w:ind w:firstLine="720"/>
        <w:jc w:val="both"/>
        <w:rPr>
          <w:rFonts w:ascii="Book Antiqua" w:hAnsi="Book Antiqua"/>
          <w:bCs/>
          <w:lang w:val="es-ES"/>
        </w:rPr>
      </w:pPr>
    </w:p>
    <w:p w14:paraId="5E0A3F25" w14:textId="77777777" w:rsidR="00BD127C" w:rsidRDefault="00BD127C" w:rsidP="00BD127C">
      <w:pPr>
        <w:suppressLineNumbers/>
        <w:ind w:firstLine="720"/>
        <w:jc w:val="both"/>
        <w:rPr>
          <w:rFonts w:ascii="Book Antiqua" w:hAnsi="Book Antiqua"/>
          <w:bCs/>
          <w:lang w:val="es-PR"/>
        </w:rPr>
      </w:pPr>
      <w:r>
        <w:rPr>
          <w:rFonts w:ascii="Book Antiqua" w:hAnsi="Book Antiqua"/>
          <w:bCs/>
          <w:lang w:val="es-ES"/>
        </w:rPr>
        <w:t xml:space="preserve">Estados Unidos y Europa han creado una serie de campañas dirigidas a preservar vidas durante una emergencia.  </w:t>
      </w:r>
      <w:proofErr w:type="spellStart"/>
      <w:r w:rsidRPr="003E6DF9">
        <w:rPr>
          <w:rFonts w:ascii="Book Antiqua" w:hAnsi="Book Antiqua"/>
          <w:bCs/>
        </w:rPr>
        <w:t>Estas</w:t>
      </w:r>
      <w:proofErr w:type="spellEnd"/>
      <w:r w:rsidRPr="003E6DF9">
        <w:rPr>
          <w:rFonts w:ascii="Book Antiqua" w:hAnsi="Book Antiqua"/>
          <w:bCs/>
        </w:rPr>
        <w:t xml:space="preserve"> son </w:t>
      </w:r>
      <w:r>
        <w:rPr>
          <w:rFonts w:ascii="Book Antiqua" w:hAnsi="Book Antiqua"/>
          <w:bCs/>
        </w:rPr>
        <w:t xml:space="preserve">“Stop the Bleed” y “The Stop the Bleeding Campaign”, </w:t>
      </w:r>
      <w:proofErr w:type="spellStart"/>
      <w:r>
        <w:rPr>
          <w:rFonts w:ascii="Book Antiqua" w:hAnsi="Book Antiqua"/>
          <w:bCs/>
        </w:rPr>
        <w:t>respectivamente</w:t>
      </w:r>
      <w:proofErr w:type="spellEnd"/>
      <w:r>
        <w:rPr>
          <w:rFonts w:ascii="Book Antiqua" w:hAnsi="Book Antiqua"/>
          <w:bCs/>
        </w:rPr>
        <w:t xml:space="preserve">. </w:t>
      </w:r>
      <w:r w:rsidRPr="00980155">
        <w:rPr>
          <w:rFonts w:ascii="Book Antiqua" w:hAnsi="Book Antiqua"/>
          <w:bCs/>
          <w:lang w:val="es-PR"/>
        </w:rPr>
        <w:t>Estas iniciativas van dirigidas a poder informar y concienciar a</w:t>
      </w:r>
      <w:r>
        <w:rPr>
          <w:rFonts w:ascii="Book Antiqua" w:hAnsi="Book Antiqua"/>
          <w:bCs/>
          <w:lang w:val="es-PR"/>
        </w:rPr>
        <w:t xml:space="preserve"> la población en el conocimiento de poder realizar primeros auxilios y sensibilizar para saber cómo reaccionar ante una hemorragia exanguinante.  La instrucción y el entrenamiento sobre el control de una hemorragia son pieza fundamental y constituye un aumento en probabilidad de éxito de la aplicación de un torniquete. </w:t>
      </w:r>
    </w:p>
    <w:p w14:paraId="4A256474" w14:textId="77777777" w:rsidR="00BD127C" w:rsidRPr="00980155" w:rsidRDefault="00BD127C" w:rsidP="00BD127C">
      <w:pPr>
        <w:suppressLineNumbers/>
        <w:jc w:val="both"/>
        <w:rPr>
          <w:rFonts w:ascii="Book Antiqua" w:hAnsi="Book Antiqua"/>
          <w:bCs/>
          <w:lang w:val="es-PR"/>
        </w:rPr>
      </w:pPr>
    </w:p>
    <w:p w14:paraId="178B9334" w14:textId="77777777" w:rsidR="00BD127C" w:rsidRDefault="00BD127C" w:rsidP="00BD127C">
      <w:pPr>
        <w:suppressLineNumbers/>
        <w:ind w:firstLine="720"/>
        <w:jc w:val="both"/>
        <w:rPr>
          <w:rFonts w:ascii="Book Antiqua" w:hAnsi="Book Antiqua"/>
          <w:bCs/>
          <w:lang w:val="es-ES"/>
        </w:rPr>
      </w:pPr>
      <w:r>
        <w:rPr>
          <w:rFonts w:ascii="Book Antiqua" w:hAnsi="Book Antiqua"/>
          <w:bCs/>
          <w:lang w:val="es-ES"/>
        </w:rPr>
        <w:t>Los torniquetes son instrumentos médicos de primeros auxilios que se utilizan para comprimir las arterias y, así detener una hemorragia localizada en las extremidades. También, se les conoce como bandas ajustadas que se colocan en las extremidades lesionadas con la finalidad de controlar o detener la hemorragia en una situación de emergencia.  Son catalogados como eficaces para controlar el sangrado de manera inmediata hasta que haya atención médica para tratar la herida.  Según investigaciones, es menester destacar que, el uso de este instrumento útil ayuda a ampliar el tiempo que hay antes de que se produzca un “shock hipovolémico” y empeore el cuadro sintomático del paciente.  Esa situación médica, se caracteriza por una afección de emergencia en la cual la pérdida grave de sangre o de otro líquido hace que el corazón sea incapaz de bombear suficiente sangre al cuerpo.  Este tipo de “shock” puede hacer que muchos órganos dejen de funcionar.</w:t>
      </w:r>
    </w:p>
    <w:p w14:paraId="609AFC4B" w14:textId="77777777" w:rsidR="00BD127C" w:rsidRPr="00AD33BA" w:rsidRDefault="00BD127C" w:rsidP="00BD127C">
      <w:pPr>
        <w:pStyle w:val="NormalWeb"/>
        <w:suppressLineNumbers/>
        <w:shd w:val="clear" w:color="auto" w:fill="FFFFFF"/>
        <w:spacing w:before="150" w:beforeAutospacing="0" w:after="330" w:afterAutospacing="0"/>
        <w:ind w:firstLine="720"/>
        <w:jc w:val="both"/>
        <w:textAlignment w:val="baseline"/>
        <w:rPr>
          <w:rFonts w:ascii="Roboto" w:hAnsi="Roboto"/>
          <w:color w:val="43354B"/>
          <w:sz w:val="21"/>
          <w:szCs w:val="21"/>
          <w:shd w:val="clear" w:color="auto" w:fill="FFFFFF"/>
          <w:lang w:val="es-PR"/>
        </w:rPr>
      </w:pPr>
      <w:r w:rsidRPr="006227BC">
        <w:rPr>
          <w:rFonts w:ascii="Book Antiqua" w:hAnsi="Book Antiqua"/>
          <w:color w:val="000000"/>
          <w:shd w:val="clear" w:color="auto" w:fill="FFFFFF"/>
          <w:lang w:val="es-PR"/>
        </w:rPr>
        <w:lastRenderedPageBreak/>
        <w:t>Su origen se remonta hasta la Edad Media cuando el cirujano militar francés Etienne Morel lo usara por primera vez en la batalla de Flanders en 1674, pero el término actual fue acuñado a inicios del siglo XVIII por Jean Louis Petit</w:t>
      </w:r>
      <w:r w:rsidRPr="00A14888">
        <w:rPr>
          <w:rFonts w:ascii="Book Antiqua" w:hAnsi="Book Antiqua"/>
          <w:color w:val="000000" w:themeColor="text1"/>
          <w:shd w:val="clear" w:color="auto" w:fill="FFFFFF"/>
          <w:lang w:val="es-PR"/>
        </w:rPr>
        <w:t xml:space="preserve">.  El uso del torniquete tiene una larga evolución, desde sus primeras aplicaciones en la antigua </w:t>
      </w:r>
      <w:r>
        <w:rPr>
          <w:rFonts w:ascii="Book Antiqua" w:hAnsi="Book Antiqua"/>
          <w:color w:val="000000" w:themeColor="text1"/>
          <w:shd w:val="clear" w:color="auto" w:fill="FFFFFF"/>
          <w:lang w:val="es-PR"/>
        </w:rPr>
        <w:t>R</w:t>
      </w:r>
      <w:r w:rsidRPr="00A14888">
        <w:rPr>
          <w:rFonts w:ascii="Book Antiqua" w:hAnsi="Book Antiqua"/>
          <w:color w:val="000000" w:themeColor="text1"/>
          <w:shd w:val="clear" w:color="auto" w:fill="FFFFFF"/>
          <w:lang w:val="es-PR"/>
        </w:rPr>
        <w:t>oma, hasta la actualidad, aunque sus indicaciones han ido evolucionando, el dispositivo ha variado poco debido a su simplicidad.</w:t>
      </w:r>
      <w:r>
        <w:rPr>
          <w:rFonts w:ascii="Book Antiqua" w:hAnsi="Book Antiqua"/>
          <w:color w:val="000000" w:themeColor="text1"/>
          <w:shd w:val="clear" w:color="auto" w:fill="FFFFFF"/>
          <w:lang w:val="es-PR"/>
        </w:rPr>
        <w:t xml:space="preserve">  E</w:t>
      </w:r>
      <w:r w:rsidRPr="00C712A8">
        <w:rPr>
          <w:rFonts w:ascii="Book Antiqua" w:hAnsi="Book Antiqua"/>
          <w:color w:val="000000" w:themeColor="text1"/>
          <w:shd w:val="clear" w:color="auto" w:fill="FFFFFF"/>
          <w:lang w:val="es-PR"/>
        </w:rPr>
        <w:t>n las últimas dos décadas han aumentado su popularidad debido a los estudios realizados en hospitales militares de las guerras de Afganistán e Irak</w:t>
      </w:r>
      <w:r>
        <w:rPr>
          <w:rFonts w:ascii="Book Antiqua" w:hAnsi="Book Antiqua"/>
          <w:color w:val="000000" w:themeColor="text1"/>
          <w:shd w:val="clear" w:color="auto" w:fill="FFFFFF"/>
          <w:lang w:val="es-PR"/>
        </w:rPr>
        <w:t>.</w:t>
      </w:r>
      <w:r w:rsidRPr="00C712A8">
        <w:rPr>
          <w:rFonts w:ascii="Book Antiqua" w:hAnsi="Book Antiqua"/>
          <w:color w:val="000000" w:themeColor="text1"/>
          <w:shd w:val="clear" w:color="auto" w:fill="FFFFFF"/>
          <w:lang w:val="es-PR"/>
        </w:rPr>
        <w:t xml:space="preserve"> Sin embargo</w:t>
      </w:r>
      <w:r>
        <w:rPr>
          <w:rFonts w:ascii="Book Antiqua" w:hAnsi="Book Antiqua"/>
          <w:color w:val="000000" w:themeColor="text1"/>
          <w:shd w:val="clear" w:color="auto" w:fill="FFFFFF"/>
          <w:lang w:val="es-PR"/>
        </w:rPr>
        <w:t>,</w:t>
      </w:r>
      <w:r w:rsidRPr="00C712A8">
        <w:rPr>
          <w:rFonts w:ascii="Book Antiqua" w:hAnsi="Book Antiqua"/>
          <w:color w:val="000000" w:themeColor="text1"/>
          <w:shd w:val="clear" w:color="auto" w:fill="FFFFFF"/>
          <w:lang w:val="es-PR"/>
        </w:rPr>
        <w:t xml:space="preserve"> su desarrollo actual no queda solo destinado al campo de batalla, ya que en el primer mundo, estamos expuestos a multitud de eventos traumáticos, de diversas condiciones, como lesiones por armas blancas, accidentes viales, y de múltiples victimas como desastres naturales sin olvida</w:t>
      </w:r>
      <w:r>
        <w:rPr>
          <w:rFonts w:ascii="Book Antiqua" w:hAnsi="Book Antiqua"/>
          <w:color w:val="000000" w:themeColor="text1"/>
          <w:shd w:val="clear" w:color="auto" w:fill="FFFFFF"/>
          <w:lang w:val="es-PR"/>
        </w:rPr>
        <w:t>r</w:t>
      </w:r>
      <w:r w:rsidRPr="00C712A8">
        <w:rPr>
          <w:rFonts w:ascii="Book Antiqua" w:hAnsi="Book Antiqua"/>
          <w:color w:val="000000" w:themeColor="text1"/>
          <w:shd w:val="clear" w:color="auto" w:fill="FFFFFF"/>
          <w:lang w:val="es-PR"/>
        </w:rPr>
        <w:t xml:space="preserve"> también los atentados terroristas a los que nos enfrentamos en la actualidad, donde el uso del torniquete es vital, ya que el número de víctimas supera el número de sanitarios y no es posible ejercer una presión directa durante un tiempo prolongado, para evitar la hemorragia y con ello el fatal desenlace.</w:t>
      </w:r>
    </w:p>
    <w:p w14:paraId="34CDB13F" w14:textId="77777777" w:rsidR="00BD127C" w:rsidRPr="00D03B47" w:rsidRDefault="00BD127C" w:rsidP="00BD127C">
      <w:pPr>
        <w:suppressLineNumbers/>
        <w:ind w:firstLine="720"/>
        <w:jc w:val="both"/>
        <w:rPr>
          <w:rFonts w:ascii="Book Antiqua" w:hAnsi="Book Antiqua"/>
          <w:bCs/>
          <w:lang w:val="es-PR"/>
        </w:rPr>
      </w:pPr>
      <w:r>
        <w:rPr>
          <w:rFonts w:ascii="Book Antiqua" w:hAnsi="Book Antiqua"/>
          <w:bCs/>
          <w:lang w:val="es-ES"/>
        </w:rPr>
        <w:t xml:space="preserve">Su aplicación debe ser tema prioritario y crear conciencia en todas nuestras agencias gubernamentales y escuelas públicas del País. Es un hecho que las hemorragias no controladas asociadas a traumas graves siguen siendo en la actualidad una de las principales causas de mortalidad en las emergencias prehospitalarias, por lo que la aplicación del torniquete cada vez se está liberalizando más, ya que se trata de un dispositivo de fácil aplicación que salva vidas.  Esta herramienta indiscutiblemente puede ayudar a salvar vidas, en un entorno donde no se encuentre soporte médico de forma inmediata.  En ese caso, ayudaría a poder controlar la hemorragia de forma rápida y fácil. </w:t>
      </w:r>
    </w:p>
    <w:p w14:paraId="52159C38" w14:textId="77777777" w:rsidR="00BD127C" w:rsidRDefault="00BD127C" w:rsidP="00BD127C">
      <w:pPr>
        <w:suppressLineNumbers/>
        <w:ind w:firstLine="720"/>
        <w:jc w:val="both"/>
        <w:rPr>
          <w:rFonts w:ascii="Book Antiqua" w:hAnsi="Book Antiqua"/>
          <w:bCs/>
          <w:lang w:val="es-ES"/>
        </w:rPr>
      </w:pPr>
    </w:p>
    <w:p w14:paraId="2217047C" w14:textId="77777777" w:rsidR="00BD127C" w:rsidRDefault="00BD127C" w:rsidP="00BD127C">
      <w:pPr>
        <w:suppressLineNumbers/>
        <w:ind w:firstLine="720"/>
        <w:jc w:val="both"/>
        <w:rPr>
          <w:rFonts w:ascii="Book Antiqua" w:hAnsi="Book Antiqua"/>
          <w:bCs/>
          <w:lang w:val="es-ES"/>
        </w:rPr>
      </w:pPr>
      <w:r>
        <w:rPr>
          <w:rFonts w:ascii="Book Antiqua" w:hAnsi="Book Antiqua"/>
          <w:bCs/>
          <w:lang w:val="es-ES"/>
        </w:rPr>
        <w:t xml:space="preserve">Cuando ocurre una lesión traumática en un brazo o pierna, esto conduce a una rápida pérdida de sangre.  Para esto, un torniquete correctamente aplicado es la mejor opción para proceder a salvaguardar la vida de una persona.  Este aparato, ha demostrado su eficacia deteniendo hemorragias.  Se ha comprobado que sus complicaciones son escasas y la mayoría son atribuibles al estado crítico de los pacientes y no al hecho de su colocación. Es por esto </w:t>
      </w:r>
      <w:proofErr w:type="gramStart"/>
      <w:r>
        <w:rPr>
          <w:rFonts w:ascii="Book Antiqua" w:hAnsi="Book Antiqua"/>
          <w:bCs/>
          <w:lang w:val="es-ES"/>
        </w:rPr>
        <w:t>que</w:t>
      </w:r>
      <w:proofErr w:type="gramEnd"/>
      <w:r>
        <w:rPr>
          <w:rFonts w:ascii="Book Antiqua" w:hAnsi="Book Antiqua"/>
          <w:bCs/>
          <w:lang w:val="es-ES"/>
        </w:rPr>
        <w:t>, es necesario contar en cada agencia del gobierno y en las escuelas de nuestro País con este instrumento.  Esto, hará sentir más tranquilo a las personas pues contarán con una herramienta preventiva y de protección ante cualquier emergencia que pueda ocurrir en ese entorno. Cónsono con lo anterior, es de vital importancia tener al alcance el dispositivo (torniquete) en un medio donde no hay recursos o acceso a contar con servicios médicos al momento.  Esto sin duda, facilitaría contribuir a ayudar a preservar la vida en una situación extrema.</w:t>
      </w:r>
    </w:p>
    <w:p w14:paraId="6813D15A" w14:textId="77777777" w:rsidR="00BD127C" w:rsidRDefault="00BD127C" w:rsidP="00BD127C">
      <w:pPr>
        <w:suppressLineNumbers/>
        <w:ind w:firstLine="720"/>
        <w:jc w:val="both"/>
        <w:rPr>
          <w:rFonts w:ascii="Book Antiqua" w:hAnsi="Book Antiqua"/>
          <w:bCs/>
          <w:lang w:val="es-ES"/>
        </w:rPr>
      </w:pPr>
    </w:p>
    <w:p w14:paraId="5B534E66" w14:textId="77777777" w:rsidR="00BD127C" w:rsidRDefault="00BD127C" w:rsidP="00BD127C">
      <w:pPr>
        <w:suppressLineNumbers/>
        <w:ind w:firstLine="720"/>
        <w:jc w:val="both"/>
        <w:rPr>
          <w:rFonts w:ascii="Book Antiqua" w:hAnsi="Book Antiqua"/>
          <w:bCs/>
          <w:lang w:val="es-PR"/>
        </w:rPr>
      </w:pPr>
      <w:r>
        <w:rPr>
          <w:rFonts w:ascii="Book Antiqua" w:hAnsi="Book Antiqua"/>
          <w:bCs/>
          <w:lang w:val="es-ES"/>
        </w:rPr>
        <w:t xml:space="preserve">Según datos médicos, los traumas son la primera causa de muerte en personas jóvenes menores de cuarenta y cuatro </w:t>
      </w:r>
      <w:r w:rsidRPr="00F0754C">
        <w:rPr>
          <w:rFonts w:ascii="Book Antiqua" w:hAnsi="Book Antiqua"/>
          <w:bCs/>
          <w:lang w:val="es-PR"/>
        </w:rPr>
        <w:t>(</w:t>
      </w:r>
      <w:r>
        <w:rPr>
          <w:rFonts w:ascii="Book Antiqua" w:hAnsi="Book Antiqua"/>
          <w:bCs/>
          <w:lang w:val="es-PR"/>
        </w:rPr>
        <w:t xml:space="preserve">44) años.  Ninguna persona desea estar implicado en una emergencia médica, no obstante, diariamente ocurren accidentes y/o desastres naturales, sin previo aviso.  Esta situación puede ocurrir en lugares de trabajo, escuelas, centros comerciales y cualquier ser humano debe estar capacitado para servir de </w:t>
      </w:r>
      <w:r>
        <w:rPr>
          <w:rFonts w:ascii="Book Antiqua" w:hAnsi="Book Antiqua"/>
          <w:bCs/>
          <w:lang w:val="es-PR"/>
        </w:rPr>
        <w:lastRenderedPageBreak/>
        <w:t>socorrista de una persona cuya primera intervención sea esencial.  La clave para salvar una vida es estar preparado y contar con un adiestramiento que permita reaccionar en un acontecimiento donde la vida de una persona esté en riesgo.</w:t>
      </w:r>
    </w:p>
    <w:p w14:paraId="25F37DB1" w14:textId="77777777" w:rsidR="00BD127C" w:rsidRDefault="00BD127C" w:rsidP="00BD127C">
      <w:pPr>
        <w:suppressLineNumbers/>
        <w:ind w:firstLine="720"/>
        <w:jc w:val="both"/>
        <w:rPr>
          <w:rFonts w:ascii="Book Antiqua" w:hAnsi="Book Antiqua"/>
          <w:bCs/>
          <w:lang w:val="es-PR"/>
        </w:rPr>
      </w:pPr>
    </w:p>
    <w:p w14:paraId="0929B297" w14:textId="77777777" w:rsidR="00BD127C" w:rsidRDefault="00BD127C" w:rsidP="00BD127C">
      <w:pPr>
        <w:suppressLineNumbers/>
        <w:ind w:firstLine="720"/>
        <w:jc w:val="both"/>
        <w:rPr>
          <w:rFonts w:ascii="Book Antiqua" w:hAnsi="Book Antiqua"/>
          <w:bCs/>
          <w:lang w:val="es-PR"/>
        </w:rPr>
      </w:pPr>
      <w:r>
        <w:rPr>
          <w:rFonts w:ascii="Book Antiqua" w:hAnsi="Book Antiqua"/>
          <w:bCs/>
          <w:lang w:val="es-PR"/>
        </w:rPr>
        <w:t>Hoy día, las personas en una situación de emergencia recurren a la utilización de vendajes compresivo o “gasas”.  Ambos instrumentos funcionan de forma similar, pero no son lo mismo.  El vendaje comprensivo interrumpe la hemorragia durante menos tiempo, requiere de grandes cantidades de gasas y de una venda elástica.  Esto, hace que pueda tardar varios minutos en colocarla, porque se debe enrollar la venda sobre la herida.  Además, no es algo sencillo de realizar, menos en momentos de tensión como los que se viven en una emergencia.  Es por esto que, es posible que una sola persona no pueda hacerlo.  En cambio, el torniquete, en adición de detener la hemorragia durante más tiempo, se tarda pocos minutos en colocar y la mayoría de los modelos que se utilizan, se puede colocar con una sola mano.  Este instrumento, indudablemente es más cómodo y práctico. “Lo único más trágico que una muerte, es una muerte que pudo haberse prevenido”.</w:t>
      </w:r>
    </w:p>
    <w:p w14:paraId="1FB502AE" w14:textId="77777777" w:rsidR="00BD127C" w:rsidRPr="00F54FED" w:rsidRDefault="00BD127C" w:rsidP="00BD127C">
      <w:pPr>
        <w:suppressLineNumbers/>
        <w:ind w:firstLine="720"/>
        <w:jc w:val="both"/>
        <w:rPr>
          <w:rFonts w:ascii="Book Antiqua" w:hAnsi="Book Antiqua"/>
          <w:bCs/>
          <w:lang w:val="es-PR"/>
        </w:rPr>
      </w:pPr>
    </w:p>
    <w:p w14:paraId="2E2CE354" w14:textId="7142C731" w:rsidR="00BD127C" w:rsidRDefault="00BD127C" w:rsidP="00BD127C">
      <w:pPr>
        <w:suppressLineNumbers/>
        <w:ind w:firstLine="720"/>
        <w:jc w:val="both"/>
        <w:rPr>
          <w:rFonts w:ascii="Book Antiqua" w:hAnsi="Book Antiqua"/>
          <w:lang w:val="es-PR"/>
        </w:rPr>
      </w:pPr>
      <w:r w:rsidRPr="000E1EA8">
        <w:rPr>
          <w:rFonts w:ascii="Book Antiqua" w:hAnsi="Book Antiqua"/>
          <w:color w:val="000000"/>
          <w:lang w:val="es-PR"/>
        </w:rPr>
        <w:t>Es por todo lo anterior, que esta Asamblea Legislativa, procurando la protección, el bienesta</w:t>
      </w:r>
      <w:r>
        <w:rPr>
          <w:rFonts w:ascii="Book Antiqua" w:hAnsi="Book Antiqua"/>
          <w:color w:val="000000"/>
          <w:lang w:val="es-PR"/>
        </w:rPr>
        <w:t xml:space="preserve">r, </w:t>
      </w:r>
      <w:r w:rsidRPr="000E1EA8">
        <w:rPr>
          <w:rFonts w:ascii="Book Antiqua" w:hAnsi="Book Antiqua"/>
          <w:color w:val="000000"/>
          <w:lang w:val="es-PR"/>
        </w:rPr>
        <w:t>la seguridad</w:t>
      </w:r>
      <w:r>
        <w:rPr>
          <w:rFonts w:ascii="Book Antiqua" w:hAnsi="Book Antiqua"/>
          <w:color w:val="000000"/>
          <w:lang w:val="es-PR"/>
        </w:rPr>
        <w:t xml:space="preserve"> y la salud</w:t>
      </w:r>
      <w:r w:rsidRPr="000E1EA8">
        <w:rPr>
          <w:rFonts w:ascii="Book Antiqua" w:hAnsi="Book Antiqua"/>
          <w:color w:val="000000"/>
          <w:lang w:val="es-PR"/>
        </w:rPr>
        <w:t xml:space="preserve"> de </w:t>
      </w:r>
      <w:r>
        <w:rPr>
          <w:rFonts w:ascii="Book Antiqua" w:hAnsi="Book Antiqua"/>
          <w:color w:val="000000"/>
          <w:lang w:val="es-PR"/>
        </w:rPr>
        <w:t xml:space="preserve">todos los ciudadanos de </w:t>
      </w:r>
      <w:r w:rsidRPr="000E1EA8">
        <w:rPr>
          <w:rFonts w:ascii="Book Antiqua" w:hAnsi="Book Antiqua"/>
          <w:color w:val="000000"/>
          <w:lang w:val="es-PR"/>
        </w:rPr>
        <w:t xml:space="preserve">Puerto Rico, </w:t>
      </w:r>
      <w:r>
        <w:rPr>
          <w:rFonts w:ascii="Book Antiqua" w:hAnsi="Book Antiqua"/>
          <w:color w:val="000000"/>
          <w:lang w:val="es-PR"/>
        </w:rPr>
        <w:t xml:space="preserve">promueva esta iniciativa de contar con un torniquete al alcance de todas las agencias del Gobierno y las escuelas públicas de nuestro País.  Nosotros somos los responsables de marcar una trayectoria de justicia y compasión por todas las personas que pierden la vida en una situación de emergencia por no contar con los recursos al alcance de la mano para salvar una vida. </w:t>
      </w:r>
      <w:r w:rsidRPr="000E1EA8">
        <w:rPr>
          <w:rFonts w:ascii="Book Antiqua" w:hAnsi="Book Antiqua"/>
          <w:color w:val="000000"/>
          <w:lang w:val="es-PR"/>
        </w:rPr>
        <w:t xml:space="preserve">A su vez, se promueve </w:t>
      </w:r>
      <w:r>
        <w:rPr>
          <w:rFonts w:ascii="Book Antiqua" w:hAnsi="Book Antiqua"/>
          <w:color w:val="000000"/>
          <w:lang w:val="es-PR"/>
        </w:rPr>
        <w:t>la empatía y la ayuda humanitaria en ser colaboradores de nuestros hermanos puertorriqueños en una situación crítica.  Por último</w:t>
      </w:r>
      <w:r w:rsidRPr="005C404B">
        <w:rPr>
          <w:rFonts w:ascii="Book Antiqua" w:hAnsi="Book Antiqua"/>
          <w:color w:val="000000"/>
          <w:lang w:val="es-PR"/>
        </w:rPr>
        <w:t xml:space="preserve">, </w:t>
      </w:r>
      <w:r>
        <w:rPr>
          <w:rFonts w:ascii="Book Antiqua" w:hAnsi="Book Antiqua"/>
          <w:color w:val="000000"/>
          <w:lang w:val="es-PR"/>
        </w:rPr>
        <w:t>d</w:t>
      </w:r>
      <w:r w:rsidRPr="005C404B">
        <w:rPr>
          <w:rFonts w:ascii="Book Antiqua" w:hAnsi="Book Antiqua"/>
          <w:color w:val="000000"/>
          <w:lang w:val="es-PR"/>
        </w:rPr>
        <w:t>e esta manera, comenzamos a devolverle la confianza</w:t>
      </w:r>
      <w:r>
        <w:rPr>
          <w:rFonts w:ascii="Book Antiqua" w:hAnsi="Book Antiqua"/>
          <w:color w:val="000000"/>
          <w:lang w:val="es-PR"/>
        </w:rPr>
        <w:t xml:space="preserve"> y tranquilidad</w:t>
      </w:r>
      <w:r w:rsidRPr="005C404B">
        <w:rPr>
          <w:rFonts w:ascii="Book Antiqua" w:hAnsi="Book Antiqua"/>
          <w:color w:val="000000"/>
          <w:lang w:val="es-PR"/>
        </w:rPr>
        <w:t xml:space="preserve"> al pueblo de Puerto Rico de qu</w:t>
      </w:r>
      <w:r>
        <w:rPr>
          <w:rFonts w:ascii="Book Antiqua" w:hAnsi="Book Antiqua"/>
          <w:color w:val="000000"/>
          <w:lang w:val="es-PR"/>
        </w:rPr>
        <w:t>e todas las agencias gubernamentales y escuelas públicas de Puerto Rico cuenten con un instrumento (torniquete) el cual ayude a salvar una vida en una situación de emergencia</w:t>
      </w:r>
      <w:r>
        <w:rPr>
          <w:rFonts w:ascii="Book Antiqua" w:hAnsi="Book Antiqua"/>
          <w:lang w:val="es-PR"/>
        </w:rPr>
        <w:t>.</w:t>
      </w:r>
    </w:p>
    <w:p w14:paraId="7C34DB12" w14:textId="77777777" w:rsidR="00BD127C" w:rsidRDefault="00BD127C" w:rsidP="00BD127C">
      <w:pPr>
        <w:suppressLineNumbers/>
        <w:ind w:firstLine="720"/>
        <w:jc w:val="both"/>
        <w:rPr>
          <w:rFonts w:ascii="Book Antiqua" w:hAnsi="Book Antiqua"/>
          <w:lang w:val="es-PR"/>
        </w:rPr>
      </w:pPr>
    </w:p>
    <w:p w14:paraId="3DDCC2E4" w14:textId="218F386C" w:rsidR="00BD127C" w:rsidRPr="00BD127C" w:rsidRDefault="00BD127C" w:rsidP="00BD127C">
      <w:pPr>
        <w:pStyle w:val="default"/>
        <w:suppressLineNumbers/>
        <w:spacing w:line="480" w:lineRule="auto"/>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12D0659E" w14:textId="1458E3ED"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w:t>
      </w:r>
      <w:r w:rsidRPr="00FE625C">
        <w:rPr>
          <w:rFonts w:ascii="Book Antiqua" w:hAnsi="Book Antiqua"/>
          <w:lang w:val="es-PR"/>
        </w:rPr>
        <w:t xml:space="preserve"> 1.- </w:t>
      </w:r>
      <w:r>
        <w:rPr>
          <w:rFonts w:ascii="Book Antiqua" w:hAnsi="Book Antiqua"/>
          <w:lang w:val="es-PR"/>
        </w:rPr>
        <w:t>Título</w:t>
      </w:r>
    </w:p>
    <w:p w14:paraId="5FD71B63" w14:textId="77777777" w:rsidR="00BD127C" w:rsidRDefault="00BD127C" w:rsidP="00BD127C">
      <w:pPr>
        <w:tabs>
          <w:tab w:val="left" w:pos="7560"/>
          <w:tab w:val="left" w:pos="7920"/>
        </w:tabs>
        <w:autoSpaceDE w:val="0"/>
        <w:autoSpaceDN w:val="0"/>
        <w:adjustRightInd w:val="0"/>
        <w:spacing w:line="480" w:lineRule="auto"/>
        <w:ind w:firstLine="720"/>
        <w:jc w:val="both"/>
        <w:rPr>
          <w:rFonts w:ascii="Book Antiqua" w:hAnsi="Book Antiqua"/>
          <w:lang w:val="es-PR"/>
        </w:rPr>
      </w:pPr>
      <w:r>
        <w:rPr>
          <w:rFonts w:ascii="Book Antiqua" w:hAnsi="Book Antiqua"/>
          <w:lang w:val="es-PR"/>
        </w:rPr>
        <w:t>Esta Ley se conocerá como la “Ley para establecer el uso de torniquetes en las Agencias Gubernamentales y Escuelas Públicas de Puerto Rico”</w:t>
      </w:r>
    </w:p>
    <w:p w14:paraId="5A429F9F"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Pr="00FE625C">
        <w:rPr>
          <w:rFonts w:ascii="Book Antiqua" w:hAnsi="Book Antiqua"/>
          <w:lang w:val="es-PR"/>
        </w:rPr>
        <w:t xml:space="preserve">Artículo </w:t>
      </w:r>
      <w:r>
        <w:rPr>
          <w:rFonts w:ascii="Book Antiqua" w:hAnsi="Book Antiqua"/>
          <w:lang w:val="es-PR"/>
        </w:rPr>
        <w:t>2.</w:t>
      </w:r>
      <w:r w:rsidRPr="00FE625C">
        <w:rPr>
          <w:rFonts w:ascii="Book Antiqua" w:hAnsi="Book Antiqua"/>
          <w:lang w:val="es-PR"/>
        </w:rPr>
        <w:t xml:space="preserve">- </w:t>
      </w:r>
      <w:r>
        <w:rPr>
          <w:rFonts w:ascii="Book Antiqua" w:hAnsi="Book Antiqua"/>
          <w:lang w:val="es-PR"/>
        </w:rPr>
        <w:t>Definiciones</w:t>
      </w:r>
    </w:p>
    <w:p w14:paraId="48F27DDD" w14:textId="77777777" w:rsidR="00BD127C" w:rsidRDefault="00BD127C" w:rsidP="00BD127C">
      <w:pPr>
        <w:tabs>
          <w:tab w:val="left" w:pos="7560"/>
          <w:tab w:val="left" w:pos="7920"/>
        </w:tabs>
        <w:autoSpaceDE w:val="0"/>
        <w:autoSpaceDN w:val="0"/>
        <w:adjustRightInd w:val="0"/>
        <w:spacing w:line="480" w:lineRule="auto"/>
        <w:ind w:firstLine="720"/>
        <w:jc w:val="both"/>
        <w:rPr>
          <w:rFonts w:ascii="Book Antiqua" w:hAnsi="Book Antiqua"/>
          <w:lang w:val="es-PR"/>
        </w:rPr>
      </w:pPr>
      <w:r>
        <w:rPr>
          <w:rFonts w:ascii="Book Antiqua" w:hAnsi="Book Antiqua"/>
          <w:lang w:val="es-PR"/>
        </w:rPr>
        <w:t>Para propósitos de esta Ley los siguientes términos tendrán el significado que a continuación se expresa:</w:t>
      </w:r>
    </w:p>
    <w:p w14:paraId="19D35EBB" w14:textId="77777777" w:rsidR="00BD127C" w:rsidRDefault="00BD127C" w:rsidP="00BD127C">
      <w:pPr>
        <w:pStyle w:val="ListParagraph"/>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lastRenderedPageBreak/>
        <w:t>Agencia- cualquier departamento, oficina, negociado, comisión, junta, administración, autoridad, corporación pública, incluyendo sus afiliadas y subsidiarias o cualquier otro organismo de la Rama Ejecutiva.</w:t>
      </w:r>
    </w:p>
    <w:p w14:paraId="5CE5DE6F" w14:textId="77777777" w:rsidR="00BD127C" w:rsidRPr="008E77B1" w:rsidRDefault="00BD127C" w:rsidP="00BD127C">
      <w:pPr>
        <w:pStyle w:val="ListParagraph"/>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Escuela- cualquier edificio y/o estructura incluyendo los terrenos donde están ubicados con todos sus bienes anejos propiedad del Gobierno de Puerto Rico, como los arrendados a personas particulares, usados para fines escolares bajo el control o jurisdicción total, parcial o temporera del Departamento.</w:t>
      </w:r>
    </w:p>
    <w:p w14:paraId="7993327F" w14:textId="77777777" w:rsidR="00BD127C" w:rsidRDefault="00BD127C" w:rsidP="00BD127C">
      <w:pPr>
        <w:pStyle w:val="ListParagraph"/>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Emergencia- suceso o situación que presenta de improvisto y requiere de una atención inmediata.</w:t>
      </w:r>
    </w:p>
    <w:p w14:paraId="1F051ABD" w14:textId="77777777" w:rsidR="00BD127C" w:rsidRPr="0064037A" w:rsidRDefault="00BD127C" w:rsidP="00BD127C">
      <w:pPr>
        <w:pStyle w:val="ListParagraph"/>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Torniquete</w:t>
      </w:r>
      <w:r w:rsidRPr="0064037A">
        <w:rPr>
          <w:rFonts w:ascii="Book Antiqua" w:hAnsi="Book Antiqua"/>
          <w:lang w:val="es-PR"/>
        </w:rPr>
        <w:t xml:space="preserve">- </w:t>
      </w:r>
      <w:r>
        <w:rPr>
          <w:rFonts w:ascii="Book Antiqua" w:hAnsi="Book Antiqua"/>
          <w:bCs/>
          <w:lang w:val="es-ES"/>
        </w:rPr>
        <w:t>instrumento médico de primeros auxilios que se utiliza para comprimir las arterias y así detener una hemorragia localizada en las extremidades.</w:t>
      </w:r>
    </w:p>
    <w:p w14:paraId="21DF8E04" w14:textId="77777777" w:rsidR="00BD127C" w:rsidRPr="002B7451" w:rsidRDefault="00BD127C" w:rsidP="00BD127C">
      <w:pPr>
        <w:pStyle w:val="ListParagraph"/>
        <w:numPr>
          <w:ilvl w:val="0"/>
          <w:numId w:val="1"/>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bCs/>
          <w:lang w:val="es-ES"/>
        </w:rPr>
        <w:t>Trauma- lesiones internas o externas provocadas por la acción de agentes físicos o mecánicos exteriores.</w:t>
      </w:r>
    </w:p>
    <w:p w14:paraId="185802A0"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3.-Deber de Registro</w:t>
      </w:r>
    </w:p>
    <w:p w14:paraId="03697F6F" w14:textId="068CC83F" w:rsidR="00BD127C" w:rsidRPr="001A3FA2" w:rsidRDefault="00BD127C" w:rsidP="00BD127C">
      <w:pPr>
        <w:tabs>
          <w:tab w:val="left" w:pos="7560"/>
          <w:tab w:val="left" w:pos="7920"/>
        </w:tabs>
        <w:autoSpaceDE w:val="0"/>
        <w:autoSpaceDN w:val="0"/>
        <w:adjustRightInd w:val="0"/>
        <w:spacing w:line="480" w:lineRule="auto"/>
        <w:jc w:val="both"/>
        <w:rPr>
          <w:rFonts w:ascii="Book Antiqua" w:hAnsi="Book Antiqua"/>
          <w:i/>
          <w:iCs/>
          <w:u w:val="single"/>
          <w:lang w:val="es-PR"/>
        </w:rPr>
      </w:pPr>
      <w:r>
        <w:rPr>
          <w:rFonts w:ascii="Book Antiqua" w:hAnsi="Book Antiqua"/>
          <w:lang w:val="es-PR"/>
        </w:rPr>
        <w:t xml:space="preserve">            Toda Agencia o Escuela, según definidas tiene que registrarse en el Departamento de Salud.</w:t>
      </w:r>
      <w:r w:rsidR="001A3FA2">
        <w:rPr>
          <w:rFonts w:ascii="Book Antiqua" w:hAnsi="Book Antiqua"/>
          <w:lang w:val="es-PR"/>
        </w:rPr>
        <w:t xml:space="preserve"> </w:t>
      </w:r>
      <w:r w:rsidR="001A3FA2">
        <w:rPr>
          <w:rFonts w:ascii="Book Antiqua" w:hAnsi="Book Antiqua"/>
          <w:i/>
          <w:iCs/>
          <w:u w:val="single"/>
        </w:rPr>
        <w:t>S</w:t>
      </w:r>
      <w:r w:rsidR="001A3FA2" w:rsidRPr="001A3FA2">
        <w:rPr>
          <w:rFonts w:ascii="Book Antiqua" w:hAnsi="Book Antiqua"/>
          <w:i/>
          <w:iCs/>
          <w:u w:val="single"/>
        </w:rPr>
        <w:t xml:space="preserve">u </w:t>
      </w:r>
      <w:proofErr w:type="spellStart"/>
      <w:r w:rsidR="001A3FA2" w:rsidRPr="001A3FA2">
        <w:rPr>
          <w:rFonts w:ascii="Book Antiqua" w:hAnsi="Book Antiqua"/>
          <w:i/>
          <w:iCs/>
          <w:u w:val="single"/>
        </w:rPr>
        <w:t>propósito</w:t>
      </w:r>
      <w:proofErr w:type="spellEnd"/>
      <w:r w:rsidR="001A3FA2" w:rsidRPr="001A3FA2">
        <w:rPr>
          <w:rFonts w:ascii="Book Antiqua" w:hAnsi="Book Antiqua"/>
          <w:i/>
          <w:iCs/>
          <w:u w:val="single"/>
        </w:rPr>
        <w:t xml:space="preserve"> </w:t>
      </w:r>
      <w:r w:rsidR="00946BBA">
        <w:rPr>
          <w:rFonts w:ascii="Book Antiqua" w:hAnsi="Book Antiqua"/>
          <w:i/>
          <w:iCs/>
          <w:u w:val="single"/>
        </w:rPr>
        <w:t>principal</w:t>
      </w:r>
      <w:r w:rsidR="001A3FA2" w:rsidRPr="001A3FA2">
        <w:rPr>
          <w:rFonts w:ascii="Book Antiqua" w:hAnsi="Book Antiqua"/>
          <w:i/>
          <w:iCs/>
          <w:u w:val="single"/>
        </w:rPr>
        <w:t xml:space="preserve"> </w:t>
      </w:r>
      <w:proofErr w:type="spellStart"/>
      <w:r w:rsidR="001A3FA2">
        <w:rPr>
          <w:rFonts w:ascii="Book Antiqua" w:hAnsi="Book Antiqua"/>
          <w:i/>
          <w:iCs/>
          <w:u w:val="single"/>
        </w:rPr>
        <w:t>será</w:t>
      </w:r>
      <w:proofErr w:type="spellEnd"/>
      <w:r w:rsidR="001A3FA2" w:rsidRPr="001A3FA2">
        <w:rPr>
          <w:rFonts w:ascii="Book Antiqua" w:hAnsi="Book Antiqua"/>
          <w:i/>
          <w:iCs/>
          <w:u w:val="single"/>
        </w:rPr>
        <w:t xml:space="preserve"> la </w:t>
      </w:r>
      <w:proofErr w:type="spellStart"/>
      <w:r w:rsidR="001A3FA2" w:rsidRPr="001A3FA2">
        <w:rPr>
          <w:rFonts w:ascii="Book Antiqua" w:hAnsi="Book Antiqua"/>
          <w:i/>
          <w:iCs/>
          <w:u w:val="single"/>
        </w:rPr>
        <w:t>recopilación</w:t>
      </w:r>
      <w:proofErr w:type="spellEnd"/>
      <w:r w:rsidR="001A3FA2" w:rsidRPr="001A3FA2">
        <w:rPr>
          <w:rFonts w:ascii="Book Antiqua" w:hAnsi="Book Antiqua"/>
          <w:i/>
          <w:iCs/>
          <w:u w:val="single"/>
        </w:rPr>
        <w:t xml:space="preserve"> y </w:t>
      </w:r>
      <w:proofErr w:type="spellStart"/>
      <w:r w:rsidR="001A3FA2" w:rsidRPr="001A3FA2">
        <w:rPr>
          <w:rFonts w:ascii="Book Antiqua" w:hAnsi="Book Antiqua"/>
          <w:i/>
          <w:iCs/>
          <w:u w:val="single"/>
        </w:rPr>
        <w:t>análisis</w:t>
      </w:r>
      <w:proofErr w:type="spellEnd"/>
      <w:r w:rsidR="001A3FA2" w:rsidRPr="001A3FA2">
        <w:rPr>
          <w:rFonts w:ascii="Book Antiqua" w:hAnsi="Book Antiqua"/>
          <w:i/>
          <w:iCs/>
          <w:u w:val="single"/>
        </w:rPr>
        <w:t xml:space="preserve"> </w:t>
      </w:r>
      <w:proofErr w:type="spellStart"/>
      <w:r w:rsidR="001A3FA2" w:rsidRPr="001A3FA2">
        <w:rPr>
          <w:rFonts w:ascii="Book Antiqua" w:hAnsi="Book Antiqua"/>
          <w:i/>
          <w:iCs/>
          <w:u w:val="single"/>
        </w:rPr>
        <w:t>sistemático</w:t>
      </w:r>
      <w:proofErr w:type="spellEnd"/>
      <w:r w:rsidR="001A3FA2" w:rsidRPr="001A3FA2">
        <w:rPr>
          <w:rFonts w:ascii="Book Antiqua" w:hAnsi="Book Antiqua"/>
          <w:i/>
          <w:iCs/>
          <w:u w:val="single"/>
        </w:rPr>
        <w:t xml:space="preserve"> de </w:t>
      </w:r>
      <w:proofErr w:type="spellStart"/>
      <w:r w:rsidR="001A3FA2" w:rsidRPr="001A3FA2">
        <w:rPr>
          <w:rFonts w:ascii="Book Antiqua" w:hAnsi="Book Antiqua"/>
          <w:i/>
          <w:iCs/>
          <w:u w:val="single"/>
        </w:rPr>
        <w:t>datos</w:t>
      </w:r>
      <w:proofErr w:type="spellEnd"/>
      <w:r w:rsidR="001A3FA2" w:rsidRPr="001A3FA2">
        <w:rPr>
          <w:rFonts w:ascii="Book Antiqua" w:hAnsi="Book Antiqua"/>
          <w:i/>
          <w:iCs/>
          <w:u w:val="single"/>
        </w:rPr>
        <w:t xml:space="preserve"> </w:t>
      </w:r>
      <w:proofErr w:type="spellStart"/>
      <w:r w:rsidR="001A3FA2" w:rsidRPr="001A3FA2">
        <w:rPr>
          <w:rFonts w:ascii="Book Antiqua" w:hAnsi="Book Antiqua"/>
          <w:i/>
          <w:iCs/>
          <w:u w:val="single"/>
        </w:rPr>
        <w:t>relacionados</w:t>
      </w:r>
      <w:proofErr w:type="spellEnd"/>
      <w:r w:rsidR="001A3FA2" w:rsidRPr="001A3FA2">
        <w:rPr>
          <w:rFonts w:ascii="Book Antiqua" w:hAnsi="Book Antiqua"/>
          <w:i/>
          <w:iCs/>
          <w:u w:val="single"/>
        </w:rPr>
        <w:t xml:space="preserve"> con la </w:t>
      </w:r>
      <w:proofErr w:type="spellStart"/>
      <w:r w:rsidR="001A3FA2" w:rsidRPr="001A3FA2">
        <w:rPr>
          <w:rFonts w:ascii="Book Antiqua" w:hAnsi="Book Antiqua"/>
          <w:i/>
          <w:iCs/>
          <w:u w:val="single"/>
        </w:rPr>
        <w:t>disponibilidad</w:t>
      </w:r>
      <w:proofErr w:type="spellEnd"/>
      <w:r w:rsidR="001A3FA2" w:rsidRPr="001A3FA2">
        <w:rPr>
          <w:rFonts w:ascii="Book Antiqua" w:hAnsi="Book Antiqua"/>
          <w:i/>
          <w:iCs/>
          <w:u w:val="single"/>
        </w:rPr>
        <w:t xml:space="preserve"> y </w:t>
      </w:r>
      <w:proofErr w:type="spellStart"/>
      <w:r w:rsidR="001A3FA2" w:rsidRPr="001A3FA2">
        <w:rPr>
          <w:rFonts w:ascii="Book Antiqua" w:hAnsi="Book Antiqua"/>
          <w:i/>
          <w:iCs/>
          <w:u w:val="single"/>
        </w:rPr>
        <w:t>el</w:t>
      </w:r>
      <w:proofErr w:type="spellEnd"/>
      <w:r w:rsidR="001A3FA2" w:rsidRPr="001A3FA2">
        <w:rPr>
          <w:rFonts w:ascii="Book Antiqua" w:hAnsi="Book Antiqua"/>
          <w:i/>
          <w:iCs/>
          <w:u w:val="single"/>
        </w:rPr>
        <w:t xml:space="preserve"> </w:t>
      </w:r>
      <w:proofErr w:type="spellStart"/>
      <w:r w:rsidR="001A3FA2" w:rsidRPr="001A3FA2">
        <w:rPr>
          <w:rFonts w:ascii="Book Antiqua" w:hAnsi="Book Antiqua"/>
          <w:i/>
          <w:iCs/>
          <w:u w:val="single"/>
        </w:rPr>
        <w:t>uso</w:t>
      </w:r>
      <w:proofErr w:type="spellEnd"/>
      <w:r w:rsidR="001A3FA2" w:rsidRPr="001A3FA2">
        <w:rPr>
          <w:rFonts w:ascii="Book Antiqua" w:hAnsi="Book Antiqua"/>
          <w:i/>
          <w:iCs/>
          <w:u w:val="single"/>
        </w:rPr>
        <w:t xml:space="preserve"> de </w:t>
      </w:r>
      <w:proofErr w:type="spellStart"/>
      <w:r w:rsidR="001A3FA2" w:rsidRPr="001A3FA2">
        <w:rPr>
          <w:rFonts w:ascii="Book Antiqua" w:hAnsi="Book Antiqua"/>
          <w:i/>
          <w:iCs/>
          <w:u w:val="single"/>
        </w:rPr>
        <w:t>torniquetes</w:t>
      </w:r>
      <w:proofErr w:type="spellEnd"/>
      <w:r w:rsidR="001A3FA2" w:rsidRPr="001A3FA2">
        <w:rPr>
          <w:rFonts w:ascii="Book Antiqua" w:hAnsi="Book Antiqua"/>
          <w:i/>
          <w:iCs/>
          <w:u w:val="single"/>
        </w:rPr>
        <w:t xml:space="preserve"> </w:t>
      </w:r>
      <w:proofErr w:type="spellStart"/>
      <w:r w:rsidR="001A3FA2" w:rsidRPr="001A3FA2">
        <w:rPr>
          <w:rFonts w:ascii="Book Antiqua" w:hAnsi="Book Antiqua"/>
          <w:i/>
          <w:iCs/>
          <w:u w:val="single"/>
        </w:rPr>
        <w:t>en</w:t>
      </w:r>
      <w:proofErr w:type="spellEnd"/>
      <w:r w:rsidR="001A3FA2" w:rsidRPr="001A3FA2">
        <w:rPr>
          <w:rFonts w:ascii="Book Antiqua" w:hAnsi="Book Antiqua"/>
          <w:i/>
          <w:iCs/>
          <w:u w:val="single"/>
        </w:rPr>
        <w:t xml:space="preserve"> </w:t>
      </w:r>
      <w:proofErr w:type="spellStart"/>
      <w:r w:rsidR="001A3FA2" w:rsidRPr="001A3FA2">
        <w:rPr>
          <w:rFonts w:ascii="Book Antiqua" w:hAnsi="Book Antiqua"/>
          <w:i/>
          <w:iCs/>
          <w:u w:val="single"/>
        </w:rPr>
        <w:t>agencias</w:t>
      </w:r>
      <w:proofErr w:type="spellEnd"/>
      <w:r w:rsidR="001A3FA2" w:rsidRPr="001A3FA2">
        <w:rPr>
          <w:rFonts w:ascii="Book Antiqua" w:hAnsi="Book Antiqua"/>
          <w:i/>
          <w:iCs/>
          <w:u w:val="single"/>
        </w:rPr>
        <w:t xml:space="preserve"> </w:t>
      </w:r>
      <w:proofErr w:type="spellStart"/>
      <w:r w:rsidR="001A3FA2" w:rsidRPr="001A3FA2">
        <w:rPr>
          <w:rFonts w:ascii="Book Antiqua" w:hAnsi="Book Antiqua"/>
          <w:i/>
          <w:iCs/>
          <w:u w:val="single"/>
        </w:rPr>
        <w:t>gubernamentales</w:t>
      </w:r>
      <w:proofErr w:type="spellEnd"/>
      <w:r w:rsidR="001A3FA2" w:rsidRPr="001A3FA2">
        <w:rPr>
          <w:rFonts w:ascii="Book Antiqua" w:hAnsi="Book Antiqua"/>
          <w:i/>
          <w:iCs/>
          <w:u w:val="single"/>
        </w:rPr>
        <w:t xml:space="preserve"> y </w:t>
      </w:r>
      <w:proofErr w:type="spellStart"/>
      <w:r w:rsidR="001A3FA2" w:rsidRPr="001A3FA2">
        <w:rPr>
          <w:rFonts w:ascii="Book Antiqua" w:hAnsi="Book Antiqua"/>
          <w:i/>
          <w:iCs/>
          <w:u w:val="single"/>
        </w:rPr>
        <w:t>escuelas</w:t>
      </w:r>
      <w:proofErr w:type="spellEnd"/>
      <w:r w:rsidR="001A3FA2" w:rsidRPr="001A3FA2">
        <w:rPr>
          <w:rFonts w:ascii="Book Antiqua" w:hAnsi="Book Antiqua"/>
          <w:i/>
          <w:iCs/>
          <w:u w:val="single"/>
        </w:rPr>
        <w:t xml:space="preserve"> </w:t>
      </w:r>
      <w:proofErr w:type="spellStart"/>
      <w:r w:rsidR="001A3FA2" w:rsidRPr="001A3FA2">
        <w:rPr>
          <w:rFonts w:ascii="Book Antiqua" w:hAnsi="Book Antiqua"/>
          <w:i/>
          <w:iCs/>
          <w:u w:val="single"/>
        </w:rPr>
        <w:t>públicas</w:t>
      </w:r>
      <w:proofErr w:type="spellEnd"/>
      <w:r w:rsidR="001A3FA2" w:rsidRPr="001A3FA2">
        <w:rPr>
          <w:rFonts w:ascii="Book Antiqua" w:hAnsi="Book Antiqua"/>
          <w:i/>
          <w:iCs/>
          <w:u w:val="single"/>
        </w:rPr>
        <w:t>.</w:t>
      </w:r>
      <w:r w:rsidR="00E61EF1">
        <w:rPr>
          <w:rFonts w:ascii="Book Antiqua" w:hAnsi="Book Antiqua"/>
          <w:i/>
          <w:iCs/>
          <w:u w:val="single"/>
        </w:rPr>
        <w:t xml:space="preserve"> El </w:t>
      </w:r>
      <w:proofErr w:type="spellStart"/>
      <w:r w:rsidR="00E61EF1">
        <w:rPr>
          <w:rFonts w:ascii="Book Antiqua" w:hAnsi="Book Antiqua"/>
          <w:i/>
          <w:iCs/>
          <w:u w:val="single"/>
        </w:rPr>
        <w:t>Registro</w:t>
      </w:r>
      <w:proofErr w:type="spellEnd"/>
      <w:r w:rsidR="00E61EF1">
        <w:rPr>
          <w:rFonts w:ascii="Book Antiqua" w:hAnsi="Book Antiqua"/>
          <w:i/>
          <w:iCs/>
          <w:u w:val="single"/>
        </w:rPr>
        <w:t xml:space="preserve"> </w:t>
      </w:r>
      <w:proofErr w:type="spellStart"/>
      <w:r w:rsidR="00E61EF1">
        <w:rPr>
          <w:rFonts w:ascii="Book Antiqua" w:hAnsi="Book Antiqua"/>
          <w:i/>
          <w:iCs/>
          <w:u w:val="single"/>
        </w:rPr>
        <w:t>servirá</w:t>
      </w:r>
      <w:proofErr w:type="spellEnd"/>
      <w:r w:rsidR="00E61EF1">
        <w:rPr>
          <w:rFonts w:ascii="Book Antiqua" w:hAnsi="Book Antiqua"/>
          <w:i/>
          <w:iCs/>
          <w:u w:val="single"/>
        </w:rPr>
        <w:t xml:space="preserve"> para </w:t>
      </w:r>
      <w:proofErr w:type="spellStart"/>
      <w:r w:rsidR="00E61EF1">
        <w:rPr>
          <w:rFonts w:ascii="Book Antiqua" w:hAnsi="Book Antiqua"/>
          <w:i/>
          <w:iCs/>
          <w:u w:val="single"/>
        </w:rPr>
        <w:t>el</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monitoreo</w:t>
      </w:r>
      <w:proofErr w:type="spellEnd"/>
      <w:r w:rsidR="00E61EF1" w:rsidRPr="00E61EF1">
        <w:rPr>
          <w:rFonts w:ascii="Book Antiqua" w:hAnsi="Book Antiqua"/>
          <w:i/>
          <w:iCs/>
          <w:u w:val="single"/>
        </w:rPr>
        <w:t xml:space="preserve"> de la </w:t>
      </w:r>
      <w:proofErr w:type="spellStart"/>
      <w:r w:rsidR="00E61EF1" w:rsidRPr="00E61EF1">
        <w:rPr>
          <w:rFonts w:ascii="Book Antiqua" w:hAnsi="Book Antiqua"/>
          <w:i/>
          <w:iCs/>
          <w:u w:val="single"/>
        </w:rPr>
        <w:t>incidencia</w:t>
      </w:r>
      <w:proofErr w:type="spellEnd"/>
      <w:r w:rsidR="00E61EF1" w:rsidRPr="00E61EF1">
        <w:rPr>
          <w:rFonts w:ascii="Book Antiqua" w:hAnsi="Book Antiqua"/>
          <w:i/>
          <w:iCs/>
          <w:u w:val="single"/>
        </w:rPr>
        <w:t xml:space="preserve"> de </w:t>
      </w:r>
      <w:proofErr w:type="spellStart"/>
      <w:r w:rsidR="00E61EF1" w:rsidRPr="00E61EF1">
        <w:rPr>
          <w:rFonts w:ascii="Book Antiqua" w:hAnsi="Book Antiqua"/>
          <w:i/>
          <w:iCs/>
          <w:u w:val="single"/>
        </w:rPr>
        <w:t>lesiones</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traumáticas</w:t>
      </w:r>
      <w:proofErr w:type="spellEnd"/>
      <w:r w:rsidR="00E61EF1" w:rsidRPr="00E61EF1">
        <w:rPr>
          <w:rFonts w:ascii="Book Antiqua" w:hAnsi="Book Antiqua"/>
          <w:i/>
          <w:iCs/>
          <w:u w:val="single"/>
        </w:rPr>
        <w:t xml:space="preserve"> y sus </w:t>
      </w:r>
      <w:proofErr w:type="spellStart"/>
      <w:r w:rsidR="00E61EF1" w:rsidRPr="00E61EF1">
        <w:rPr>
          <w:rFonts w:ascii="Book Antiqua" w:hAnsi="Book Antiqua"/>
          <w:i/>
          <w:iCs/>
          <w:u w:val="single"/>
        </w:rPr>
        <w:t>factores</w:t>
      </w:r>
      <w:proofErr w:type="spellEnd"/>
      <w:r w:rsidR="00E61EF1" w:rsidRPr="00E61EF1">
        <w:rPr>
          <w:rFonts w:ascii="Book Antiqua" w:hAnsi="Book Antiqua"/>
          <w:i/>
          <w:iCs/>
          <w:u w:val="single"/>
        </w:rPr>
        <w:t xml:space="preserve"> de </w:t>
      </w:r>
      <w:proofErr w:type="spellStart"/>
      <w:r w:rsidR="00E61EF1" w:rsidRPr="00E61EF1">
        <w:rPr>
          <w:rFonts w:ascii="Book Antiqua" w:hAnsi="Book Antiqua"/>
          <w:i/>
          <w:iCs/>
          <w:u w:val="single"/>
        </w:rPr>
        <w:t>riesgo</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lastRenderedPageBreak/>
        <w:t>apoyo</w:t>
      </w:r>
      <w:proofErr w:type="spellEnd"/>
      <w:r w:rsidR="00E61EF1" w:rsidRPr="00E61EF1">
        <w:rPr>
          <w:rFonts w:ascii="Book Antiqua" w:hAnsi="Book Antiqua"/>
          <w:i/>
          <w:iCs/>
          <w:u w:val="single"/>
        </w:rPr>
        <w:t xml:space="preserve"> a la </w:t>
      </w:r>
      <w:proofErr w:type="spellStart"/>
      <w:r w:rsidR="00E61EF1" w:rsidRPr="00E61EF1">
        <w:rPr>
          <w:rFonts w:ascii="Book Antiqua" w:hAnsi="Book Antiqua"/>
          <w:i/>
          <w:iCs/>
          <w:u w:val="single"/>
        </w:rPr>
        <w:t>investigación</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clínica</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sobre</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emergencias</w:t>
      </w:r>
      <w:proofErr w:type="spellEnd"/>
      <w:r w:rsidR="00E61EF1" w:rsidRPr="00E61EF1">
        <w:rPr>
          <w:rFonts w:ascii="Book Antiqua" w:hAnsi="Book Antiqua"/>
          <w:i/>
          <w:iCs/>
          <w:u w:val="single"/>
        </w:rPr>
        <w:t xml:space="preserve"> y </w:t>
      </w:r>
      <w:proofErr w:type="spellStart"/>
      <w:r w:rsidR="00E61EF1" w:rsidRPr="00E61EF1">
        <w:rPr>
          <w:rFonts w:ascii="Book Antiqua" w:hAnsi="Book Antiqua"/>
          <w:i/>
          <w:iCs/>
          <w:u w:val="single"/>
        </w:rPr>
        <w:t>primeros</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auxilios</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sustentar</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políticas</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públicas</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en</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salud</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pública</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planificación</w:t>
      </w:r>
      <w:proofErr w:type="spellEnd"/>
      <w:r w:rsidR="00E61EF1" w:rsidRPr="00E61EF1">
        <w:rPr>
          <w:rFonts w:ascii="Book Antiqua" w:hAnsi="Book Antiqua"/>
          <w:i/>
          <w:iCs/>
          <w:u w:val="single"/>
        </w:rPr>
        <w:t xml:space="preserve"> </w:t>
      </w:r>
      <w:proofErr w:type="spellStart"/>
      <w:r w:rsidR="00E61EF1" w:rsidRPr="00E61EF1">
        <w:rPr>
          <w:rFonts w:ascii="Book Antiqua" w:hAnsi="Book Antiqua"/>
          <w:i/>
          <w:iCs/>
          <w:u w:val="single"/>
        </w:rPr>
        <w:t>efectiva</w:t>
      </w:r>
      <w:proofErr w:type="spellEnd"/>
      <w:r w:rsidR="00E61EF1" w:rsidRPr="00E61EF1">
        <w:rPr>
          <w:rFonts w:ascii="Book Antiqua" w:hAnsi="Book Antiqua"/>
          <w:i/>
          <w:iCs/>
          <w:u w:val="single"/>
        </w:rPr>
        <w:t xml:space="preserve"> de</w:t>
      </w:r>
      <w:r w:rsidR="00CE3EF4">
        <w:rPr>
          <w:rFonts w:ascii="Book Antiqua" w:hAnsi="Book Antiqua"/>
          <w:i/>
          <w:iCs/>
          <w:u w:val="single"/>
        </w:rPr>
        <w:t xml:space="preserve"> </w:t>
      </w:r>
      <w:proofErr w:type="spellStart"/>
      <w:r w:rsidR="00CE3EF4" w:rsidRPr="00CE3EF4">
        <w:rPr>
          <w:rFonts w:ascii="Book Antiqua" w:hAnsi="Book Antiqua"/>
          <w:i/>
          <w:iCs/>
          <w:u w:val="single"/>
        </w:rPr>
        <w:t>programas</w:t>
      </w:r>
      <w:proofErr w:type="spellEnd"/>
      <w:r w:rsidR="00CE3EF4" w:rsidRPr="00CE3EF4">
        <w:rPr>
          <w:rFonts w:ascii="Book Antiqua" w:hAnsi="Book Antiqua"/>
          <w:i/>
          <w:iCs/>
          <w:u w:val="single"/>
        </w:rPr>
        <w:t xml:space="preserve"> y </w:t>
      </w:r>
      <w:proofErr w:type="spellStart"/>
      <w:r w:rsidR="00CE3EF4" w:rsidRPr="00CE3EF4">
        <w:rPr>
          <w:rFonts w:ascii="Book Antiqua" w:hAnsi="Book Antiqua"/>
          <w:i/>
          <w:iCs/>
          <w:u w:val="single"/>
        </w:rPr>
        <w:t>asignación</w:t>
      </w:r>
      <w:proofErr w:type="spellEnd"/>
      <w:r w:rsidR="00CE3EF4" w:rsidRPr="00CE3EF4">
        <w:rPr>
          <w:rFonts w:ascii="Book Antiqua" w:hAnsi="Book Antiqua"/>
          <w:i/>
          <w:iCs/>
          <w:u w:val="single"/>
        </w:rPr>
        <w:t xml:space="preserve"> </w:t>
      </w:r>
      <w:proofErr w:type="spellStart"/>
      <w:r w:rsidR="00CE3EF4" w:rsidRPr="00CE3EF4">
        <w:rPr>
          <w:rFonts w:ascii="Book Antiqua" w:hAnsi="Book Antiqua"/>
          <w:i/>
          <w:iCs/>
          <w:u w:val="single"/>
        </w:rPr>
        <w:t>adecuada</w:t>
      </w:r>
      <w:proofErr w:type="spellEnd"/>
      <w:r w:rsidR="00CE3EF4" w:rsidRPr="00CE3EF4">
        <w:rPr>
          <w:rFonts w:ascii="Book Antiqua" w:hAnsi="Book Antiqua"/>
          <w:i/>
          <w:iCs/>
          <w:u w:val="single"/>
        </w:rPr>
        <w:t xml:space="preserve"> de </w:t>
      </w:r>
      <w:proofErr w:type="spellStart"/>
      <w:r w:rsidR="00CE3EF4" w:rsidRPr="00CE3EF4">
        <w:rPr>
          <w:rFonts w:ascii="Book Antiqua" w:hAnsi="Book Antiqua"/>
          <w:i/>
          <w:iCs/>
          <w:u w:val="single"/>
        </w:rPr>
        <w:t>recursos</w:t>
      </w:r>
      <w:proofErr w:type="spellEnd"/>
      <w:r w:rsidR="00CE3EF4">
        <w:rPr>
          <w:rFonts w:ascii="Book Antiqua" w:hAnsi="Book Antiqua"/>
          <w:i/>
          <w:iCs/>
          <w:u w:val="single"/>
        </w:rPr>
        <w:t>.</w:t>
      </w:r>
    </w:p>
    <w:p w14:paraId="014A677F"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4.-Deber de Notificación en caso de cambio de información </w:t>
      </w:r>
    </w:p>
    <w:p w14:paraId="1E712005"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Será deber de toda Agencia o Escuela cualquier cambio de información provista en el Registro dentro de los quince (15) días siguientes.</w:t>
      </w:r>
    </w:p>
    <w:p w14:paraId="74E63216"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5.- Autorización y Facultades del Departamento de Salud</w:t>
      </w:r>
    </w:p>
    <w:p w14:paraId="210424DA" w14:textId="77777777" w:rsidR="00B74386"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Departamento de Salud queda autorizado y facultado para implantar esta ley</w:t>
      </w:r>
      <w:r w:rsidRPr="005A3E74">
        <w:rPr>
          <w:rFonts w:ascii="Book Antiqua" w:hAnsi="Book Antiqua"/>
          <w:lang w:val="es-PR"/>
        </w:rPr>
        <w:t>;</w:t>
      </w:r>
      <w:r>
        <w:rPr>
          <w:rFonts w:ascii="Book Antiqua" w:hAnsi="Book Antiqua"/>
          <w:lang w:val="es-PR"/>
        </w:rPr>
        <w:t xml:space="preserve"> y velar por su fiel y cabal cumplimiento.</w:t>
      </w:r>
    </w:p>
    <w:p w14:paraId="3E1C6C44" w14:textId="2DE0D5AA" w:rsidR="00BD127C" w:rsidRPr="00B56BC5" w:rsidRDefault="00EC51DE"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004F6C16">
        <w:rPr>
          <w:rFonts w:ascii="Book Antiqua" w:hAnsi="Book Antiqua"/>
          <w:lang w:val="es-PR"/>
        </w:rPr>
        <w:t xml:space="preserve"> </w:t>
      </w:r>
      <w:r w:rsidR="00FA7E89" w:rsidRPr="00FA7E89">
        <w:rPr>
          <w:rFonts w:ascii="Book Antiqua" w:hAnsi="Book Antiqua"/>
          <w:i/>
          <w:iCs/>
          <w:u w:val="single"/>
        </w:rPr>
        <w:t xml:space="preserve">Cada </w:t>
      </w:r>
      <w:proofErr w:type="spellStart"/>
      <w:r w:rsidR="00FA7E89" w:rsidRPr="00FA7E89">
        <w:rPr>
          <w:rFonts w:ascii="Book Antiqua" w:hAnsi="Book Antiqua"/>
          <w:i/>
          <w:iCs/>
          <w:u w:val="single"/>
        </w:rPr>
        <w:t>agencia</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gubernamental</w:t>
      </w:r>
      <w:proofErr w:type="spellEnd"/>
      <w:r w:rsidR="00FA7E89" w:rsidRPr="00FA7E89">
        <w:rPr>
          <w:rFonts w:ascii="Book Antiqua" w:hAnsi="Book Antiqua"/>
          <w:i/>
          <w:iCs/>
          <w:u w:val="single"/>
        </w:rPr>
        <w:t xml:space="preserve"> y </w:t>
      </w:r>
      <w:proofErr w:type="spellStart"/>
      <w:r w:rsidR="00FA7E89" w:rsidRPr="00FA7E89">
        <w:rPr>
          <w:rFonts w:ascii="Book Antiqua" w:hAnsi="Book Antiqua"/>
          <w:i/>
          <w:iCs/>
          <w:u w:val="single"/>
        </w:rPr>
        <w:t>escuela</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pública</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será</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responsable</w:t>
      </w:r>
      <w:proofErr w:type="spellEnd"/>
      <w:r w:rsidR="00FA7E89" w:rsidRPr="00FA7E89">
        <w:rPr>
          <w:rFonts w:ascii="Book Antiqua" w:hAnsi="Book Antiqua"/>
          <w:i/>
          <w:iCs/>
          <w:u w:val="single"/>
        </w:rPr>
        <w:t xml:space="preserve"> de la </w:t>
      </w:r>
      <w:proofErr w:type="spellStart"/>
      <w:r w:rsidR="00FA7E89" w:rsidRPr="00FA7E89">
        <w:rPr>
          <w:rFonts w:ascii="Book Antiqua" w:hAnsi="Book Antiqua"/>
          <w:i/>
          <w:iCs/>
          <w:u w:val="single"/>
        </w:rPr>
        <w:t>adquisición</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mantenimiento</w:t>
      </w:r>
      <w:proofErr w:type="spellEnd"/>
      <w:r w:rsidR="00FA7E89" w:rsidRPr="00FA7E89">
        <w:rPr>
          <w:rFonts w:ascii="Book Antiqua" w:hAnsi="Book Antiqua"/>
          <w:i/>
          <w:iCs/>
          <w:u w:val="single"/>
        </w:rPr>
        <w:t xml:space="preserve"> y </w:t>
      </w:r>
      <w:proofErr w:type="spellStart"/>
      <w:r w:rsidR="00FA7E89" w:rsidRPr="00FA7E89">
        <w:rPr>
          <w:rFonts w:ascii="Book Antiqua" w:hAnsi="Book Antiqua"/>
          <w:i/>
          <w:iCs/>
          <w:u w:val="single"/>
        </w:rPr>
        <w:t>sustitución</w:t>
      </w:r>
      <w:proofErr w:type="spellEnd"/>
      <w:r w:rsidR="00FA7E89" w:rsidRPr="00FA7E89">
        <w:rPr>
          <w:rFonts w:ascii="Book Antiqua" w:hAnsi="Book Antiqua"/>
          <w:i/>
          <w:iCs/>
          <w:u w:val="single"/>
        </w:rPr>
        <w:t xml:space="preserve"> de </w:t>
      </w:r>
      <w:proofErr w:type="spellStart"/>
      <w:r w:rsidR="00FA7E89" w:rsidRPr="00FA7E89">
        <w:rPr>
          <w:rFonts w:ascii="Book Antiqua" w:hAnsi="Book Antiqua"/>
          <w:i/>
          <w:iCs/>
          <w:u w:val="single"/>
        </w:rPr>
        <w:t>los</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torniquetes</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requeridos</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por</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esta</w:t>
      </w:r>
      <w:proofErr w:type="spellEnd"/>
      <w:r w:rsidR="00FA7E89" w:rsidRPr="00FA7E89">
        <w:rPr>
          <w:rFonts w:ascii="Book Antiqua" w:hAnsi="Book Antiqua"/>
          <w:i/>
          <w:iCs/>
          <w:u w:val="single"/>
        </w:rPr>
        <w:t xml:space="preserve"> Ley. En </w:t>
      </w:r>
      <w:proofErr w:type="spellStart"/>
      <w:r w:rsidR="00FA7E89" w:rsidRPr="00FA7E89">
        <w:rPr>
          <w:rFonts w:ascii="Book Antiqua" w:hAnsi="Book Antiqua"/>
          <w:i/>
          <w:iCs/>
          <w:u w:val="single"/>
        </w:rPr>
        <w:t>caso</w:t>
      </w:r>
      <w:proofErr w:type="spellEnd"/>
      <w:r w:rsidR="00FA7E89" w:rsidRPr="00FA7E89">
        <w:rPr>
          <w:rFonts w:ascii="Book Antiqua" w:hAnsi="Book Antiqua"/>
          <w:i/>
          <w:iCs/>
          <w:u w:val="single"/>
        </w:rPr>
        <w:t xml:space="preserve"> de no </w:t>
      </w:r>
      <w:proofErr w:type="spellStart"/>
      <w:r w:rsidR="00FA7E89" w:rsidRPr="00FA7E89">
        <w:rPr>
          <w:rFonts w:ascii="Book Antiqua" w:hAnsi="Book Antiqua"/>
          <w:i/>
          <w:iCs/>
          <w:u w:val="single"/>
        </w:rPr>
        <w:t>contar</w:t>
      </w:r>
      <w:proofErr w:type="spellEnd"/>
      <w:r w:rsidR="00FA7E89" w:rsidRPr="00FA7E89">
        <w:rPr>
          <w:rFonts w:ascii="Book Antiqua" w:hAnsi="Book Antiqua"/>
          <w:i/>
          <w:iCs/>
          <w:u w:val="single"/>
        </w:rPr>
        <w:t xml:space="preserve"> con </w:t>
      </w:r>
      <w:proofErr w:type="spellStart"/>
      <w:r w:rsidR="00FA7E89" w:rsidRPr="00FA7E89">
        <w:rPr>
          <w:rFonts w:ascii="Book Antiqua" w:hAnsi="Book Antiqua"/>
          <w:i/>
          <w:iCs/>
          <w:u w:val="single"/>
        </w:rPr>
        <w:t>los</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fondos</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necesarios</w:t>
      </w:r>
      <w:proofErr w:type="spellEnd"/>
      <w:r w:rsidR="00FA7E89" w:rsidRPr="00FA7E89">
        <w:rPr>
          <w:rFonts w:ascii="Book Antiqua" w:hAnsi="Book Antiqua"/>
          <w:i/>
          <w:iCs/>
          <w:u w:val="single"/>
        </w:rPr>
        <w:t xml:space="preserve"> para </w:t>
      </w:r>
      <w:proofErr w:type="spellStart"/>
      <w:r w:rsidR="00FA7E89" w:rsidRPr="00FA7E89">
        <w:rPr>
          <w:rFonts w:ascii="Book Antiqua" w:hAnsi="Book Antiqua"/>
          <w:i/>
          <w:iCs/>
          <w:u w:val="single"/>
        </w:rPr>
        <w:t>adquirir</w:t>
      </w:r>
      <w:proofErr w:type="spellEnd"/>
      <w:r w:rsidR="00FA7E89" w:rsidRPr="00FA7E89">
        <w:rPr>
          <w:rFonts w:ascii="Book Antiqua" w:hAnsi="Book Antiqua"/>
          <w:i/>
          <w:iCs/>
          <w:u w:val="single"/>
        </w:rPr>
        <w:t xml:space="preserve"> o </w:t>
      </w:r>
      <w:proofErr w:type="spellStart"/>
      <w:r w:rsidR="00FA7E89" w:rsidRPr="00FA7E89">
        <w:rPr>
          <w:rFonts w:ascii="Book Antiqua" w:hAnsi="Book Antiqua"/>
          <w:i/>
          <w:iCs/>
          <w:u w:val="single"/>
        </w:rPr>
        <w:t>reemplazar</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estos</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instrumentos</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médicos</w:t>
      </w:r>
      <w:proofErr w:type="spellEnd"/>
      <w:r w:rsidR="00FA7E89" w:rsidRPr="00FA7E89">
        <w:rPr>
          <w:rFonts w:ascii="Book Antiqua" w:hAnsi="Book Antiqua"/>
          <w:i/>
          <w:iCs/>
          <w:u w:val="single"/>
        </w:rPr>
        <w:t xml:space="preserve">, la </w:t>
      </w:r>
      <w:proofErr w:type="spellStart"/>
      <w:r w:rsidR="00FA7E89" w:rsidRPr="00FA7E89">
        <w:rPr>
          <w:rFonts w:ascii="Book Antiqua" w:hAnsi="Book Antiqua"/>
          <w:i/>
          <w:iCs/>
          <w:u w:val="single"/>
        </w:rPr>
        <w:t>entidad</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correspondiente</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deberá</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certificar</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formalmente</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dicha</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insuficiencia</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presupuestaria</w:t>
      </w:r>
      <w:proofErr w:type="spellEnd"/>
      <w:r w:rsidR="00FA7E89" w:rsidRPr="00FA7E89">
        <w:rPr>
          <w:rFonts w:ascii="Book Antiqua" w:hAnsi="Book Antiqua"/>
          <w:i/>
          <w:iCs/>
          <w:u w:val="single"/>
        </w:rPr>
        <w:t xml:space="preserve"> ante </w:t>
      </w:r>
      <w:proofErr w:type="spellStart"/>
      <w:r w:rsidR="00FA7E89" w:rsidRPr="00FA7E89">
        <w:rPr>
          <w:rFonts w:ascii="Book Antiqua" w:hAnsi="Book Antiqua"/>
          <w:i/>
          <w:iCs/>
          <w:u w:val="single"/>
        </w:rPr>
        <w:t>el</w:t>
      </w:r>
      <w:proofErr w:type="spellEnd"/>
      <w:r w:rsidR="00FA7E89" w:rsidRPr="00FA7E89">
        <w:rPr>
          <w:rFonts w:ascii="Book Antiqua" w:hAnsi="Book Antiqua"/>
          <w:i/>
          <w:iCs/>
          <w:u w:val="single"/>
        </w:rPr>
        <w:t xml:space="preserve"> Departamento de Salud. Al </w:t>
      </w:r>
      <w:proofErr w:type="spellStart"/>
      <w:r w:rsidR="00FA7E89" w:rsidRPr="00FA7E89">
        <w:rPr>
          <w:rFonts w:ascii="Book Antiqua" w:hAnsi="Book Antiqua"/>
          <w:i/>
          <w:iCs/>
          <w:u w:val="single"/>
        </w:rPr>
        <w:t>realizar</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esta</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certificación</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quedará</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exenta</w:t>
      </w:r>
      <w:proofErr w:type="spellEnd"/>
      <w:r w:rsidR="00FA7E89" w:rsidRPr="00FA7E89">
        <w:rPr>
          <w:rFonts w:ascii="Book Antiqua" w:hAnsi="Book Antiqua"/>
          <w:i/>
          <w:iCs/>
          <w:u w:val="single"/>
        </w:rPr>
        <w:t xml:space="preserve"> de la </w:t>
      </w:r>
      <w:proofErr w:type="spellStart"/>
      <w:r w:rsidR="00FA7E89" w:rsidRPr="00FA7E89">
        <w:rPr>
          <w:rFonts w:ascii="Book Antiqua" w:hAnsi="Book Antiqua"/>
          <w:i/>
          <w:iCs/>
          <w:u w:val="single"/>
        </w:rPr>
        <w:t>imposición</w:t>
      </w:r>
      <w:proofErr w:type="spellEnd"/>
      <w:r w:rsidR="00FA7E89" w:rsidRPr="00FA7E89">
        <w:rPr>
          <w:rFonts w:ascii="Book Antiqua" w:hAnsi="Book Antiqua"/>
          <w:i/>
          <w:iCs/>
          <w:u w:val="single"/>
        </w:rPr>
        <w:t xml:space="preserve"> de </w:t>
      </w:r>
      <w:proofErr w:type="spellStart"/>
      <w:r w:rsidR="00FA7E89" w:rsidRPr="00FA7E89">
        <w:rPr>
          <w:rFonts w:ascii="Book Antiqua" w:hAnsi="Book Antiqua"/>
          <w:i/>
          <w:iCs/>
          <w:u w:val="single"/>
        </w:rPr>
        <w:t>multas</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por</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incumplimiento</w:t>
      </w:r>
      <w:proofErr w:type="spellEnd"/>
      <w:r w:rsidR="00FA7E89" w:rsidRPr="00FA7E89">
        <w:rPr>
          <w:rFonts w:ascii="Book Antiqua" w:hAnsi="Book Antiqua"/>
          <w:i/>
          <w:iCs/>
          <w:u w:val="single"/>
        </w:rPr>
        <w:t xml:space="preserve"> temporal. No obstante, </w:t>
      </w:r>
      <w:proofErr w:type="spellStart"/>
      <w:r w:rsidR="00FA7E89" w:rsidRPr="00FA7E89">
        <w:rPr>
          <w:rFonts w:ascii="Book Antiqua" w:hAnsi="Book Antiqua"/>
          <w:i/>
          <w:iCs/>
          <w:u w:val="single"/>
        </w:rPr>
        <w:t>deberá</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presentar</w:t>
      </w:r>
      <w:proofErr w:type="spellEnd"/>
      <w:r w:rsidR="00FA7E89" w:rsidRPr="00FA7E89">
        <w:rPr>
          <w:rFonts w:ascii="Book Antiqua" w:hAnsi="Book Antiqua"/>
          <w:i/>
          <w:iCs/>
          <w:u w:val="single"/>
        </w:rPr>
        <w:t xml:space="preserve"> ante </w:t>
      </w:r>
      <w:proofErr w:type="spellStart"/>
      <w:r w:rsidR="00FA7E89" w:rsidRPr="00FA7E89">
        <w:rPr>
          <w:rFonts w:ascii="Book Antiqua" w:hAnsi="Book Antiqua"/>
          <w:i/>
          <w:iCs/>
          <w:u w:val="single"/>
        </w:rPr>
        <w:t>el</w:t>
      </w:r>
      <w:proofErr w:type="spellEnd"/>
      <w:r w:rsidR="00FA7E89" w:rsidRPr="00FA7E89">
        <w:rPr>
          <w:rFonts w:ascii="Book Antiqua" w:hAnsi="Book Antiqua"/>
          <w:i/>
          <w:iCs/>
          <w:u w:val="single"/>
        </w:rPr>
        <w:t xml:space="preserve"> Departamento un plan </w:t>
      </w:r>
      <w:proofErr w:type="spellStart"/>
      <w:r w:rsidR="00FA7E89" w:rsidRPr="00FA7E89">
        <w:rPr>
          <w:rFonts w:ascii="Book Antiqua" w:hAnsi="Book Antiqua"/>
          <w:i/>
          <w:iCs/>
          <w:u w:val="single"/>
        </w:rPr>
        <w:t>detallado</w:t>
      </w:r>
      <w:proofErr w:type="spellEnd"/>
      <w:r w:rsidR="00FA7E89" w:rsidRPr="00FA7E89">
        <w:rPr>
          <w:rFonts w:ascii="Book Antiqua" w:hAnsi="Book Antiqua"/>
          <w:i/>
          <w:iCs/>
          <w:u w:val="single"/>
        </w:rPr>
        <w:t xml:space="preserve"> que </w:t>
      </w:r>
      <w:proofErr w:type="spellStart"/>
      <w:r w:rsidR="00FA7E89" w:rsidRPr="00FA7E89">
        <w:rPr>
          <w:rFonts w:ascii="Book Antiqua" w:hAnsi="Book Antiqua"/>
          <w:i/>
          <w:iCs/>
          <w:u w:val="single"/>
        </w:rPr>
        <w:t>establezca</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cómo</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cumplirá</w:t>
      </w:r>
      <w:proofErr w:type="spellEnd"/>
      <w:r w:rsidR="00FA7E89" w:rsidRPr="00FA7E89">
        <w:rPr>
          <w:rFonts w:ascii="Book Antiqua" w:hAnsi="Book Antiqua"/>
          <w:i/>
          <w:iCs/>
          <w:u w:val="single"/>
        </w:rPr>
        <w:t xml:space="preserve"> con </w:t>
      </w:r>
      <w:proofErr w:type="spellStart"/>
      <w:r w:rsidR="00FA7E89" w:rsidRPr="00FA7E89">
        <w:rPr>
          <w:rFonts w:ascii="Book Antiqua" w:hAnsi="Book Antiqua"/>
          <w:i/>
          <w:iCs/>
          <w:u w:val="single"/>
        </w:rPr>
        <w:t>los</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requisitos</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mínimos</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dispuestos</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por</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esta</w:t>
      </w:r>
      <w:proofErr w:type="spellEnd"/>
      <w:r w:rsidR="00FA7E89" w:rsidRPr="00FA7E89">
        <w:rPr>
          <w:rFonts w:ascii="Book Antiqua" w:hAnsi="Book Antiqua"/>
          <w:i/>
          <w:iCs/>
          <w:u w:val="single"/>
        </w:rPr>
        <w:t xml:space="preserve"> Ley </w:t>
      </w:r>
      <w:proofErr w:type="spellStart"/>
      <w:r w:rsidR="00FA7E89" w:rsidRPr="00FA7E89">
        <w:rPr>
          <w:rFonts w:ascii="Book Antiqua" w:hAnsi="Book Antiqua"/>
          <w:i/>
          <w:iCs/>
          <w:u w:val="single"/>
        </w:rPr>
        <w:t>durante</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el</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próximo</w:t>
      </w:r>
      <w:proofErr w:type="spellEnd"/>
      <w:r w:rsidR="00FA7E89" w:rsidRPr="00FA7E89">
        <w:rPr>
          <w:rFonts w:ascii="Book Antiqua" w:hAnsi="Book Antiqua"/>
          <w:i/>
          <w:iCs/>
          <w:u w:val="single"/>
        </w:rPr>
        <w:t xml:space="preserve"> </w:t>
      </w:r>
      <w:proofErr w:type="spellStart"/>
      <w:r w:rsidR="00FA7E89" w:rsidRPr="00FA7E89">
        <w:rPr>
          <w:rFonts w:ascii="Book Antiqua" w:hAnsi="Book Antiqua"/>
          <w:i/>
          <w:iCs/>
          <w:u w:val="single"/>
        </w:rPr>
        <w:t>año</w:t>
      </w:r>
      <w:proofErr w:type="spellEnd"/>
      <w:r w:rsidR="00FA7E89" w:rsidRPr="00FA7E89">
        <w:rPr>
          <w:rFonts w:ascii="Book Antiqua" w:hAnsi="Book Antiqua"/>
          <w:i/>
          <w:iCs/>
          <w:u w:val="single"/>
        </w:rPr>
        <w:t xml:space="preserve"> fiscal.</w:t>
      </w:r>
    </w:p>
    <w:p w14:paraId="63724F15"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6.- Secretario del Departamento de Salud</w:t>
      </w:r>
    </w:p>
    <w:p w14:paraId="3350C56D" w14:textId="04F6C15A"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Secretario del Departamento de Salud queda facultado y autorizado para promulgar la reglamentación necesaria y establecer aquellas medidas necesarias dirigidas a lograr los propósitos de esta Ley.  Los Reglamentos promulgados deberán radicarse en el Departamento de Estado dentro de </w:t>
      </w:r>
      <w:r w:rsidRPr="007A0C7F">
        <w:rPr>
          <w:rFonts w:ascii="Book Antiqua" w:hAnsi="Book Antiqua"/>
          <w:strike/>
          <w:lang w:val="es-PR"/>
        </w:rPr>
        <w:t>noventa (90)</w:t>
      </w:r>
      <w:r>
        <w:rPr>
          <w:rFonts w:ascii="Book Antiqua" w:hAnsi="Book Antiqua"/>
          <w:lang w:val="es-PR"/>
        </w:rPr>
        <w:t xml:space="preserve"> </w:t>
      </w:r>
      <w:r w:rsidR="007A0C7F">
        <w:rPr>
          <w:rFonts w:ascii="Book Antiqua" w:hAnsi="Book Antiqua"/>
          <w:lang w:val="es-PR"/>
        </w:rPr>
        <w:t xml:space="preserve"> </w:t>
      </w:r>
      <w:r w:rsidR="007A0C7F" w:rsidRPr="007A0C7F">
        <w:rPr>
          <w:rFonts w:ascii="Book Antiqua" w:hAnsi="Book Antiqua"/>
          <w:i/>
          <w:iCs/>
          <w:u w:val="single"/>
          <w:lang w:val="es-PR"/>
        </w:rPr>
        <w:t>ciento ochenta (180)</w:t>
      </w:r>
      <w:r w:rsidR="007A0C7F">
        <w:rPr>
          <w:rFonts w:ascii="Book Antiqua" w:hAnsi="Book Antiqua"/>
          <w:lang w:val="es-PR"/>
        </w:rPr>
        <w:t xml:space="preserve">  </w:t>
      </w:r>
      <w:r>
        <w:rPr>
          <w:rFonts w:ascii="Book Antiqua" w:hAnsi="Book Antiqua"/>
          <w:lang w:val="es-PR"/>
        </w:rPr>
        <w:t>días luego de haberse aprobado esta Ley.</w:t>
      </w:r>
    </w:p>
    <w:p w14:paraId="3CB2B68C"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lastRenderedPageBreak/>
        <w:t xml:space="preserve">            Artículo 7.- Reglamentos</w:t>
      </w:r>
    </w:p>
    <w:p w14:paraId="2F11EB6F"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Secretario del Departamento de Salud deberá, dentro de los noventa (90) días siguientes a la vigencia de esta Ley, adoptar las Reglas y Reglamentos necesarios para poner en vigor normas razonables y proporcionales que aseguren la disponibilidad y acceso de los torniquetes en Agencias Gubernamentales y Escuelas Públicas del País.  De igual forma, el Secretario deberá revisar periódicamente las referidas Reglas y Reglamentos, para que éstas cumplan con cualquier enmienda que se le haga a esta Ley.</w:t>
      </w:r>
    </w:p>
    <w:p w14:paraId="5D81BB3E"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8.- Penalidades </w:t>
      </w:r>
    </w:p>
    <w:p w14:paraId="54F92306" w14:textId="7CF216A4" w:rsidR="00BD127C" w:rsidRPr="008A0DF7" w:rsidRDefault="00BD127C" w:rsidP="00BD127C">
      <w:pPr>
        <w:tabs>
          <w:tab w:val="left" w:pos="7560"/>
          <w:tab w:val="left" w:pos="7920"/>
        </w:tabs>
        <w:autoSpaceDE w:val="0"/>
        <w:autoSpaceDN w:val="0"/>
        <w:adjustRightInd w:val="0"/>
        <w:spacing w:line="480" w:lineRule="auto"/>
        <w:jc w:val="both"/>
        <w:rPr>
          <w:rFonts w:ascii="Book Antiqua" w:hAnsi="Book Antiqua"/>
          <w:i/>
          <w:iCs/>
          <w:strike/>
          <w:u w:val="single"/>
          <w:lang w:val="es-PR"/>
        </w:rPr>
      </w:pPr>
      <w:r>
        <w:rPr>
          <w:rFonts w:ascii="Book Antiqua" w:hAnsi="Book Antiqua"/>
          <w:lang w:val="es-PR"/>
        </w:rPr>
        <w:t xml:space="preserve">            </w:t>
      </w:r>
      <w:r w:rsidRPr="00AD1832">
        <w:rPr>
          <w:rFonts w:ascii="Book Antiqua" w:hAnsi="Book Antiqua"/>
          <w:strike/>
          <w:lang w:val="es-PR"/>
        </w:rPr>
        <w:t>En caso de una primera infracción a lo establecido en esta ley, la Agencia o la Escuela será notificado formalmente por el Secretario del Departamento de Salud sobre las multas que incurrirá por infracciones posteriores.  En caso de una subsiguiente infracción, el Secretario de Salud, le impondrá una multa de cien dólares con 00/100 centavos ($100.00</w:t>
      </w:r>
      <w:r w:rsidRPr="008A0DF7">
        <w:rPr>
          <w:rFonts w:ascii="Book Antiqua" w:hAnsi="Book Antiqua"/>
          <w:lang w:val="es-PR"/>
        </w:rPr>
        <w:t xml:space="preserve">).  </w:t>
      </w:r>
      <w:r w:rsidR="008A0DF7" w:rsidRPr="008A0DF7">
        <w:rPr>
          <w:rFonts w:ascii="Book Antiqua" w:hAnsi="Book Antiqua"/>
          <w:i/>
          <w:iCs/>
          <w:u w:val="single"/>
          <w:lang w:val="es-PR"/>
        </w:rPr>
        <w:t>En caso de una primera infracción a lo dispuesto en esta Ley, el Secretario del Departamento de Salud notificará formalmente a la agencia gubernamental o escuela pública correspondiente sobre el incumplimiento detectado y le advertirá sobre la imposición de multas en caso de futuras infracciones. Ante cualquier infracción subsiguiente, el Secretario de Salud impondrá una multa administrativa ascendente a cien dólares ($100.00) por cada incidente adicional en violación a esta Ley.</w:t>
      </w:r>
    </w:p>
    <w:p w14:paraId="74C16D6D"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9.-Contabilización de Fondos</w:t>
      </w:r>
    </w:p>
    <w:p w14:paraId="3B8FDD0B"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Las multas administrativas se pagarán mediante cheque certificado o giro bancario o postal a nombre del Secretario de Hacienda.  Las cantidades recaudadas por este concepto ingresarán estrictamente al uso del Hospital Cuidado Agudo Especializado en </w:t>
      </w:r>
      <w:r>
        <w:rPr>
          <w:rFonts w:ascii="Book Antiqua" w:hAnsi="Book Antiqua"/>
          <w:lang w:val="es-PR"/>
        </w:rPr>
        <w:lastRenderedPageBreak/>
        <w:t>Pacientes Politraumatizados (Hospital de Trauma) adscrito al Departamento de Salud del Estado Libre Asociado de Puerto Rico.  Esto, con el fin exclusivo de desarrollar y mantener el Nivel 1 del Comité de Trauma del Colegio Americano de Cirujanos.</w:t>
      </w:r>
    </w:p>
    <w:p w14:paraId="191FBEF3"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10.- Cláusula de Separabilidad</w:t>
      </w:r>
    </w:p>
    <w:p w14:paraId="71ED1C7B"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Si cualquier disposición, parte, inciso o artículo de esta Ley fuera declarada inconstitucional por un tribunal competente, la sentencia a tal efecto dictada se limitará a la disposición, parte, inciso o artículo declarado inconstitucional y no afectará ni invalidará al resto de las disposiciones de esta ley.</w:t>
      </w:r>
    </w:p>
    <w:p w14:paraId="306AA155" w14:textId="77777777" w:rsidR="00BD127C" w:rsidRDefault="00BD127C" w:rsidP="00BD127C">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11.-Vigencia</w:t>
      </w:r>
    </w:p>
    <w:p w14:paraId="7ABC0DEE" w14:textId="5B4151F9" w:rsidR="00A73A1A" w:rsidRPr="00BD127C" w:rsidRDefault="00BD127C" w:rsidP="003F1DC1">
      <w:pPr>
        <w:tabs>
          <w:tab w:val="left" w:pos="7560"/>
          <w:tab w:val="left" w:pos="7920"/>
        </w:tabs>
        <w:autoSpaceDE w:val="0"/>
        <w:autoSpaceDN w:val="0"/>
        <w:adjustRightInd w:val="0"/>
        <w:spacing w:line="480" w:lineRule="auto"/>
        <w:jc w:val="both"/>
        <w:rPr>
          <w:lang w:val="es-PR"/>
        </w:rPr>
      </w:pPr>
      <w:r>
        <w:rPr>
          <w:rFonts w:ascii="Book Antiqua" w:hAnsi="Book Antiqua"/>
          <w:lang w:val="es-PR"/>
        </w:rPr>
        <w:t xml:space="preserve">            Esta Ley entrará en vigor inmediatamente después de su aprobació</w:t>
      </w:r>
      <w:r w:rsidR="003F1DC1">
        <w:rPr>
          <w:rFonts w:ascii="Book Antiqua" w:hAnsi="Book Antiqua"/>
          <w:lang w:val="es-PR"/>
        </w:rPr>
        <w:t>n.</w:t>
      </w:r>
    </w:p>
    <w:sectPr w:rsidR="00A73A1A" w:rsidRPr="00BD127C" w:rsidSect="00A56E42">
      <w:headerReference w:type="even" r:id="rId7"/>
      <w:headerReference w:type="default" r:id="rId8"/>
      <w:foot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72D1B" w14:textId="77777777" w:rsidR="00A279FA" w:rsidRDefault="00A279FA" w:rsidP="00BD127C">
      <w:r>
        <w:separator/>
      </w:r>
    </w:p>
  </w:endnote>
  <w:endnote w:type="continuationSeparator" w:id="0">
    <w:p w14:paraId="10662B91" w14:textId="77777777" w:rsidR="00A279FA" w:rsidRDefault="00A279FA" w:rsidP="00BD1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3A431" w14:textId="165E992B" w:rsidR="009F0BED" w:rsidRDefault="009F0BED">
    <w:pPr>
      <w:pStyle w:val="Footer"/>
      <w:jc w:val="center"/>
    </w:pPr>
  </w:p>
  <w:p w14:paraId="292279B2" w14:textId="77777777" w:rsidR="009F0BED" w:rsidRDefault="009F0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1CBF7" w14:textId="77777777" w:rsidR="00A279FA" w:rsidRDefault="00A279FA" w:rsidP="00BD127C">
      <w:r>
        <w:separator/>
      </w:r>
    </w:p>
  </w:footnote>
  <w:footnote w:type="continuationSeparator" w:id="0">
    <w:p w14:paraId="1B6DD2D1" w14:textId="77777777" w:rsidR="00A279FA" w:rsidRDefault="00A279FA" w:rsidP="00BD1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A5DA2" w14:textId="77777777" w:rsidR="00BD127C" w:rsidRDefault="00BD127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13</w:t>
    </w:r>
    <w:r>
      <w:rPr>
        <w:rStyle w:val="PageNumber"/>
        <w:rFonts w:eastAsiaTheme="majorEastAsia"/>
      </w:rPr>
      <w:fldChar w:fldCharType="end"/>
    </w:r>
  </w:p>
  <w:p w14:paraId="10D6EC9E" w14:textId="77777777" w:rsidR="00BD127C" w:rsidRDefault="00BD12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4264396"/>
      <w:docPartObj>
        <w:docPartGallery w:val="Page Numbers (Top of Page)"/>
        <w:docPartUnique/>
      </w:docPartObj>
    </w:sdtPr>
    <w:sdtEndPr>
      <w:rPr>
        <w:noProof/>
      </w:rPr>
    </w:sdtEndPr>
    <w:sdtContent>
      <w:p w14:paraId="26D20635" w14:textId="69746EE9" w:rsidR="00A56E42" w:rsidRDefault="00A56E4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798946C" w14:textId="77777777" w:rsidR="00A56E42" w:rsidRDefault="00A56E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A4D1F"/>
    <w:multiLevelType w:val="hybridMultilevel"/>
    <w:tmpl w:val="2A6E2816"/>
    <w:lvl w:ilvl="0" w:tplc="CD04CBDC">
      <w:start w:val="1"/>
      <w:numFmt w:val="low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16cid:durableId="1444031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27C"/>
    <w:rsid w:val="000808A6"/>
    <w:rsid w:val="000D6A94"/>
    <w:rsid w:val="00110A51"/>
    <w:rsid w:val="00147AF5"/>
    <w:rsid w:val="001A3FA2"/>
    <w:rsid w:val="001B2219"/>
    <w:rsid w:val="001B23F9"/>
    <w:rsid w:val="002366CB"/>
    <w:rsid w:val="00362A1E"/>
    <w:rsid w:val="003F1DC1"/>
    <w:rsid w:val="00496FED"/>
    <w:rsid w:val="004F6C16"/>
    <w:rsid w:val="00532EA5"/>
    <w:rsid w:val="005B73A1"/>
    <w:rsid w:val="005D66A7"/>
    <w:rsid w:val="00755DB8"/>
    <w:rsid w:val="00773329"/>
    <w:rsid w:val="007A0C7F"/>
    <w:rsid w:val="008A0DF7"/>
    <w:rsid w:val="008B5C34"/>
    <w:rsid w:val="00946BBA"/>
    <w:rsid w:val="009B436E"/>
    <w:rsid w:val="009F0BED"/>
    <w:rsid w:val="009F3703"/>
    <w:rsid w:val="00A279FA"/>
    <w:rsid w:val="00A56E42"/>
    <w:rsid w:val="00A73A1A"/>
    <w:rsid w:val="00A83595"/>
    <w:rsid w:val="00A94CA7"/>
    <w:rsid w:val="00AD1832"/>
    <w:rsid w:val="00AE6F05"/>
    <w:rsid w:val="00B17032"/>
    <w:rsid w:val="00B56BC5"/>
    <w:rsid w:val="00B74386"/>
    <w:rsid w:val="00BD127C"/>
    <w:rsid w:val="00CE3EF4"/>
    <w:rsid w:val="00D36103"/>
    <w:rsid w:val="00DE54B7"/>
    <w:rsid w:val="00E61EF1"/>
    <w:rsid w:val="00EC1749"/>
    <w:rsid w:val="00EC51DE"/>
    <w:rsid w:val="00F4208C"/>
    <w:rsid w:val="00F81719"/>
    <w:rsid w:val="00FA7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3E018"/>
  <w15:chartTrackingRefBased/>
  <w15:docId w15:val="{5CC63904-D3D5-40BB-B7FA-7EACF8B34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27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D12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12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12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12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12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127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27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27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27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2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12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12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12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12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12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2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2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27C"/>
    <w:rPr>
      <w:rFonts w:eastAsiaTheme="majorEastAsia" w:cstheme="majorBidi"/>
      <w:color w:val="272727" w:themeColor="text1" w:themeTint="D8"/>
    </w:rPr>
  </w:style>
  <w:style w:type="paragraph" w:styleId="Title">
    <w:name w:val="Title"/>
    <w:basedOn w:val="Normal"/>
    <w:next w:val="Normal"/>
    <w:link w:val="TitleChar"/>
    <w:uiPriority w:val="10"/>
    <w:qFormat/>
    <w:rsid w:val="00BD12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2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2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2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27C"/>
    <w:pPr>
      <w:spacing w:before="160"/>
      <w:jc w:val="center"/>
    </w:pPr>
    <w:rPr>
      <w:i/>
      <w:iCs/>
      <w:color w:val="404040" w:themeColor="text1" w:themeTint="BF"/>
    </w:rPr>
  </w:style>
  <w:style w:type="character" w:customStyle="1" w:styleId="QuoteChar">
    <w:name w:val="Quote Char"/>
    <w:basedOn w:val="DefaultParagraphFont"/>
    <w:link w:val="Quote"/>
    <w:uiPriority w:val="29"/>
    <w:rsid w:val="00BD127C"/>
    <w:rPr>
      <w:i/>
      <w:iCs/>
      <w:color w:val="404040" w:themeColor="text1" w:themeTint="BF"/>
    </w:rPr>
  </w:style>
  <w:style w:type="paragraph" w:styleId="ListParagraph">
    <w:name w:val="List Paragraph"/>
    <w:basedOn w:val="Normal"/>
    <w:uiPriority w:val="34"/>
    <w:qFormat/>
    <w:rsid w:val="00BD127C"/>
    <w:pPr>
      <w:ind w:left="720"/>
      <w:contextualSpacing/>
    </w:pPr>
  </w:style>
  <w:style w:type="character" w:styleId="IntenseEmphasis">
    <w:name w:val="Intense Emphasis"/>
    <w:basedOn w:val="DefaultParagraphFont"/>
    <w:uiPriority w:val="21"/>
    <w:qFormat/>
    <w:rsid w:val="00BD127C"/>
    <w:rPr>
      <w:i/>
      <w:iCs/>
      <w:color w:val="2F5496" w:themeColor="accent1" w:themeShade="BF"/>
    </w:rPr>
  </w:style>
  <w:style w:type="paragraph" w:styleId="IntenseQuote">
    <w:name w:val="Intense Quote"/>
    <w:basedOn w:val="Normal"/>
    <w:next w:val="Normal"/>
    <w:link w:val="IntenseQuoteChar"/>
    <w:uiPriority w:val="30"/>
    <w:qFormat/>
    <w:rsid w:val="00BD12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127C"/>
    <w:rPr>
      <w:i/>
      <w:iCs/>
      <w:color w:val="2F5496" w:themeColor="accent1" w:themeShade="BF"/>
    </w:rPr>
  </w:style>
  <w:style w:type="character" w:styleId="IntenseReference">
    <w:name w:val="Intense Reference"/>
    <w:basedOn w:val="DefaultParagraphFont"/>
    <w:uiPriority w:val="32"/>
    <w:qFormat/>
    <w:rsid w:val="00BD127C"/>
    <w:rPr>
      <w:b/>
      <w:bCs/>
      <w:smallCaps/>
      <w:color w:val="2F5496" w:themeColor="accent1" w:themeShade="BF"/>
      <w:spacing w:val="5"/>
    </w:rPr>
  </w:style>
  <w:style w:type="paragraph" w:customStyle="1" w:styleId="Title2">
    <w:name w:val="Title2"/>
    <w:basedOn w:val="Normal"/>
    <w:next w:val="Normal"/>
    <w:rsid w:val="00BD127C"/>
    <w:pPr>
      <w:tabs>
        <w:tab w:val="left" w:pos="648"/>
        <w:tab w:val="right" w:pos="7776"/>
        <w:tab w:val="left" w:pos="7848"/>
      </w:tabs>
    </w:pPr>
    <w:rPr>
      <w:szCs w:val="20"/>
    </w:rPr>
  </w:style>
  <w:style w:type="paragraph" w:styleId="BodyText">
    <w:name w:val="Body Text"/>
    <w:basedOn w:val="Normal"/>
    <w:link w:val="BodyTextChar"/>
    <w:semiHidden/>
    <w:rsid w:val="00BD127C"/>
    <w:pPr>
      <w:widowControl w:val="0"/>
      <w:overflowPunct w:val="0"/>
      <w:autoSpaceDE w:val="0"/>
      <w:autoSpaceDN w:val="0"/>
      <w:adjustRightInd w:val="0"/>
      <w:jc w:val="both"/>
      <w:textAlignment w:val="baseline"/>
    </w:pPr>
    <w:rPr>
      <w:lang w:val="es-ES_tradnl"/>
    </w:rPr>
  </w:style>
  <w:style w:type="character" w:customStyle="1" w:styleId="BodyTextChar">
    <w:name w:val="Body Text Char"/>
    <w:basedOn w:val="DefaultParagraphFont"/>
    <w:link w:val="BodyText"/>
    <w:semiHidden/>
    <w:rsid w:val="00BD127C"/>
    <w:rPr>
      <w:rFonts w:ascii="Times New Roman" w:eastAsia="Times New Roman" w:hAnsi="Times New Roman" w:cs="Times New Roman"/>
      <w:sz w:val="24"/>
      <w:szCs w:val="24"/>
      <w:lang w:val="es-ES_tradnl"/>
    </w:rPr>
  </w:style>
  <w:style w:type="paragraph" w:customStyle="1" w:styleId="default">
    <w:name w:val="default"/>
    <w:basedOn w:val="Normal"/>
    <w:rsid w:val="00BD127C"/>
    <w:pPr>
      <w:autoSpaceDE w:val="0"/>
      <w:autoSpaceDN w:val="0"/>
    </w:pPr>
    <w:rPr>
      <w:rFonts w:ascii="DXANP N+ Serifa B T," w:hAnsi="DXANP N+ Serifa B T,"/>
      <w:color w:val="000000"/>
    </w:rPr>
  </w:style>
  <w:style w:type="paragraph" w:styleId="Header">
    <w:name w:val="header"/>
    <w:basedOn w:val="Normal"/>
    <w:link w:val="HeaderChar"/>
    <w:uiPriority w:val="99"/>
    <w:rsid w:val="00BD127C"/>
    <w:pPr>
      <w:tabs>
        <w:tab w:val="center" w:pos="4320"/>
        <w:tab w:val="right" w:pos="8640"/>
      </w:tabs>
    </w:pPr>
  </w:style>
  <w:style w:type="character" w:customStyle="1" w:styleId="HeaderChar">
    <w:name w:val="Header Char"/>
    <w:basedOn w:val="DefaultParagraphFont"/>
    <w:link w:val="Header"/>
    <w:uiPriority w:val="99"/>
    <w:rsid w:val="00BD127C"/>
    <w:rPr>
      <w:rFonts w:ascii="Times New Roman" w:eastAsia="Times New Roman" w:hAnsi="Times New Roman" w:cs="Times New Roman"/>
      <w:sz w:val="24"/>
      <w:szCs w:val="24"/>
    </w:rPr>
  </w:style>
  <w:style w:type="character" w:styleId="PageNumber">
    <w:name w:val="page number"/>
    <w:basedOn w:val="DefaultParagraphFont"/>
    <w:semiHidden/>
    <w:rsid w:val="00BD127C"/>
  </w:style>
  <w:style w:type="paragraph" w:styleId="NormalWeb">
    <w:name w:val="Normal (Web)"/>
    <w:basedOn w:val="Normal"/>
    <w:uiPriority w:val="99"/>
    <w:unhideWhenUsed/>
    <w:rsid w:val="00BD127C"/>
    <w:pPr>
      <w:spacing w:before="100" w:beforeAutospacing="1" w:after="100" w:afterAutospacing="1"/>
    </w:pPr>
  </w:style>
  <w:style w:type="character" w:styleId="LineNumber">
    <w:name w:val="line number"/>
    <w:basedOn w:val="DefaultParagraphFont"/>
    <w:uiPriority w:val="99"/>
    <w:semiHidden/>
    <w:unhideWhenUsed/>
    <w:rsid w:val="00BD127C"/>
  </w:style>
  <w:style w:type="paragraph" w:styleId="Footer">
    <w:name w:val="footer"/>
    <w:basedOn w:val="Normal"/>
    <w:link w:val="FooterChar"/>
    <w:uiPriority w:val="99"/>
    <w:unhideWhenUsed/>
    <w:rsid w:val="00BD127C"/>
    <w:pPr>
      <w:tabs>
        <w:tab w:val="center" w:pos="4680"/>
        <w:tab w:val="right" w:pos="9360"/>
      </w:tabs>
    </w:pPr>
  </w:style>
  <w:style w:type="character" w:customStyle="1" w:styleId="FooterChar">
    <w:name w:val="Footer Char"/>
    <w:basedOn w:val="DefaultParagraphFont"/>
    <w:link w:val="Footer"/>
    <w:uiPriority w:val="99"/>
    <w:rsid w:val="00BD127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2402</Words>
  <Characters>13694</Characters>
  <Application>Microsoft Office Word</Application>
  <DocSecurity>4</DocSecurity>
  <Lines>114</Lines>
  <Paragraphs>32</Paragraphs>
  <ScaleCrop>false</ScaleCrop>
  <Company/>
  <LinksUpToDate>false</LinksUpToDate>
  <CharactersWithSpaces>16064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Ruiz</dc:creator>
  <cp:keywords/>
  <dc:description/>
  <cp:lastModifiedBy>Camyl Moreno Pantojas</cp:lastModifiedBy>
  <cp:revision>2</cp:revision>
  <dcterms:created xsi:type="dcterms:W3CDTF">2025-06-25T19:41:00Z</dcterms:created>
  <dcterms:modified xsi:type="dcterms:W3CDTF">2025-06-25T19:41:00Z</dcterms:modified>
</cp:coreProperties>
</file>