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0EFF0" w14:textId="2720F7C1" w:rsidR="00524CBC" w:rsidRPr="00524CBC" w:rsidRDefault="00524CBC" w:rsidP="004805CF">
      <w:pPr>
        <w:jc w:val="center"/>
        <w:rPr>
          <w:rFonts w:ascii="Book Antiqua" w:hAnsi="Book Antiqua"/>
          <w:b/>
          <w:bCs/>
          <w:sz w:val="28"/>
          <w:szCs w:val="28"/>
          <w:lang w:val="es-ES_tradnl"/>
        </w:rPr>
      </w:pPr>
      <w:r w:rsidRPr="00524CBC">
        <w:rPr>
          <w:rFonts w:ascii="Book Antiqua" w:hAnsi="Book Antiqua"/>
          <w:b/>
          <w:bCs/>
          <w:sz w:val="28"/>
          <w:szCs w:val="28"/>
          <w:lang w:val="es-ES_tradnl"/>
        </w:rPr>
        <w:t>(ENTIRILLADO ELECTRÓNICO)</w:t>
      </w:r>
    </w:p>
    <w:p w14:paraId="3B1F2313" w14:textId="3DDE6622" w:rsidR="00B40771" w:rsidRPr="00970FA7" w:rsidRDefault="00B40771" w:rsidP="004805CF">
      <w:pPr>
        <w:jc w:val="center"/>
        <w:rPr>
          <w:rFonts w:ascii="Book Antiqua" w:hAnsi="Book Antiqua"/>
          <w:lang w:val="es-ES_tradnl"/>
        </w:rPr>
      </w:pPr>
      <w:r>
        <w:rPr>
          <w:rFonts w:ascii="Book Antiqua" w:hAnsi="Book Antiqua"/>
          <w:sz w:val="28"/>
          <w:szCs w:val="28"/>
          <w:lang w:val="es-ES_tradnl"/>
        </w:rPr>
        <w:t xml:space="preserve">GOBIERNO </w:t>
      </w:r>
      <w:r w:rsidRPr="00970FA7">
        <w:rPr>
          <w:rFonts w:ascii="Book Antiqua" w:hAnsi="Book Antiqua"/>
          <w:sz w:val="28"/>
          <w:szCs w:val="28"/>
          <w:lang w:val="es-ES_tradnl"/>
        </w:rPr>
        <w:t>DE PUERTO RICO</w:t>
      </w:r>
    </w:p>
    <w:p w14:paraId="349163E6" w14:textId="77777777" w:rsidR="00B40771" w:rsidRPr="00970FA7" w:rsidRDefault="00B40771" w:rsidP="004805CF">
      <w:pPr>
        <w:jc w:val="center"/>
        <w:rPr>
          <w:rFonts w:ascii="Book Antiqua" w:hAnsi="Book Antiqua"/>
          <w:lang w:val="es-ES_tradnl"/>
        </w:rPr>
      </w:pPr>
    </w:p>
    <w:p w14:paraId="48B239C8" w14:textId="77777777" w:rsidR="00B40771" w:rsidRPr="00AC29D5" w:rsidRDefault="00B40771" w:rsidP="004805CF">
      <w:pPr>
        <w:pStyle w:val="Title2"/>
        <w:rPr>
          <w:rFonts w:ascii="Book Antiqua" w:hAnsi="Book Antiqua"/>
          <w:szCs w:val="24"/>
          <w:lang w:val="es-ES_tradnl"/>
        </w:rPr>
      </w:pPr>
      <w:r>
        <w:rPr>
          <w:rFonts w:ascii="Book Antiqua" w:hAnsi="Book Antiqua"/>
          <w:szCs w:val="24"/>
          <w:lang w:val="es-PR"/>
        </w:rPr>
        <w:t>20</w:t>
      </w:r>
      <w:r>
        <w:rPr>
          <w:rFonts w:ascii="Book Antiqua" w:hAnsi="Book Antiqua"/>
          <w:szCs w:val="24"/>
          <w:vertAlign w:val="superscript"/>
          <w:lang w:val="es-PR"/>
        </w:rPr>
        <w:t>ma.</w:t>
      </w:r>
      <w:r w:rsidRPr="00AC29D5">
        <w:rPr>
          <w:rFonts w:ascii="Book Antiqua" w:hAnsi="Book Antiqua"/>
          <w:szCs w:val="24"/>
          <w:lang w:val="es-ES_tradnl"/>
        </w:rPr>
        <w:tab/>
        <w:t>Asamblea</w:t>
      </w:r>
      <w:r w:rsidRPr="00AC29D5">
        <w:rPr>
          <w:rFonts w:ascii="Book Antiqua" w:hAnsi="Book Antiqua"/>
          <w:szCs w:val="24"/>
          <w:lang w:val="es-ES_tradnl"/>
        </w:rPr>
        <w:tab/>
      </w:r>
      <w:r>
        <w:rPr>
          <w:rFonts w:ascii="Book Antiqua" w:hAnsi="Book Antiqua"/>
          <w:szCs w:val="24"/>
          <w:lang w:val="es-ES_tradnl"/>
        </w:rPr>
        <w:t>1</w:t>
      </w:r>
      <w:r>
        <w:rPr>
          <w:rFonts w:ascii="Book Antiqua" w:hAnsi="Book Antiqua"/>
          <w:szCs w:val="24"/>
          <w:vertAlign w:val="superscript"/>
          <w:lang w:val="es-ES_tradnl"/>
        </w:rPr>
        <w:t>r</w:t>
      </w:r>
      <w:r w:rsidRPr="00F407C4">
        <w:rPr>
          <w:rFonts w:ascii="Book Antiqua" w:hAnsi="Book Antiqua"/>
          <w:szCs w:val="24"/>
          <w:vertAlign w:val="superscript"/>
          <w:lang w:val="es-ES_tradnl"/>
        </w:rPr>
        <w:t>a</w:t>
      </w:r>
      <w:r w:rsidRPr="00AC29D5">
        <w:rPr>
          <w:rFonts w:ascii="Book Antiqua" w:hAnsi="Book Antiqua"/>
          <w:szCs w:val="24"/>
          <w:vertAlign w:val="superscript"/>
          <w:lang w:val="es-ES_tradnl"/>
        </w:rPr>
        <w:t>.</w:t>
      </w:r>
      <w:r w:rsidRPr="00AC29D5">
        <w:rPr>
          <w:rFonts w:ascii="Book Antiqua" w:hAnsi="Book Antiqua"/>
          <w:szCs w:val="24"/>
          <w:lang w:val="es-ES_tradnl"/>
        </w:rPr>
        <w:tab/>
        <w:t>Sesión</w:t>
      </w:r>
    </w:p>
    <w:p w14:paraId="785F9594" w14:textId="77777777" w:rsidR="00B40771" w:rsidRPr="00AC29D5" w:rsidRDefault="00B40771" w:rsidP="004805CF">
      <w:pPr>
        <w:pStyle w:val="Title2"/>
        <w:rPr>
          <w:rFonts w:ascii="Book Antiqua" w:hAnsi="Book Antiqua"/>
          <w:szCs w:val="24"/>
          <w:lang w:val="es-ES_tradnl"/>
        </w:rPr>
      </w:pPr>
      <w:r w:rsidRPr="00AC29D5">
        <w:rPr>
          <w:rFonts w:ascii="Book Antiqua" w:hAnsi="Book Antiqua"/>
          <w:szCs w:val="24"/>
          <w:lang w:val="es-ES_tradnl"/>
        </w:rPr>
        <w:tab/>
        <w:t>Legislativa</w:t>
      </w:r>
      <w:r w:rsidRPr="00AC29D5">
        <w:rPr>
          <w:rFonts w:ascii="Book Antiqua" w:hAnsi="Book Antiqua"/>
          <w:szCs w:val="24"/>
          <w:lang w:val="es-ES_tradnl"/>
        </w:rPr>
        <w:tab/>
      </w:r>
      <w:r w:rsidRPr="00AC29D5">
        <w:rPr>
          <w:rFonts w:ascii="Book Antiqua" w:hAnsi="Book Antiqua"/>
          <w:szCs w:val="24"/>
          <w:lang w:val="es-ES_tradnl"/>
        </w:rPr>
        <w:tab/>
        <w:t>Ordinaria</w:t>
      </w:r>
    </w:p>
    <w:p w14:paraId="05FA4C80" w14:textId="77777777" w:rsidR="00B40771" w:rsidRDefault="00B40771" w:rsidP="004805CF">
      <w:pPr>
        <w:rPr>
          <w:rFonts w:ascii="Book Antiqua" w:hAnsi="Book Antiqua"/>
          <w:lang w:val="es-ES_tradnl"/>
        </w:rPr>
      </w:pPr>
    </w:p>
    <w:p w14:paraId="6E55762E" w14:textId="77777777" w:rsidR="00B40771" w:rsidRPr="00970FA7" w:rsidRDefault="00B40771" w:rsidP="004805CF">
      <w:pPr>
        <w:jc w:val="center"/>
        <w:rPr>
          <w:rFonts w:ascii="Book Antiqua" w:hAnsi="Book Antiqua"/>
          <w:b/>
          <w:sz w:val="36"/>
          <w:lang w:val="es-ES_tradnl"/>
        </w:rPr>
      </w:pPr>
      <w:r w:rsidRPr="00970FA7">
        <w:rPr>
          <w:rFonts w:ascii="Book Antiqua" w:hAnsi="Book Antiqua"/>
          <w:b/>
          <w:sz w:val="36"/>
          <w:lang w:val="es-ES_tradnl"/>
        </w:rPr>
        <w:t>C</w:t>
      </w:r>
      <w:r w:rsidRPr="00970FA7">
        <w:rPr>
          <w:rFonts w:ascii="Book Antiqua" w:hAnsi="Book Antiqua"/>
          <w:b/>
          <w:sz w:val="36"/>
          <w:lang w:val="es-PR"/>
        </w:rPr>
        <w:t>Á</w:t>
      </w:r>
      <w:r w:rsidRPr="00970FA7">
        <w:rPr>
          <w:rFonts w:ascii="Book Antiqua" w:hAnsi="Book Antiqua"/>
          <w:b/>
          <w:sz w:val="36"/>
          <w:lang w:val="es-ES_tradnl"/>
        </w:rPr>
        <w:t>MARA DE REPRESENTANTES</w:t>
      </w:r>
    </w:p>
    <w:p w14:paraId="5FA3BEF1" w14:textId="77777777" w:rsidR="00B40771" w:rsidRPr="00970FA7" w:rsidRDefault="00B40771" w:rsidP="004805CF">
      <w:pPr>
        <w:jc w:val="center"/>
        <w:rPr>
          <w:rFonts w:ascii="Book Antiqua" w:hAnsi="Book Antiqua"/>
          <w:lang w:val="es-ES_tradnl"/>
        </w:rPr>
      </w:pPr>
    </w:p>
    <w:p w14:paraId="27E103B0" w14:textId="39942D21" w:rsidR="00B40771" w:rsidRPr="00970FA7" w:rsidRDefault="00B40771" w:rsidP="004805CF">
      <w:pPr>
        <w:jc w:val="center"/>
        <w:rPr>
          <w:rFonts w:ascii="Book Antiqua" w:hAnsi="Book Antiqua"/>
          <w:b/>
          <w:sz w:val="52"/>
          <w:lang w:val="es-ES_tradnl"/>
        </w:rPr>
      </w:pPr>
      <w:r w:rsidRPr="00970FA7">
        <w:rPr>
          <w:rFonts w:ascii="Book Antiqua" w:hAnsi="Book Antiqua"/>
          <w:b/>
          <w:sz w:val="52"/>
          <w:lang w:val="es-ES_tradnl"/>
        </w:rPr>
        <w:t xml:space="preserve">P. </w:t>
      </w:r>
      <w:bookmarkStart w:id="0" w:name="_Hlk138151090"/>
      <w:r w:rsidRPr="00970FA7">
        <w:rPr>
          <w:rFonts w:ascii="Book Antiqua" w:hAnsi="Book Antiqua"/>
          <w:b/>
          <w:sz w:val="52"/>
          <w:lang w:val="es-ES_tradnl"/>
        </w:rPr>
        <w:t>de la C.</w:t>
      </w:r>
      <w:bookmarkEnd w:id="0"/>
      <w:r w:rsidRPr="00970FA7">
        <w:rPr>
          <w:rFonts w:ascii="Book Antiqua" w:hAnsi="Book Antiqua"/>
          <w:b/>
          <w:sz w:val="52"/>
          <w:lang w:val="es-ES_tradnl"/>
        </w:rPr>
        <w:t xml:space="preserve"> </w:t>
      </w:r>
      <w:r w:rsidR="00996F26">
        <w:rPr>
          <w:rFonts w:ascii="Book Antiqua" w:hAnsi="Book Antiqua"/>
          <w:b/>
          <w:sz w:val="52"/>
          <w:lang w:val="es-ES_tradnl"/>
        </w:rPr>
        <w:t>280</w:t>
      </w:r>
    </w:p>
    <w:p w14:paraId="7E572C22" w14:textId="77777777" w:rsidR="00B40771" w:rsidRPr="00970FA7" w:rsidRDefault="00B40771" w:rsidP="004805CF">
      <w:pPr>
        <w:jc w:val="center"/>
        <w:rPr>
          <w:rFonts w:ascii="Book Antiqua" w:hAnsi="Book Antiqua"/>
          <w:lang w:val="es-ES_tradnl"/>
        </w:rPr>
      </w:pPr>
    </w:p>
    <w:p w14:paraId="71451334" w14:textId="7AF4F16E" w:rsidR="00B40771" w:rsidRPr="00970FA7" w:rsidRDefault="004805CF" w:rsidP="004805CF">
      <w:pPr>
        <w:jc w:val="center"/>
        <w:rPr>
          <w:rFonts w:ascii="Book Antiqua" w:hAnsi="Book Antiqua"/>
          <w:lang w:val="es-ES_tradnl"/>
        </w:rPr>
      </w:pPr>
      <w:r>
        <w:rPr>
          <w:rFonts w:ascii="Book Antiqua" w:hAnsi="Book Antiqua"/>
          <w:lang w:val="es-ES_tradnl"/>
        </w:rPr>
        <w:t>29 DE ENERO DE 2025</w:t>
      </w:r>
    </w:p>
    <w:p w14:paraId="01FE9FAA" w14:textId="77777777" w:rsidR="00B40771" w:rsidRPr="00970FA7" w:rsidRDefault="00B40771" w:rsidP="004805CF">
      <w:pPr>
        <w:jc w:val="center"/>
        <w:rPr>
          <w:rFonts w:ascii="Book Antiqua" w:hAnsi="Book Antiqua"/>
          <w:lang w:val="es-ES_tradnl"/>
        </w:rPr>
      </w:pPr>
    </w:p>
    <w:p w14:paraId="203FF448" w14:textId="77777777" w:rsidR="00B40771" w:rsidRPr="00CC21EC" w:rsidRDefault="00B40771" w:rsidP="004805CF">
      <w:pPr>
        <w:jc w:val="center"/>
        <w:rPr>
          <w:rFonts w:ascii="Book Antiqua" w:hAnsi="Book Antiqua"/>
          <w:i/>
          <w:lang w:val="es-PR"/>
        </w:rPr>
      </w:pPr>
      <w:r w:rsidRPr="00970FA7">
        <w:rPr>
          <w:rFonts w:ascii="Book Antiqua" w:hAnsi="Book Antiqua"/>
          <w:lang w:val="es-ES_tradnl"/>
        </w:rPr>
        <w:t xml:space="preserve">Presentado por </w:t>
      </w:r>
      <w:r>
        <w:rPr>
          <w:rFonts w:ascii="Book Antiqua" w:hAnsi="Book Antiqua"/>
          <w:lang w:val="es-ES_tradnl"/>
        </w:rPr>
        <w:t>la</w:t>
      </w:r>
      <w:r w:rsidRPr="00970FA7">
        <w:rPr>
          <w:rFonts w:ascii="Book Antiqua" w:hAnsi="Book Antiqua"/>
          <w:lang w:val="es-ES_tradnl"/>
        </w:rPr>
        <w:t xml:space="preserve"> representante</w:t>
      </w:r>
      <w:r>
        <w:rPr>
          <w:rFonts w:ascii="Book Antiqua" w:hAnsi="Book Antiqua"/>
          <w:i/>
          <w:lang w:val="es-ES_tradnl"/>
        </w:rPr>
        <w:t xml:space="preserve"> </w:t>
      </w:r>
      <w:r>
        <w:rPr>
          <w:rFonts w:ascii="Book Antiqua" w:hAnsi="Book Antiqua"/>
          <w:i/>
          <w:lang w:val="es-PR"/>
        </w:rPr>
        <w:t>Martínez Soto</w:t>
      </w:r>
    </w:p>
    <w:p w14:paraId="508B387D" w14:textId="77777777" w:rsidR="00B40771" w:rsidRDefault="00B40771" w:rsidP="004805CF">
      <w:pPr>
        <w:jc w:val="center"/>
        <w:rPr>
          <w:rFonts w:ascii="Book Antiqua" w:hAnsi="Book Antiqua"/>
          <w:i/>
          <w:lang w:val="es-PR"/>
        </w:rPr>
      </w:pPr>
    </w:p>
    <w:p w14:paraId="0802E516" w14:textId="18648063" w:rsidR="00B40771" w:rsidRDefault="00B40771" w:rsidP="004805CF">
      <w:pPr>
        <w:jc w:val="center"/>
        <w:rPr>
          <w:rFonts w:ascii="Book Antiqua" w:hAnsi="Book Antiqua"/>
          <w:lang w:val="es-ES_tradnl"/>
        </w:rPr>
      </w:pPr>
      <w:r w:rsidRPr="00970FA7">
        <w:rPr>
          <w:rFonts w:ascii="Book Antiqua" w:hAnsi="Book Antiqua"/>
          <w:lang w:val="es-ES_tradnl"/>
        </w:rPr>
        <w:t xml:space="preserve">Referido a </w:t>
      </w:r>
      <w:r w:rsidR="0027692B">
        <w:rPr>
          <w:rFonts w:ascii="Book Antiqua" w:hAnsi="Book Antiqua"/>
          <w:lang w:val="es-ES_tradnl"/>
        </w:rPr>
        <w:t>las Comisiones de Gobierno; y de Educación</w:t>
      </w:r>
    </w:p>
    <w:p w14:paraId="721B3004" w14:textId="77777777" w:rsidR="00B40771" w:rsidRDefault="00B40771" w:rsidP="004805CF">
      <w:pPr>
        <w:jc w:val="center"/>
        <w:rPr>
          <w:rFonts w:ascii="Book Antiqua" w:hAnsi="Book Antiqua"/>
          <w:lang w:val="es-ES_tradnl"/>
        </w:rPr>
      </w:pPr>
    </w:p>
    <w:p w14:paraId="180DFE0B" w14:textId="77777777" w:rsidR="00B40771" w:rsidRPr="004805CF" w:rsidRDefault="00B40771" w:rsidP="004805CF">
      <w:pPr>
        <w:jc w:val="center"/>
        <w:rPr>
          <w:rFonts w:ascii="Book Antiqua" w:hAnsi="Book Antiqua"/>
          <w:b/>
          <w:sz w:val="28"/>
          <w:szCs w:val="28"/>
          <w:lang w:val="es-ES_tradnl"/>
        </w:rPr>
      </w:pPr>
      <w:r w:rsidRPr="004805CF">
        <w:rPr>
          <w:rFonts w:ascii="Book Antiqua" w:hAnsi="Book Antiqua"/>
          <w:b/>
          <w:sz w:val="28"/>
          <w:szCs w:val="28"/>
          <w:lang w:val="es-ES_tradnl"/>
        </w:rPr>
        <w:t>LEY</w:t>
      </w:r>
    </w:p>
    <w:p w14:paraId="6BD7B7BF" w14:textId="77777777" w:rsidR="00B40771" w:rsidRDefault="00B40771" w:rsidP="004805CF">
      <w:pPr>
        <w:jc w:val="center"/>
        <w:rPr>
          <w:rFonts w:ascii="Book Antiqua" w:hAnsi="Book Antiqua"/>
          <w:lang w:val="es-ES_tradnl"/>
        </w:rPr>
      </w:pPr>
    </w:p>
    <w:p w14:paraId="2E845DAE" w14:textId="77777777" w:rsidR="00B40771" w:rsidRPr="006301FC" w:rsidRDefault="00B40771" w:rsidP="004805CF">
      <w:pPr>
        <w:pStyle w:val="BodyText"/>
        <w:ind w:left="720" w:hanging="720"/>
        <w:rPr>
          <w:rFonts w:ascii="Book Antiqua" w:hAnsi="Book Antiqua" w:cs="AngsanaUPC"/>
        </w:rPr>
      </w:pPr>
      <w:r w:rsidRPr="006301FC">
        <w:rPr>
          <w:rFonts w:ascii="Book Antiqua" w:hAnsi="Book Antiqua" w:cs="AngsanaUPC"/>
        </w:rPr>
        <w:t xml:space="preserve">Para </w:t>
      </w:r>
      <w:r>
        <w:rPr>
          <w:rFonts w:ascii="Book Antiqua" w:hAnsi="Book Antiqua" w:cs="AngsanaUPC"/>
        </w:rPr>
        <w:t xml:space="preserve">crear </w:t>
      </w:r>
      <w:bookmarkStart w:id="1" w:name="_Hlk483291499"/>
      <w:r>
        <w:rPr>
          <w:rFonts w:ascii="Book Antiqua" w:hAnsi="Book Antiqua" w:cs="AngsanaUPC"/>
        </w:rPr>
        <w:t xml:space="preserve">la “Ley </w:t>
      </w:r>
      <w:r>
        <w:rPr>
          <w:rFonts w:ascii="Book Antiqua" w:hAnsi="Book Antiqua"/>
          <w:lang w:val="es-PR"/>
        </w:rPr>
        <w:t>para establecer el taller de uso y manejo de torniquetes en las Agencias Gubernamentales y Escuelas Públicas de Puerto Rico</w:t>
      </w:r>
      <w:r w:rsidRPr="00F67E27">
        <w:rPr>
          <w:rFonts w:ascii="Book Antiqua" w:hAnsi="Book Antiqua"/>
          <w:lang w:val="es-PR"/>
        </w:rPr>
        <w:t>”</w:t>
      </w:r>
      <w:r>
        <w:rPr>
          <w:rFonts w:ascii="Book Antiqua" w:hAnsi="Book Antiqua"/>
          <w:lang w:val="es-PR"/>
        </w:rPr>
        <w:t xml:space="preserve"> a los fines </w:t>
      </w:r>
      <w:bookmarkEnd w:id="1"/>
      <w:r>
        <w:rPr>
          <w:rFonts w:ascii="Book Antiqua" w:hAnsi="Book Antiqua"/>
          <w:lang w:val="es-PR"/>
        </w:rPr>
        <w:t xml:space="preserve">de </w:t>
      </w:r>
      <w:r>
        <w:rPr>
          <w:rFonts w:ascii="Book Antiqua" w:hAnsi="Book Antiqua"/>
          <w:color w:val="000000"/>
          <w:lang w:val="es-PR"/>
        </w:rPr>
        <w:t>que todas las agencias gubernamentales y escuelas públicas de Puerto Rico cuenten con un adiestramiento de manejo y uso de torniquete, el cual ayuda a salvar una vida en una situación de emergencia; y para otros fines relacionados</w:t>
      </w:r>
      <w:r>
        <w:rPr>
          <w:rFonts w:ascii="Book Antiqua" w:hAnsi="Book Antiqua" w:cs="AngsanaUPC"/>
          <w:bCs/>
          <w:lang w:val="es-ES"/>
        </w:rPr>
        <w:t>.</w:t>
      </w:r>
      <w:r w:rsidRPr="006301FC">
        <w:rPr>
          <w:rFonts w:ascii="Book Antiqua" w:hAnsi="Book Antiqua" w:cs="AngsanaUPC"/>
        </w:rPr>
        <w:t xml:space="preserve"> </w:t>
      </w:r>
    </w:p>
    <w:p w14:paraId="1C421C9B" w14:textId="77777777" w:rsidR="00B40771" w:rsidRPr="002152AF" w:rsidRDefault="00B40771" w:rsidP="004805CF">
      <w:pPr>
        <w:ind w:left="360" w:hanging="360"/>
        <w:jc w:val="both"/>
        <w:rPr>
          <w:rFonts w:ascii="Book Antiqua" w:hAnsi="Book Antiqua"/>
          <w:lang w:val="es-ES"/>
        </w:rPr>
      </w:pPr>
      <w:r w:rsidRPr="00970FA7">
        <w:rPr>
          <w:rFonts w:ascii="Book Antiqua" w:hAnsi="Book Antiqua"/>
          <w:lang w:val="es-ES"/>
        </w:rPr>
        <w:t> </w:t>
      </w:r>
    </w:p>
    <w:p w14:paraId="2F502267" w14:textId="77777777" w:rsidR="00B40771" w:rsidRDefault="00B40771" w:rsidP="004805CF">
      <w:pPr>
        <w:jc w:val="center"/>
        <w:rPr>
          <w:rFonts w:ascii="Book Antiqua" w:hAnsi="Book Antiqua"/>
          <w:lang w:val="es-ES"/>
        </w:rPr>
      </w:pPr>
      <w:r w:rsidRPr="002152AF">
        <w:rPr>
          <w:rFonts w:ascii="Book Antiqua" w:hAnsi="Book Antiqua"/>
          <w:lang w:val="es-ES"/>
        </w:rPr>
        <w:t>EXPOSICIÓN DE MOTIVOS</w:t>
      </w:r>
    </w:p>
    <w:p w14:paraId="304496D2" w14:textId="77777777" w:rsidR="00B40771" w:rsidRDefault="00B40771" w:rsidP="004805CF">
      <w:pPr>
        <w:rPr>
          <w:rFonts w:ascii="Book Antiqua" w:hAnsi="Book Antiqua"/>
          <w:lang w:val="es-PR"/>
        </w:rPr>
      </w:pPr>
    </w:p>
    <w:p w14:paraId="0F028A08" w14:textId="77777777" w:rsidR="00B40771" w:rsidRDefault="00B40771" w:rsidP="004805CF">
      <w:pPr>
        <w:ind w:firstLine="720"/>
        <w:jc w:val="both"/>
        <w:rPr>
          <w:rFonts w:ascii="Book Antiqua" w:hAnsi="Book Antiqua"/>
          <w:bCs/>
          <w:lang w:val="es-ES"/>
        </w:rPr>
      </w:pPr>
      <w:r>
        <w:rPr>
          <w:rFonts w:ascii="Book Antiqua" w:hAnsi="Book Antiqua"/>
          <w:bCs/>
          <w:lang w:val="es-ES"/>
        </w:rPr>
        <w:t>El Artículo II Sección 20 de la Constitución del Estado Libre Asociado de Puerto Rico establece los derechos humanos reconocidos, entre ellos “el derecho de toda persona a disfrutar de un nivel de vida adecuado que asegure para sí y para su familia la salud”. Nuestra Carta Magna establece el derecho a la salud como uno fundamental.  Esto incluye que todas las personas tengan acceso a servicios de salud accesibles, de calidad y de forma oportuna.</w:t>
      </w:r>
    </w:p>
    <w:p w14:paraId="6F75FCFE" w14:textId="77777777" w:rsidR="00B40771" w:rsidRDefault="00B40771" w:rsidP="004805CF">
      <w:pPr>
        <w:ind w:firstLine="720"/>
        <w:jc w:val="both"/>
        <w:rPr>
          <w:rFonts w:ascii="Book Antiqua" w:hAnsi="Book Antiqua"/>
          <w:bCs/>
          <w:lang w:val="es-ES"/>
        </w:rPr>
      </w:pPr>
    </w:p>
    <w:p w14:paraId="1C777CEF"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Actualmente, Puerto Rico cuenta con uno de los hospitales más completos en el Caribe.  El Centro Médico es una Institución que cuenta con profesionales de primer orden y a su vez, recibe la mayor cantidad de pacientes en estado crítico.  Cónsono con lo anterior, cabe destacar que este lugar cuenta con el Hospital Cuidado Agudo Especializado en Pacientes Politraumatizados (Hospital de Trauma). El mismo, provee cuidado especializado a pacientes adultos y pediátricos con traumas corporales múltiples.  Este Hospital es el componente de la Administración de Servicios Médicos de Puerto Rico, que ofrece servicios de hospitalización y se atienden a los pacientes de todas </w:t>
      </w:r>
      <w:r>
        <w:rPr>
          <w:rFonts w:ascii="Book Antiqua" w:hAnsi="Book Antiqua"/>
          <w:bCs/>
          <w:lang w:val="es-ES"/>
        </w:rPr>
        <w:lastRenderedPageBreak/>
        <w:t xml:space="preserve">las Instituciones que forman parte del Centro Médico, así como pacientes de todo Puerto Rico e Isla Vírgenes sin considerar condición económica. </w:t>
      </w:r>
    </w:p>
    <w:p w14:paraId="2F009C97" w14:textId="77777777" w:rsidR="00B40771" w:rsidRDefault="00B40771" w:rsidP="004805CF">
      <w:pPr>
        <w:ind w:firstLine="720"/>
        <w:jc w:val="both"/>
        <w:rPr>
          <w:rFonts w:ascii="Book Antiqua" w:hAnsi="Book Antiqua"/>
          <w:bCs/>
          <w:lang w:val="es-ES"/>
        </w:rPr>
      </w:pPr>
    </w:p>
    <w:p w14:paraId="4584166F"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El trauma, es una condición que generalmente afecta mayormente a adultos-jóvenes.  Estos pacientes no tienen experiencia en el manejo de crisis, su estado de desarrollo mental y su madurez crea unas necesidades especiales que tienen que ser consideradas en la planificación de intervenciones efectivas para el tipo de lesión que le afecte.  La complejidad y severidad de cada paciente, generalmente los expone a una mayor tendencia de desarrollo de complicaciones durante la fase de hospitalización.  Según datos recientes, el 50% de los pacientes que llegan al Centro de Trauma fallece en los primeros cinco (5) minutos, mientras que el 30% de éstos lo hacen en una hora.  Las estadísticas nos dicen que en general, el 80% de estas personas muere en una hora.  Estos datos son preocupantes, ya que hoy día en nuestro País no existen registros de talleres y/o charlas donde se pueda explicar la importancia de salvar vidas.  </w:t>
      </w:r>
    </w:p>
    <w:p w14:paraId="775D8866" w14:textId="77777777" w:rsidR="00B40771" w:rsidRDefault="00B40771" w:rsidP="004805CF">
      <w:pPr>
        <w:ind w:firstLine="720"/>
        <w:jc w:val="both"/>
        <w:rPr>
          <w:rFonts w:ascii="Book Antiqua" w:hAnsi="Book Antiqua"/>
          <w:bCs/>
          <w:lang w:val="es-ES"/>
        </w:rPr>
      </w:pPr>
    </w:p>
    <w:p w14:paraId="5A46965B" w14:textId="77777777" w:rsidR="00B40771" w:rsidRPr="003E4C10" w:rsidRDefault="00B40771" w:rsidP="004805CF">
      <w:pPr>
        <w:ind w:firstLine="720"/>
        <w:jc w:val="both"/>
        <w:rPr>
          <w:rFonts w:ascii="Book Antiqua" w:hAnsi="Book Antiqua"/>
          <w:bCs/>
          <w:lang w:val="es-PR"/>
        </w:rPr>
      </w:pPr>
      <w:r>
        <w:rPr>
          <w:rFonts w:ascii="Book Antiqua" w:hAnsi="Book Antiqua"/>
          <w:bCs/>
          <w:lang w:val="es-ES"/>
        </w:rPr>
        <w:t xml:space="preserve">En estos casos, poder contribuir a salvar vidas, debe ser un tema vital en la agenda de Gobierno.  </w:t>
      </w:r>
      <w:r w:rsidRPr="004F1F5E">
        <w:rPr>
          <w:rFonts w:ascii="Book Antiqua" w:hAnsi="Book Antiqua"/>
          <w:bCs/>
          <w:lang w:val="es-ES"/>
        </w:rPr>
        <w:t>La misión del</w:t>
      </w:r>
      <w:r>
        <w:rPr>
          <w:rFonts w:ascii="Book Antiqua" w:hAnsi="Book Antiqua"/>
          <w:bCs/>
          <w:lang w:val="es-ES"/>
        </w:rPr>
        <w:t xml:space="preserve"> Estado, </w:t>
      </w:r>
      <w:r w:rsidRPr="004F1F5E">
        <w:rPr>
          <w:rFonts w:ascii="Book Antiqua" w:hAnsi="Book Antiqua"/>
          <w:bCs/>
          <w:lang w:val="es-ES"/>
        </w:rPr>
        <w:t>en la sociedad moderna, es garantizarle</w:t>
      </w:r>
      <w:r>
        <w:rPr>
          <w:rFonts w:ascii="Book Antiqua" w:hAnsi="Book Antiqua"/>
          <w:bCs/>
          <w:lang w:val="es-ES"/>
        </w:rPr>
        <w:t>s</w:t>
      </w:r>
      <w:r w:rsidRPr="004F1F5E">
        <w:rPr>
          <w:rFonts w:ascii="Book Antiqua" w:hAnsi="Book Antiqua"/>
          <w:bCs/>
          <w:lang w:val="es-ES"/>
        </w:rPr>
        <w:t xml:space="preserve"> a sus constituyentes el más alto grado de calidad</w:t>
      </w:r>
      <w:r>
        <w:rPr>
          <w:rFonts w:ascii="Book Antiqua" w:hAnsi="Book Antiqua"/>
          <w:bCs/>
          <w:lang w:val="es-ES"/>
        </w:rPr>
        <w:t xml:space="preserve"> de </w:t>
      </w:r>
      <w:r w:rsidRPr="004F1F5E">
        <w:rPr>
          <w:rFonts w:ascii="Book Antiqua" w:hAnsi="Book Antiqua"/>
          <w:bCs/>
          <w:lang w:val="es-ES"/>
        </w:rPr>
        <w:t>vida posible</w:t>
      </w:r>
      <w:r>
        <w:rPr>
          <w:rFonts w:ascii="Book Antiqua" w:hAnsi="Book Antiqua"/>
          <w:bCs/>
          <w:lang w:val="es-ES"/>
        </w:rPr>
        <w:t xml:space="preserve">. Todas las personas tenemos la capacidad de contribuir a salvar vidas.  Así como sucede con el </w:t>
      </w:r>
      <w:r w:rsidRPr="003E4C10">
        <w:rPr>
          <w:rFonts w:ascii="Book Antiqua" w:hAnsi="Book Antiqua"/>
          <w:bCs/>
          <w:lang w:val="es-PR"/>
        </w:rPr>
        <w:t>“Cardiopulmonary Resuscitation” (CPR), un c</w:t>
      </w:r>
      <w:r>
        <w:rPr>
          <w:rFonts w:ascii="Book Antiqua" w:hAnsi="Book Antiqua"/>
          <w:bCs/>
          <w:lang w:val="es-PR"/>
        </w:rPr>
        <w:t xml:space="preserve">iudadano que esté familiarizado con técnicas básicas de control de sangrado está equipado para salvar una vida cuando los segundos cuentan.  </w:t>
      </w:r>
    </w:p>
    <w:p w14:paraId="61031113" w14:textId="77777777" w:rsidR="00B40771" w:rsidRDefault="00B40771" w:rsidP="004805CF">
      <w:pPr>
        <w:ind w:firstLine="720"/>
        <w:jc w:val="both"/>
        <w:rPr>
          <w:rFonts w:ascii="Book Antiqua" w:hAnsi="Book Antiqua"/>
          <w:bCs/>
          <w:lang w:val="es-ES"/>
        </w:rPr>
      </w:pPr>
    </w:p>
    <w:p w14:paraId="4DB2F4F2" w14:textId="77777777" w:rsidR="00B40771" w:rsidRDefault="00B40771" w:rsidP="004805CF">
      <w:pPr>
        <w:ind w:firstLine="720"/>
        <w:jc w:val="both"/>
        <w:rPr>
          <w:rFonts w:ascii="Book Antiqua" w:hAnsi="Book Antiqua"/>
          <w:bCs/>
          <w:lang w:val="es-PR"/>
        </w:rPr>
      </w:pPr>
      <w:r>
        <w:rPr>
          <w:rFonts w:ascii="Book Antiqua" w:hAnsi="Book Antiqua"/>
          <w:bCs/>
          <w:lang w:val="es-ES"/>
        </w:rPr>
        <w:t xml:space="preserve">Estados Unidos y Europa han creado una serie de campañas dirigidas a preservar vidas durante una emergencia.  </w:t>
      </w:r>
      <w:proofErr w:type="spellStart"/>
      <w:r w:rsidRPr="003E6DF9">
        <w:rPr>
          <w:rFonts w:ascii="Book Antiqua" w:hAnsi="Book Antiqua"/>
          <w:bCs/>
        </w:rPr>
        <w:t>Estas</w:t>
      </w:r>
      <w:proofErr w:type="spellEnd"/>
      <w:r w:rsidRPr="003E6DF9">
        <w:rPr>
          <w:rFonts w:ascii="Book Antiqua" w:hAnsi="Book Antiqua"/>
          <w:bCs/>
        </w:rPr>
        <w:t xml:space="preserve"> son </w:t>
      </w:r>
      <w:r>
        <w:rPr>
          <w:rFonts w:ascii="Book Antiqua" w:hAnsi="Book Antiqua"/>
          <w:bCs/>
        </w:rPr>
        <w:t xml:space="preserve">“Stop the Bleed” y “The Stop the Bleeding Campaign”, </w:t>
      </w:r>
      <w:proofErr w:type="spellStart"/>
      <w:r>
        <w:rPr>
          <w:rFonts w:ascii="Book Antiqua" w:hAnsi="Book Antiqua"/>
          <w:bCs/>
        </w:rPr>
        <w:t>respectivamente</w:t>
      </w:r>
      <w:proofErr w:type="spellEnd"/>
      <w:r>
        <w:rPr>
          <w:rFonts w:ascii="Book Antiqua" w:hAnsi="Book Antiqua"/>
          <w:bCs/>
        </w:rPr>
        <w:t xml:space="preserve">. </w:t>
      </w:r>
      <w:r w:rsidRPr="00980155">
        <w:rPr>
          <w:rFonts w:ascii="Book Antiqua" w:hAnsi="Book Antiqua"/>
          <w:bCs/>
          <w:lang w:val="es-PR"/>
        </w:rPr>
        <w:t>Estas iniciativas van dirigidas a poder informar y concienciar a</w:t>
      </w:r>
      <w:r>
        <w:rPr>
          <w:rFonts w:ascii="Book Antiqua" w:hAnsi="Book Antiqua"/>
          <w:bCs/>
          <w:lang w:val="es-PR"/>
        </w:rPr>
        <w:t xml:space="preserve"> la población en el conocimiento de poder realizar primeros auxilios y concienciarlos para saber como reaccionar ante una hemorragia exanguinante.  La instrucción y el entrenamiento sobre el control de una hemorragia son pieza fundamental y constituye un aumento en probabilidad de éxito de la aplicación del torniquete. </w:t>
      </w:r>
    </w:p>
    <w:p w14:paraId="656BC918" w14:textId="77777777" w:rsidR="00B40771" w:rsidRDefault="00B40771" w:rsidP="004805CF">
      <w:pPr>
        <w:ind w:firstLine="720"/>
        <w:jc w:val="both"/>
        <w:rPr>
          <w:rFonts w:ascii="Book Antiqua" w:hAnsi="Book Antiqua"/>
          <w:bCs/>
          <w:lang w:val="es-PR"/>
        </w:rPr>
      </w:pPr>
    </w:p>
    <w:p w14:paraId="730E8E1C" w14:textId="77777777" w:rsidR="00B40771" w:rsidRPr="008F6890" w:rsidRDefault="00B40771" w:rsidP="004805CF">
      <w:pPr>
        <w:ind w:firstLine="720"/>
        <w:jc w:val="both"/>
        <w:rPr>
          <w:rFonts w:ascii="Cambria" w:hAnsi="Cambria"/>
          <w:bCs/>
          <w:lang w:val="es-PR"/>
        </w:rPr>
      </w:pPr>
      <w:r>
        <w:rPr>
          <w:rFonts w:ascii="Book Antiqua" w:hAnsi="Book Antiqua"/>
          <w:bCs/>
          <w:lang w:val="es-PR"/>
        </w:rPr>
        <w:t xml:space="preserve">Contar con un entrenamiento como el </w:t>
      </w:r>
      <w:r w:rsidRPr="00D86B37">
        <w:rPr>
          <w:rFonts w:ascii="Book Antiqua" w:hAnsi="Book Antiqua"/>
          <w:bCs/>
          <w:lang w:val="es-PR"/>
        </w:rPr>
        <w:t>“S</w:t>
      </w:r>
      <w:r>
        <w:rPr>
          <w:rFonts w:ascii="Book Antiqua" w:hAnsi="Book Antiqua"/>
          <w:bCs/>
          <w:lang w:val="es-PR"/>
        </w:rPr>
        <w:t>top the Bleed” en nuestras agencias gubernamentales y escuelas públicas ayudaría a educar y empoderar a los individuos para tomar control con actos dirigidos a salvar vidas durante una emergencia de sangrado.  Esto ayudará a alcanzar la meta de eliminar muertes prevenibles a causa de sangrado.  El propósito va enfocado en equipar a los individuos a asistir durante una emergencia y potencialmente salvar la mayor cantidad de vidas posible.  En los casos de trauma, cada segundo hace la diferencia.  Una persona con un sangrado profuso puede morir desangrado en tan solo cinco (5) minutos.  Esto puede evitarse, deteniendo el sangrado con técnicas tales como aplicar presión en la herida, tamponar y cubrir la herida y aplicar un torniquete.  Estas técnicas son manejadas en los talleres, los cuales proporcionarán un entrenamiento básico como parte de una campaña respaldada y promovida por el Colegio Americano de Cirujanos.</w:t>
      </w:r>
    </w:p>
    <w:p w14:paraId="106EB3B2" w14:textId="77777777" w:rsidR="00B40771" w:rsidRDefault="00B40771" w:rsidP="004805CF">
      <w:pPr>
        <w:ind w:firstLine="720"/>
        <w:jc w:val="both"/>
        <w:rPr>
          <w:rFonts w:ascii="Book Antiqua" w:hAnsi="Book Antiqua"/>
          <w:bCs/>
          <w:lang w:val="es-PR"/>
        </w:rPr>
      </w:pPr>
    </w:p>
    <w:p w14:paraId="3C021768" w14:textId="77777777" w:rsidR="00B40771" w:rsidRDefault="00B40771" w:rsidP="004805CF">
      <w:pPr>
        <w:ind w:firstLine="720"/>
        <w:jc w:val="both"/>
        <w:rPr>
          <w:rFonts w:ascii="Book Antiqua" w:hAnsi="Book Antiqua"/>
          <w:bCs/>
          <w:lang w:val="es-PR"/>
        </w:rPr>
      </w:pPr>
      <w:r>
        <w:rPr>
          <w:rFonts w:ascii="Book Antiqua" w:hAnsi="Book Antiqua"/>
          <w:bCs/>
          <w:lang w:val="es-PR"/>
        </w:rPr>
        <w:lastRenderedPageBreak/>
        <w:t>A modo de ejemplo, el servicio militar capacita y adiestra a su personal con un programa elaborado para mostrarle que deben hacer en caso de una emergencia que incluya sangrado y amenaza de vida.  El taller va dirigido a comprender utilizar un equipo simple y fácil</w:t>
      </w:r>
      <w:r w:rsidRPr="002A4DF8">
        <w:rPr>
          <w:rFonts w:ascii="Book Antiqua" w:hAnsi="Book Antiqua"/>
          <w:bCs/>
          <w:lang w:val="es-PR"/>
        </w:rPr>
        <w:t>;</w:t>
      </w:r>
      <w:r>
        <w:rPr>
          <w:rFonts w:ascii="Book Antiqua" w:hAnsi="Book Antiqua"/>
          <w:bCs/>
          <w:lang w:val="es-PR"/>
        </w:rPr>
        <w:t xml:space="preserve"> un torniquete.  Esta medida ha salvado miles de vidas, incluso antes de que llegue un médico o ambulancia.</w:t>
      </w:r>
    </w:p>
    <w:p w14:paraId="3748BA6F" w14:textId="77777777" w:rsidR="00B40771" w:rsidRDefault="00B40771" w:rsidP="004805CF">
      <w:pPr>
        <w:ind w:firstLine="720"/>
        <w:jc w:val="both"/>
        <w:rPr>
          <w:rFonts w:ascii="Book Antiqua" w:hAnsi="Book Antiqua"/>
          <w:bCs/>
          <w:lang w:val="es-PR"/>
        </w:rPr>
      </w:pPr>
    </w:p>
    <w:p w14:paraId="7C24F55C" w14:textId="77777777" w:rsidR="00B40771" w:rsidRPr="007760C3" w:rsidRDefault="00B40771" w:rsidP="004805CF">
      <w:pPr>
        <w:ind w:firstLine="720"/>
        <w:jc w:val="both"/>
        <w:rPr>
          <w:rFonts w:ascii="Book Antiqua" w:hAnsi="Book Antiqua"/>
          <w:bCs/>
          <w:lang w:val="es-PR"/>
        </w:rPr>
      </w:pPr>
      <w:r>
        <w:rPr>
          <w:rFonts w:ascii="Book Antiqua" w:hAnsi="Book Antiqua"/>
          <w:bCs/>
          <w:lang w:val="es-PR"/>
        </w:rPr>
        <w:t xml:space="preserve">Puerto Rico, cuenta con la Fundación Asistencia Centro de Trauma, Inc. </w:t>
      </w:r>
      <w:r w:rsidRPr="006B7FFA">
        <w:rPr>
          <w:rFonts w:ascii="Book Antiqua" w:hAnsi="Book Antiqua"/>
          <w:bCs/>
          <w:lang w:val="es-PR"/>
        </w:rPr>
        <w:t>(FACT), única entidad en el País, pública o privada</w:t>
      </w:r>
      <w:r>
        <w:rPr>
          <w:rFonts w:ascii="Book Antiqua" w:hAnsi="Book Antiqua"/>
          <w:bCs/>
          <w:lang w:val="es-PR"/>
        </w:rPr>
        <w:t xml:space="preserve">, dedicada exclusivamente al trauma, catalogado como una epidemia olvidada en Puerto Rico y no atendida.  Siendo ésta la primera causa de muerte antes de los cuarenta y cuatro </w:t>
      </w:r>
      <w:r w:rsidRPr="000D67AC">
        <w:rPr>
          <w:rFonts w:ascii="Book Antiqua" w:hAnsi="Book Antiqua"/>
          <w:bCs/>
          <w:lang w:val="es-PR"/>
        </w:rPr>
        <w:t>(4</w:t>
      </w:r>
      <w:r>
        <w:rPr>
          <w:rFonts w:ascii="Book Antiqua" w:hAnsi="Book Antiqua"/>
          <w:bCs/>
          <w:lang w:val="es-PR"/>
        </w:rPr>
        <w:t>4) años en la Isla.  Con el fin de prevenir las lesiones y de muertes evitables siempre que sea posible, y garantizar un tratamiento óptimo del trauma cuando se produce.  FACT se encarga de educar e informar al público sobre el trauma, su prevención y trato.  Además, se ofrecen talleres para capacitar al público en temas de primera ayuda a víctimas de trauma mientras llega la atención especializada, dirigido principalmente a cómo detener un sangrado.  Este proyecto fue propulsado por el Dr. Pablo Rodríguez Ortiz, Director y Cirujano del Centro de Trauma por más de treinta (30) años. Esta fundación contiene todos los requisitos y formalidades para coordinar estos talleres destinados a las agencias gubernamentales y escuelas públicas de Puerto Rico.  Al día de hoy, esta entidad tiene todos los permisos al día y está capacitada para utilizarse como facilitadora en esta pieza legislativa.</w:t>
      </w:r>
    </w:p>
    <w:p w14:paraId="30E5BDBD" w14:textId="77777777" w:rsidR="00B40771" w:rsidRPr="00980155" w:rsidRDefault="00B40771" w:rsidP="004805CF">
      <w:pPr>
        <w:jc w:val="both"/>
        <w:rPr>
          <w:rFonts w:ascii="Book Antiqua" w:hAnsi="Book Antiqua"/>
          <w:bCs/>
          <w:lang w:val="es-PR"/>
        </w:rPr>
      </w:pPr>
    </w:p>
    <w:p w14:paraId="78ACC41D" w14:textId="77777777" w:rsidR="00B40771" w:rsidRDefault="00B40771" w:rsidP="004805CF">
      <w:pPr>
        <w:ind w:firstLine="720"/>
        <w:jc w:val="both"/>
        <w:rPr>
          <w:rFonts w:ascii="Book Antiqua" w:hAnsi="Book Antiqua"/>
          <w:bCs/>
          <w:lang w:val="es-ES"/>
        </w:rPr>
      </w:pPr>
      <w:r>
        <w:rPr>
          <w:rFonts w:ascii="Book Antiqua" w:hAnsi="Book Antiqua"/>
          <w:bCs/>
          <w:lang w:val="es-ES"/>
        </w:rPr>
        <w:t>Los torniquetes son instrumentos médicos de primeros auxilios que se utilizan para comprimir las arterias y, así detener una hemorragia localizada en las extremidades. También, se les conoce como bandas ajustadas que se colocan en las extremidades lesionadas con la finalidad de controlar o detener la hemorragia en una situación de emergencia.  Son catalogados como eficaces para controlar el sangrado de manera inmediata hasta que haya atención médica para tratar la herida.  Según investigaciones, es menester destacar que, el uso de este instrumento útil ayuda a ampliar el tiempo que hay antes de que se produzca un “shock hipovolémico” y empeore el cuadro sintomático del paciente.  Esa situación médica, se caracteriza por una afección de emergencia en la cual la pérdida grave de sangre o de otro líquido hace que el corazón sea incapaz de bombear suficiente sangre al cuerpo.  Este tipo de “shock” puede hacer que muchos órganos dejen de funcionar.</w:t>
      </w:r>
    </w:p>
    <w:p w14:paraId="16EC7F2E" w14:textId="77777777" w:rsidR="00B40771" w:rsidRDefault="00B40771" w:rsidP="004805CF">
      <w:pPr>
        <w:ind w:firstLine="720"/>
        <w:jc w:val="both"/>
        <w:rPr>
          <w:rFonts w:ascii="Book Antiqua" w:hAnsi="Book Antiqua"/>
          <w:bCs/>
          <w:lang w:val="es-ES"/>
        </w:rPr>
      </w:pPr>
    </w:p>
    <w:p w14:paraId="09D7B7E5" w14:textId="77777777" w:rsidR="00B40771" w:rsidRDefault="00B40771" w:rsidP="004805CF">
      <w:pPr>
        <w:pStyle w:val="NormalWeb"/>
        <w:shd w:val="clear" w:color="auto" w:fill="FFFFFF"/>
        <w:spacing w:before="0" w:beforeAutospacing="0" w:after="0" w:afterAutospacing="0"/>
        <w:ind w:firstLine="720"/>
        <w:jc w:val="both"/>
        <w:textAlignment w:val="baseline"/>
        <w:rPr>
          <w:rFonts w:ascii="Book Antiqua" w:hAnsi="Book Antiqua"/>
          <w:color w:val="000000" w:themeColor="text1"/>
          <w:shd w:val="clear" w:color="auto" w:fill="FFFFFF"/>
          <w:lang w:val="es-PR"/>
        </w:rPr>
      </w:pPr>
      <w:r w:rsidRPr="006227BC">
        <w:rPr>
          <w:rFonts w:ascii="Book Antiqua" w:hAnsi="Book Antiqua"/>
          <w:color w:val="000000"/>
          <w:shd w:val="clear" w:color="auto" w:fill="FFFFFF"/>
          <w:lang w:val="es-PR"/>
        </w:rPr>
        <w:t>Su origen se remonta hasta la Edad Media cuando el cirujano militar francés Etienne Morel lo usara por primera vez en la batalla de Flanders en 1674, pero el término actual fue acuñado a inicios del siglo XVIII por Jean Louis Petit</w:t>
      </w:r>
      <w:r w:rsidRPr="00A14888">
        <w:rPr>
          <w:rFonts w:ascii="Book Antiqua" w:hAnsi="Book Antiqua"/>
          <w:color w:val="000000" w:themeColor="text1"/>
          <w:shd w:val="clear" w:color="auto" w:fill="FFFFFF"/>
          <w:lang w:val="es-PR"/>
        </w:rPr>
        <w:t>.  El uso del torniquete tiene una larga evolución, desde sus primeras aplicaciones en la antigua roma, hasta la actualidad, aunque sus indicaciones han ido evolucionando, el dispositivo ha variado poco debido a su simplicidad.</w:t>
      </w:r>
      <w:r>
        <w:rPr>
          <w:rFonts w:ascii="Book Antiqua" w:hAnsi="Book Antiqua"/>
          <w:color w:val="000000" w:themeColor="text1"/>
          <w:shd w:val="clear" w:color="auto" w:fill="FFFFFF"/>
          <w:lang w:val="es-PR"/>
        </w:rPr>
        <w:t xml:space="preserve">  E</w:t>
      </w:r>
      <w:r w:rsidRPr="00C712A8">
        <w:rPr>
          <w:rFonts w:ascii="Book Antiqua" w:hAnsi="Book Antiqua"/>
          <w:color w:val="000000" w:themeColor="text1"/>
          <w:shd w:val="clear" w:color="auto" w:fill="FFFFFF"/>
          <w:lang w:val="es-PR"/>
        </w:rPr>
        <w:t>n las últimas dos décadas han aumentado su popularidad debido a los estudios realizados en hospitales militares de las guerras de Afganistán e Irak</w:t>
      </w:r>
      <w:r>
        <w:rPr>
          <w:rFonts w:ascii="Book Antiqua" w:hAnsi="Book Antiqua"/>
          <w:color w:val="000000" w:themeColor="text1"/>
          <w:shd w:val="clear" w:color="auto" w:fill="FFFFFF"/>
          <w:lang w:val="es-PR"/>
        </w:rPr>
        <w:t>.</w:t>
      </w:r>
      <w:r w:rsidRPr="00C712A8">
        <w:rPr>
          <w:rFonts w:ascii="Book Antiqua" w:hAnsi="Book Antiqua"/>
          <w:color w:val="000000" w:themeColor="text1"/>
          <w:shd w:val="clear" w:color="auto" w:fill="FFFFFF"/>
          <w:lang w:val="es-PR"/>
        </w:rPr>
        <w:t xml:space="preserve"> Sin embargo su desarrollo actual no queda solo destinado al campo de batalla, ya que en el primer mundo, estamos expuestos a multitud de eventos </w:t>
      </w:r>
      <w:r w:rsidRPr="00C712A8">
        <w:rPr>
          <w:rFonts w:ascii="Book Antiqua" w:hAnsi="Book Antiqua"/>
          <w:color w:val="000000" w:themeColor="text1"/>
          <w:shd w:val="clear" w:color="auto" w:fill="FFFFFF"/>
          <w:lang w:val="es-PR"/>
        </w:rPr>
        <w:lastRenderedPageBreak/>
        <w:t>traumáticos, de diversas condiciones, como lesiones por armas blancas, accidentes viales, y de múltiples victimas como desastres naturales sin olvida</w:t>
      </w:r>
      <w:r>
        <w:rPr>
          <w:rFonts w:ascii="Book Antiqua" w:hAnsi="Book Antiqua"/>
          <w:color w:val="000000" w:themeColor="text1"/>
          <w:shd w:val="clear" w:color="auto" w:fill="FFFFFF"/>
          <w:lang w:val="es-PR"/>
        </w:rPr>
        <w:t>r</w:t>
      </w:r>
      <w:r w:rsidRPr="00C712A8">
        <w:rPr>
          <w:rFonts w:ascii="Book Antiqua" w:hAnsi="Book Antiqua"/>
          <w:color w:val="000000" w:themeColor="text1"/>
          <w:shd w:val="clear" w:color="auto" w:fill="FFFFFF"/>
          <w:lang w:val="es-PR"/>
        </w:rPr>
        <w:t xml:space="preserve"> también los atentados terroristas a los que nos enfrentamos en la actualidad, donde el uso del torniquete es vital, ya que el número de víctimas supera el número de sanitarios y no es posible ejercer una presión directa durante un tiempo prolongado, para evitar la hemorragia y con ello el fatal desenlace.</w:t>
      </w:r>
    </w:p>
    <w:p w14:paraId="6A205FCB" w14:textId="77777777" w:rsidR="004805CF" w:rsidRPr="00AD33BA" w:rsidRDefault="004805CF" w:rsidP="004805CF">
      <w:pPr>
        <w:pStyle w:val="NormalWeb"/>
        <w:shd w:val="clear" w:color="auto" w:fill="FFFFFF"/>
        <w:spacing w:before="0" w:beforeAutospacing="0" w:after="0" w:afterAutospacing="0"/>
        <w:ind w:firstLine="720"/>
        <w:jc w:val="both"/>
        <w:textAlignment w:val="baseline"/>
        <w:rPr>
          <w:rFonts w:ascii="Roboto" w:hAnsi="Roboto"/>
          <w:color w:val="43354B"/>
          <w:sz w:val="21"/>
          <w:szCs w:val="21"/>
          <w:shd w:val="clear" w:color="auto" w:fill="FFFFFF"/>
          <w:lang w:val="es-PR"/>
        </w:rPr>
      </w:pPr>
    </w:p>
    <w:p w14:paraId="33B677CD"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Su aplicación debe ser tema prioritario y crear conciencia en todas nuestras agencias gubernamentales y escuelas públicas del País.  Es un hecho que las hemorragias no controladas asociadas a traumas graves siguen siendo en la actualidad una de las principales causas de mortalidad en las emergencias prehospitalarias, por lo que la aplicación del torniquete cada vez se está liberalizando más, ya que se trata de un dispositivo de fácil aplicación que salva vidas.  Esta herramienta indiscutiblemente puede ayudar a salvar vidas, en un entorno donde no se encuentre soporte médico de forma inmediata.  En ese caso, ayudaría a poder controlar la hemorragia de forma rápida y fácil. </w:t>
      </w:r>
    </w:p>
    <w:p w14:paraId="7A1EC25E" w14:textId="77777777" w:rsidR="00B40771" w:rsidRDefault="00B40771" w:rsidP="004805CF">
      <w:pPr>
        <w:ind w:firstLine="720"/>
        <w:jc w:val="both"/>
        <w:rPr>
          <w:rFonts w:ascii="Book Antiqua" w:hAnsi="Book Antiqua"/>
          <w:bCs/>
          <w:lang w:val="es-ES"/>
        </w:rPr>
      </w:pPr>
    </w:p>
    <w:p w14:paraId="09139A9F" w14:textId="77777777" w:rsidR="00B40771" w:rsidRPr="007F5713" w:rsidRDefault="00B40771" w:rsidP="004805CF">
      <w:pPr>
        <w:ind w:firstLine="720"/>
        <w:jc w:val="both"/>
        <w:rPr>
          <w:rFonts w:ascii="Book Antiqua" w:hAnsi="Book Antiqua"/>
          <w:bCs/>
          <w:lang w:val="es-PR"/>
        </w:rPr>
      </w:pPr>
      <w:r>
        <w:rPr>
          <w:rFonts w:ascii="Book Antiqua" w:hAnsi="Book Antiqua"/>
          <w:bCs/>
          <w:lang w:val="es-ES"/>
        </w:rPr>
        <w:t>Cónsono con lo anterior, implementar talleres sobre el uso y manejo de torniquetes en estos lugares aumentaría la concienciación sobre la importancia de orientar referente a las diferentes ventajas y usos de esta herramienta.  Esto aumentaría la probabilidad de mantener con vida a una persona que sufre un trauma.  De igual manera, se capacita y adiestra a todo el personal de las agencias y escuelas públicas sobre cómo responder y reaccionar ante la eventualidad de un suceso que requiera acción inmediata para preservar la vida de un ser humano.  Estos talleres se deben ofrecer una vez al año y debe ser requisito su implementación en cada agencia gubernamental y escuela pública del Estado Libre Asociado de Puerto Rico.</w:t>
      </w:r>
    </w:p>
    <w:p w14:paraId="501F6CA6" w14:textId="77777777" w:rsidR="00B40771" w:rsidRDefault="00B40771" w:rsidP="004805CF">
      <w:pPr>
        <w:jc w:val="both"/>
        <w:rPr>
          <w:rFonts w:ascii="Book Antiqua" w:hAnsi="Book Antiqua"/>
          <w:bCs/>
          <w:lang w:val="es-ES"/>
        </w:rPr>
      </w:pPr>
    </w:p>
    <w:p w14:paraId="6098008F"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Cuando ocurre una lesión traumática en un brazo o pierna, esto conduce a una rápida pérdida de sangre.  Para esto, un torniquete correctamente aplicado es la mejor opción para proceder a salvaguardar la vida de una persona.  Este aparato, ha demostrado su eficacia deteniendo hemorragias.  Se ha comprobado que sus complicaciones son escasas y la mayoría son atribuibles al estado crítico de los pacientes y no al hecho de su colocación. Es por esto </w:t>
      </w:r>
      <w:proofErr w:type="gramStart"/>
      <w:r>
        <w:rPr>
          <w:rFonts w:ascii="Book Antiqua" w:hAnsi="Book Antiqua"/>
          <w:bCs/>
          <w:lang w:val="es-ES"/>
        </w:rPr>
        <w:t>que</w:t>
      </w:r>
      <w:proofErr w:type="gramEnd"/>
      <w:r>
        <w:rPr>
          <w:rFonts w:ascii="Book Antiqua" w:hAnsi="Book Antiqua"/>
          <w:bCs/>
          <w:lang w:val="es-ES"/>
        </w:rPr>
        <w:t>, es necesario contar encada agencia del gobierno y en las escuelas de nuestro País con este instrumento.  Esto, hará sentir más tranquilo a las personas pues contarán con una herramienta preventiva y de protección ante cualquier emergencia que pueda ocurrir en ese entorno. Cónsono con lo anterior, es de vital importancia tener al alcance el dispositivo (torniquete) en un entorno donde no hay recursos o acceso a contar con servicios médicos al momento.  Esto sin duda, facilitaría contribuir a ayudar a preservar la vida en una situación extrema.</w:t>
      </w:r>
    </w:p>
    <w:p w14:paraId="425A4923" w14:textId="77777777" w:rsidR="00B40771" w:rsidRDefault="00B40771" w:rsidP="004805CF">
      <w:pPr>
        <w:ind w:firstLine="720"/>
        <w:jc w:val="both"/>
        <w:rPr>
          <w:rFonts w:ascii="Book Antiqua" w:hAnsi="Book Antiqua"/>
          <w:bCs/>
          <w:lang w:val="es-ES"/>
        </w:rPr>
      </w:pPr>
    </w:p>
    <w:p w14:paraId="1CB49FBB" w14:textId="77777777" w:rsidR="00B40771" w:rsidRDefault="00B40771" w:rsidP="004805CF">
      <w:pPr>
        <w:ind w:firstLine="720"/>
        <w:jc w:val="both"/>
        <w:rPr>
          <w:rFonts w:ascii="Book Antiqua" w:hAnsi="Book Antiqua"/>
          <w:bCs/>
          <w:lang w:val="es-PR"/>
        </w:rPr>
      </w:pPr>
      <w:r>
        <w:rPr>
          <w:rFonts w:ascii="Book Antiqua" w:hAnsi="Book Antiqua"/>
          <w:bCs/>
          <w:lang w:val="es-ES"/>
        </w:rPr>
        <w:t xml:space="preserve">Según datos médicos, los traumas son la primera causa de muerte en personas jóvenes menores de cuarenta y cuatro </w:t>
      </w:r>
      <w:r w:rsidRPr="00F0754C">
        <w:rPr>
          <w:rFonts w:ascii="Book Antiqua" w:hAnsi="Book Antiqua"/>
          <w:bCs/>
          <w:lang w:val="es-PR"/>
        </w:rPr>
        <w:t>(</w:t>
      </w:r>
      <w:r>
        <w:rPr>
          <w:rFonts w:ascii="Book Antiqua" w:hAnsi="Book Antiqua"/>
          <w:bCs/>
          <w:lang w:val="es-PR"/>
        </w:rPr>
        <w:t xml:space="preserve">44) años.  Ninguna persona desea estar implicado en una emergencia médica, no obstante, diariamente ocurren accidentes y/o desastres naturales, sin previo aviso.  Esta situación puede ocurrir en lugares de trabajo, escuelas, </w:t>
      </w:r>
      <w:r>
        <w:rPr>
          <w:rFonts w:ascii="Book Antiqua" w:hAnsi="Book Antiqua"/>
          <w:bCs/>
          <w:lang w:val="es-PR"/>
        </w:rPr>
        <w:lastRenderedPageBreak/>
        <w:t>centros comerciales y cualquier ser humano debe estar capacitado para servir de socorrista de una persona cuya primera intervención sea esencial.  La clave para salvar una vida es estar preparado y contar con un adiestramiento que permita reaccionar en un acontecimiento donde la vida de una persona esté en riesgo.</w:t>
      </w:r>
    </w:p>
    <w:p w14:paraId="58607E82" w14:textId="77777777" w:rsidR="00B40771" w:rsidRDefault="00B40771" w:rsidP="004805CF">
      <w:pPr>
        <w:ind w:firstLine="720"/>
        <w:jc w:val="both"/>
        <w:rPr>
          <w:rFonts w:ascii="Book Antiqua" w:hAnsi="Book Antiqua"/>
          <w:bCs/>
          <w:lang w:val="es-PR"/>
        </w:rPr>
      </w:pPr>
    </w:p>
    <w:p w14:paraId="08E21633" w14:textId="77777777" w:rsidR="00B40771" w:rsidRDefault="00B40771" w:rsidP="004805CF">
      <w:pPr>
        <w:ind w:firstLine="720"/>
        <w:jc w:val="both"/>
        <w:rPr>
          <w:rFonts w:ascii="Book Antiqua" w:hAnsi="Book Antiqua"/>
          <w:bCs/>
          <w:lang w:val="es-PR"/>
        </w:rPr>
      </w:pPr>
      <w:r>
        <w:rPr>
          <w:rFonts w:ascii="Book Antiqua" w:hAnsi="Book Antiqua"/>
          <w:bCs/>
          <w:lang w:val="es-PR"/>
        </w:rPr>
        <w:t>Hoy día, las personas en una situación de emergencia recurren a la utilización de vendajes compresivo o “gasas”.  Ambos instrumentos funcionan de forma similar, pero no son lo mismo.  El vendaje comprensivo interrumpe la hemorragia durante menos tiempo, requiere de grandes cantidades de gasas y de una venda elástica.  Esto, hace que pueda tardar varios minutos en colocarla, porque se debe enrollar la venda sobre la herida.  Además, no es algo sencillo de realizar, menos en momentos de tensión como los que se viven en una emergencia.  Es por esto que, es posible que una sola persona no pueda hacerlo.  En cambio, el torniquete, en adición de detener la hemorragia durante más tiempo, se tarda pocos minutos en colocar y la mayoría de los modelos que se utilizan, se puede colocar con una sola mano.  Este instrumento, indudablemente es más cómodo y práctico. “Lo único más trágico que una muerte, es una muerte que pudo haberse prevenido”.</w:t>
      </w:r>
    </w:p>
    <w:p w14:paraId="647A5540" w14:textId="77777777" w:rsidR="00B40771" w:rsidRPr="00F54FED" w:rsidRDefault="00B40771" w:rsidP="004805CF">
      <w:pPr>
        <w:ind w:firstLine="720"/>
        <w:jc w:val="both"/>
        <w:rPr>
          <w:rFonts w:ascii="Book Antiqua" w:hAnsi="Book Antiqua"/>
          <w:bCs/>
          <w:lang w:val="es-PR"/>
        </w:rPr>
      </w:pPr>
    </w:p>
    <w:p w14:paraId="44257754" w14:textId="77777777" w:rsidR="00B40771" w:rsidRPr="005C404B" w:rsidRDefault="00B40771" w:rsidP="004805CF">
      <w:pPr>
        <w:ind w:firstLine="720"/>
        <w:jc w:val="both"/>
        <w:rPr>
          <w:rFonts w:ascii="Book Antiqua" w:hAnsi="Book Antiqua"/>
          <w:bCs/>
          <w:lang w:val="es-PR"/>
        </w:rPr>
      </w:pPr>
      <w:r w:rsidRPr="000E1EA8">
        <w:rPr>
          <w:rFonts w:ascii="Book Antiqua" w:hAnsi="Book Antiqua"/>
          <w:color w:val="000000"/>
          <w:lang w:val="es-PR"/>
        </w:rPr>
        <w:t>Es por todo lo anterior, que esta Asamblea Legislativa, procurando la protección, el bienesta</w:t>
      </w:r>
      <w:r>
        <w:rPr>
          <w:rFonts w:ascii="Book Antiqua" w:hAnsi="Book Antiqua"/>
          <w:color w:val="000000"/>
          <w:lang w:val="es-PR"/>
        </w:rPr>
        <w:t xml:space="preserve">r, </w:t>
      </w:r>
      <w:r w:rsidRPr="000E1EA8">
        <w:rPr>
          <w:rFonts w:ascii="Book Antiqua" w:hAnsi="Book Antiqua"/>
          <w:color w:val="000000"/>
          <w:lang w:val="es-PR"/>
        </w:rPr>
        <w:t>la seguridad</w:t>
      </w:r>
      <w:r>
        <w:rPr>
          <w:rFonts w:ascii="Book Antiqua" w:hAnsi="Book Antiqua"/>
          <w:color w:val="000000"/>
          <w:lang w:val="es-PR"/>
        </w:rPr>
        <w:t xml:space="preserve"> y la salud</w:t>
      </w:r>
      <w:r w:rsidRPr="000E1EA8">
        <w:rPr>
          <w:rFonts w:ascii="Book Antiqua" w:hAnsi="Book Antiqua"/>
          <w:color w:val="000000"/>
          <w:lang w:val="es-PR"/>
        </w:rPr>
        <w:t xml:space="preserve"> de </w:t>
      </w:r>
      <w:r>
        <w:rPr>
          <w:rFonts w:ascii="Book Antiqua" w:hAnsi="Book Antiqua"/>
          <w:color w:val="000000"/>
          <w:lang w:val="es-PR"/>
        </w:rPr>
        <w:t xml:space="preserve">todos los ciudadanos de </w:t>
      </w:r>
      <w:r w:rsidRPr="000E1EA8">
        <w:rPr>
          <w:rFonts w:ascii="Book Antiqua" w:hAnsi="Book Antiqua"/>
          <w:color w:val="000000"/>
          <w:lang w:val="es-PR"/>
        </w:rPr>
        <w:t xml:space="preserve">Puerto Rico, </w:t>
      </w:r>
      <w:r>
        <w:rPr>
          <w:rFonts w:ascii="Book Antiqua" w:hAnsi="Book Antiqua"/>
          <w:color w:val="000000"/>
          <w:lang w:val="es-PR"/>
        </w:rPr>
        <w:t xml:space="preserve">promueva esta iniciativa de establecer adiestramiento de manejo y uso de torniquete, el cual ayuda a salvar una vida en una situación de emergencia en todas las agencias del Gobierno y las escuelas públicas de nuestro País.  Nosotros somos los responsables de marcar una trayectoria de justicia y compasión por todas las personas que pierden la vida en una situación de emergencia por no contar con los recursos al alcance de la mano para salvar una vida. </w:t>
      </w:r>
      <w:r w:rsidRPr="000E1EA8">
        <w:rPr>
          <w:rFonts w:ascii="Book Antiqua" w:hAnsi="Book Antiqua"/>
          <w:color w:val="000000"/>
          <w:lang w:val="es-PR"/>
        </w:rPr>
        <w:t xml:space="preserve">A su vez, se promueve </w:t>
      </w:r>
      <w:r>
        <w:rPr>
          <w:rFonts w:ascii="Book Antiqua" w:hAnsi="Book Antiqua"/>
          <w:color w:val="000000"/>
          <w:lang w:val="es-PR"/>
        </w:rPr>
        <w:t>la empatía y la ayuda humanitaria en ser colaboradores de nuestros hermanos puertorriqueños en una situación crítica.  Por último</w:t>
      </w:r>
      <w:r w:rsidRPr="005C404B">
        <w:rPr>
          <w:rFonts w:ascii="Book Antiqua" w:hAnsi="Book Antiqua"/>
          <w:color w:val="000000"/>
          <w:lang w:val="es-PR"/>
        </w:rPr>
        <w:t xml:space="preserve">, </w:t>
      </w:r>
      <w:r>
        <w:rPr>
          <w:rFonts w:ascii="Book Antiqua" w:hAnsi="Book Antiqua"/>
          <w:color w:val="000000"/>
          <w:lang w:val="es-PR"/>
        </w:rPr>
        <w:t>d</w:t>
      </w:r>
      <w:r w:rsidRPr="005C404B">
        <w:rPr>
          <w:rFonts w:ascii="Book Antiqua" w:hAnsi="Book Antiqua"/>
          <w:color w:val="000000"/>
          <w:lang w:val="es-PR"/>
        </w:rPr>
        <w:t>e esta manera, comenzamos a devolverle la confianza</w:t>
      </w:r>
      <w:r>
        <w:rPr>
          <w:rFonts w:ascii="Book Antiqua" w:hAnsi="Book Antiqua"/>
          <w:color w:val="000000"/>
          <w:lang w:val="es-PR"/>
        </w:rPr>
        <w:t xml:space="preserve"> y tranquilidad</w:t>
      </w:r>
      <w:r w:rsidRPr="005C404B">
        <w:rPr>
          <w:rFonts w:ascii="Book Antiqua" w:hAnsi="Book Antiqua"/>
          <w:color w:val="000000"/>
          <w:lang w:val="es-PR"/>
        </w:rPr>
        <w:t xml:space="preserve"> al pueblo de Puerto Rico de que sus</w:t>
      </w:r>
      <w:r>
        <w:rPr>
          <w:rFonts w:ascii="Book Antiqua" w:hAnsi="Book Antiqua"/>
          <w:color w:val="000000"/>
          <w:lang w:val="es-PR"/>
        </w:rPr>
        <w:t xml:space="preserve"> agencias gubernamentales y escuelas públicas están adiestradas y capacitadas para que su personal pueda ayudar a salvar una vida.</w:t>
      </w:r>
    </w:p>
    <w:p w14:paraId="3404D9F0" w14:textId="77777777" w:rsidR="00B40771" w:rsidRDefault="00B40771" w:rsidP="004805CF">
      <w:pPr>
        <w:pStyle w:val="default"/>
        <w:jc w:val="both"/>
        <w:rPr>
          <w:rFonts w:ascii="Book Antiqua" w:hAnsi="Book Antiqua"/>
          <w:i/>
          <w:iCs/>
          <w:color w:val="auto"/>
          <w:lang w:val="es-ES"/>
        </w:rPr>
      </w:pPr>
    </w:p>
    <w:p w14:paraId="2D9B251A" w14:textId="7D578CBC" w:rsidR="00B40771" w:rsidRPr="00B40771" w:rsidRDefault="00B40771" w:rsidP="00B40771">
      <w:pPr>
        <w:pStyle w:val="default"/>
        <w:suppressLineNumbers/>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2CC590D1" w14:textId="77777777" w:rsidR="004805CF" w:rsidRDefault="004805CF" w:rsidP="00B40771">
      <w:pPr>
        <w:tabs>
          <w:tab w:val="left" w:pos="7560"/>
          <w:tab w:val="left" w:pos="7920"/>
        </w:tabs>
        <w:autoSpaceDE w:val="0"/>
        <w:autoSpaceDN w:val="0"/>
        <w:adjustRightInd w:val="0"/>
        <w:spacing w:line="480" w:lineRule="auto"/>
        <w:jc w:val="both"/>
        <w:rPr>
          <w:rFonts w:ascii="Book Antiqua" w:hAnsi="Book Antiqua"/>
          <w:lang w:val="es-PR"/>
        </w:rPr>
        <w:sectPr w:rsidR="004805CF" w:rsidSect="004805CF">
          <w:headerReference w:type="even" r:id="rId8"/>
          <w:headerReference w:type="default" r:id="rId9"/>
          <w:footerReference w:type="default" r:id="rId10"/>
          <w:pgSz w:w="12240" w:h="15840"/>
          <w:pgMar w:top="1440" w:right="1440" w:bottom="1440" w:left="1440" w:header="720" w:footer="720" w:gutter="0"/>
          <w:cols w:space="720"/>
          <w:titlePg/>
          <w:docGrid w:linePitch="360"/>
        </w:sectPr>
      </w:pPr>
    </w:p>
    <w:p w14:paraId="1B7B729C" w14:textId="34366C56"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w:t>
      </w:r>
      <w:r w:rsidRPr="00FE625C">
        <w:rPr>
          <w:rFonts w:ascii="Book Antiqua" w:hAnsi="Book Antiqua"/>
          <w:lang w:val="es-PR"/>
        </w:rPr>
        <w:t xml:space="preserve"> 1.- </w:t>
      </w:r>
      <w:r>
        <w:rPr>
          <w:rFonts w:ascii="Book Antiqua" w:hAnsi="Book Antiqua"/>
          <w:lang w:val="es-PR"/>
        </w:rPr>
        <w:t>Título</w:t>
      </w:r>
    </w:p>
    <w:p w14:paraId="69E890BA" w14:textId="77777777" w:rsidR="00B40771" w:rsidRDefault="00B40771" w:rsidP="00B40771">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Esta Ley se conocerá como la “</w:t>
      </w:r>
      <w:r w:rsidRPr="00F67E27">
        <w:rPr>
          <w:rFonts w:ascii="Book Antiqua" w:hAnsi="Book Antiqua" w:cs="AngsanaUPC"/>
          <w:lang w:val="es-PR"/>
        </w:rPr>
        <w:t xml:space="preserve">Ley </w:t>
      </w:r>
      <w:r>
        <w:rPr>
          <w:rFonts w:ascii="Book Antiqua" w:hAnsi="Book Antiqua"/>
          <w:lang w:val="es-PR"/>
        </w:rPr>
        <w:t>para establecer el taller de uso y manejo de torniquetes en las Agencias Gubernamentales y Escuelas Públicas de Puerto Rico”</w:t>
      </w:r>
    </w:p>
    <w:p w14:paraId="1A052968"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FE625C">
        <w:rPr>
          <w:rFonts w:ascii="Book Antiqua" w:hAnsi="Book Antiqua"/>
          <w:lang w:val="es-PR"/>
        </w:rPr>
        <w:t xml:space="preserve">Artículo </w:t>
      </w:r>
      <w:r>
        <w:rPr>
          <w:rFonts w:ascii="Book Antiqua" w:hAnsi="Book Antiqua"/>
          <w:lang w:val="es-PR"/>
        </w:rPr>
        <w:t>2.</w:t>
      </w:r>
      <w:r w:rsidRPr="00FE625C">
        <w:rPr>
          <w:rFonts w:ascii="Book Antiqua" w:hAnsi="Book Antiqua"/>
          <w:lang w:val="es-PR"/>
        </w:rPr>
        <w:t xml:space="preserve">- </w:t>
      </w:r>
      <w:r>
        <w:rPr>
          <w:rFonts w:ascii="Book Antiqua" w:hAnsi="Book Antiqua"/>
          <w:lang w:val="es-PR"/>
        </w:rPr>
        <w:t>Definiciones</w:t>
      </w:r>
    </w:p>
    <w:p w14:paraId="53123B98" w14:textId="77777777" w:rsidR="00B40771" w:rsidRDefault="00B40771" w:rsidP="00B40771">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lastRenderedPageBreak/>
        <w:t>Para propósitos de esta Ley los siguientes términos tendrán el significado que a continuación se expresa:</w:t>
      </w:r>
    </w:p>
    <w:p w14:paraId="7D8514A0" w14:textId="77777777" w:rsidR="00B4077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Agencia- cualquier departamento, oficina, negociado, comisión, junta, administración, autoridad, corporación pública, incluyendo sus afiliadas y subsidiarias o cualquier otro organismo de la Rama Ejecutiva.</w:t>
      </w:r>
    </w:p>
    <w:p w14:paraId="7575393B" w14:textId="72B13DAE" w:rsidR="00B40771" w:rsidRPr="008E77B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Escuela- cualquier edificio y/o estructura incluyendo los terrenos donde están ubicados con todos sus bienes anejos propiedad del Gobierno de Puerto Rico, como los arrendados a personas particulares, usados para fines escolares bajo el control o jurisdicción total, parcial o temporera del Departamento</w:t>
      </w:r>
      <w:r w:rsidR="00D14848">
        <w:rPr>
          <w:rFonts w:ascii="Book Antiqua" w:hAnsi="Book Antiqua"/>
          <w:lang w:val="es-PR"/>
        </w:rPr>
        <w:t xml:space="preserve"> </w:t>
      </w:r>
      <w:r w:rsidR="00D14848">
        <w:rPr>
          <w:rFonts w:ascii="Book Antiqua" w:hAnsi="Book Antiqua"/>
          <w:i/>
          <w:iCs/>
          <w:u w:val="single"/>
          <w:lang w:val="es-PR"/>
        </w:rPr>
        <w:t>de Educación</w:t>
      </w:r>
      <w:r>
        <w:rPr>
          <w:rFonts w:ascii="Book Antiqua" w:hAnsi="Book Antiqua"/>
          <w:lang w:val="es-PR"/>
        </w:rPr>
        <w:t>.</w:t>
      </w:r>
    </w:p>
    <w:p w14:paraId="2D21770F" w14:textId="77777777" w:rsidR="00B4077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Emergencia- suceso o situación que presenta de improvisto y requiere de una atención inmediata.</w:t>
      </w:r>
    </w:p>
    <w:p w14:paraId="77E14034" w14:textId="77777777" w:rsidR="00B4077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Taller- proceso planificado y estructurado de aprendizaje, que implica a los participantes del grupo y que tiene una finalidad concreta.</w:t>
      </w:r>
    </w:p>
    <w:p w14:paraId="17690F38" w14:textId="77777777" w:rsidR="00B40771" w:rsidRPr="0064037A"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Torniquete</w:t>
      </w:r>
      <w:r w:rsidRPr="0064037A">
        <w:rPr>
          <w:rFonts w:ascii="Book Antiqua" w:hAnsi="Book Antiqua"/>
          <w:lang w:val="es-PR"/>
        </w:rPr>
        <w:t xml:space="preserve">- </w:t>
      </w:r>
      <w:r>
        <w:rPr>
          <w:rFonts w:ascii="Book Antiqua" w:hAnsi="Book Antiqua"/>
          <w:bCs/>
          <w:lang w:val="es-ES"/>
        </w:rPr>
        <w:t>instrumento médico de primeros auxilios que se utiliza para comprimir las arterias y así detener una hemorragia localizada en las extremidades.</w:t>
      </w:r>
    </w:p>
    <w:p w14:paraId="3479826E" w14:textId="77777777" w:rsidR="00B40771" w:rsidRPr="00614896"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bCs/>
          <w:lang w:val="es-ES"/>
        </w:rPr>
        <w:t>Trauma- lesiones internas o externas provocadas por la acción de agentes físicos o mecánicos exteriores.</w:t>
      </w:r>
    </w:p>
    <w:p w14:paraId="33D55B0D" w14:textId="2D5A6E65" w:rsidR="00614896" w:rsidRPr="009758ED" w:rsidRDefault="009758ED" w:rsidP="009758ED">
      <w:pPr>
        <w:tabs>
          <w:tab w:val="left" w:pos="7560"/>
          <w:tab w:val="left" w:pos="7920"/>
        </w:tabs>
        <w:autoSpaceDE w:val="0"/>
        <w:autoSpaceDN w:val="0"/>
        <w:adjustRightInd w:val="0"/>
        <w:spacing w:line="480" w:lineRule="auto"/>
        <w:ind w:left="1500"/>
        <w:jc w:val="both"/>
        <w:rPr>
          <w:rFonts w:ascii="Book Antiqua" w:hAnsi="Book Antiqua"/>
          <w:i/>
          <w:iCs/>
          <w:u w:val="single"/>
          <w:lang w:val="es-PR"/>
        </w:rPr>
      </w:pPr>
      <w:r w:rsidRPr="009758ED">
        <w:rPr>
          <w:rFonts w:ascii="Book Antiqua" w:hAnsi="Book Antiqua"/>
          <w:i/>
          <w:iCs/>
          <w:u w:val="single"/>
          <w:lang w:val="es-PR"/>
        </w:rPr>
        <w:t xml:space="preserve">(g) Entidad capacitadora- organización o entidad con experiencia y certificación reconocida en el ámbito de la atención de trauma y primeros auxilios, que el </w:t>
      </w:r>
      <w:r w:rsidRPr="009758ED">
        <w:rPr>
          <w:rFonts w:ascii="Book Antiqua" w:hAnsi="Book Antiqua"/>
          <w:i/>
          <w:iCs/>
          <w:u w:val="single"/>
          <w:lang w:val="es-PR"/>
        </w:rPr>
        <w:lastRenderedPageBreak/>
        <w:t>Departamento de Salud autorice mediante reglamentación para el diseño y ofrecimiento de los talleres dispuestos en esta Ley.</w:t>
      </w:r>
    </w:p>
    <w:p w14:paraId="348D7A72" w14:textId="366685C8" w:rsidR="00B40771" w:rsidRPr="00DF3EC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3.-</w:t>
      </w:r>
      <w:r w:rsidRPr="00DF3EC7">
        <w:rPr>
          <w:rFonts w:ascii="Book Antiqua" w:hAnsi="Book Antiqua"/>
          <w:strike/>
          <w:lang w:val="es-PR"/>
        </w:rPr>
        <w:t>Deber de Registro</w:t>
      </w:r>
      <w:r w:rsidR="00DF3EC7">
        <w:rPr>
          <w:rFonts w:ascii="Book Antiqua" w:hAnsi="Book Antiqua"/>
          <w:lang w:val="es-PR"/>
        </w:rPr>
        <w:t xml:space="preserve"> </w:t>
      </w:r>
      <w:r w:rsidR="00DF3EC7">
        <w:rPr>
          <w:rFonts w:ascii="Book Antiqua" w:hAnsi="Book Antiqua"/>
          <w:i/>
          <w:iCs/>
          <w:u w:val="single"/>
          <w:lang w:val="es-PR"/>
        </w:rPr>
        <w:t xml:space="preserve">Registro de Agencias y Escuelas </w:t>
      </w:r>
    </w:p>
    <w:p w14:paraId="329F4201" w14:textId="4AC9F708" w:rsidR="00B40771" w:rsidRPr="00393582" w:rsidRDefault="00B40771" w:rsidP="00B40771">
      <w:pPr>
        <w:tabs>
          <w:tab w:val="left" w:pos="7560"/>
          <w:tab w:val="left" w:pos="7920"/>
        </w:tabs>
        <w:autoSpaceDE w:val="0"/>
        <w:autoSpaceDN w:val="0"/>
        <w:adjustRightInd w:val="0"/>
        <w:spacing w:line="480" w:lineRule="auto"/>
        <w:jc w:val="both"/>
        <w:rPr>
          <w:rFonts w:ascii="Book Antiqua" w:hAnsi="Book Antiqua"/>
          <w:i/>
          <w:iCs/>
          <w:u w:val="single"/>
          <w:lang w:val="es-PR"/>
        </w:rPr>
      </w:pPr>
      <w:r>
        <w:rPr>
          <w:rFonts w:ascii="Book Antiqua" w:hAnsi="Book Antiqua"/>
          <w:lang w:val="es-PR"/>
        </w:rPr>
        <w:t xml:space="preserve">            Toda Agencia o Escuela, según definidas</w:t>
      </w:r>
      <w:r w:rsidR="004249FD">
        <w:rPr>
          <w:rFonts w:ascii="Book Antiqua" w:hAnsi="Book Antiqua"/>
          <w:i/>
          <w:iCs/>
          <w:u w:val="single"/>
          <w:lang w:val="es-PR"/>
        </w:rPr>
        <w:t>,</w:t>
      </w:r>
      <w:r>
        <w:rPr>
          <w:rFonts w:ascii="Book Antiqua" w:hAnsi="Book Antiqua"/>
          <w:lang w:val="es-PR"/>
        </w:rPr>
        <w:t xml:space="preserve"> </w:t>
      </w:r>
      <w:r w:rsidRPr="008F3123">
        <w:rPr>
          <w:rFonts w:ascii="Book Antiqua" w:hAnsi="Book Antiqua"/>
          <w:lang w:val="es-PR"/>
        </w:rPr>
        <w:t xml:space="preserve">tiene </w:t>
      </w:r>
      <w:r w:rsidRPr="00506DCD">
        <w:rPr>
          <w:rFonts w:ascii="Book Antiqua" w:hAnsi="Book Antiqua"/>
          <w:strike/>
          <w:lang w:val="es-PR"/>
        </w:rPr>
        <w:t>que</w:t>
      </w:r>
      <w:r>
        <w:rPr>
          <w:rFonts w:ascii="Book Antiqua" w:hAnsi="Book Antiqua"/>
          <w:lang w:val="es-PR"/>
        </w:rPr>
        <w:t xml:space="preserve"> </w:t>
      </w:r>
      <w:r w:rsidR="00393582">
        <w:rPr>
          <w:rFonts w:ascii="Book Antiqua" w:hAnsi="Book Antiqua"/>
          <w:i/>
          <w:iCs/>
          <w:u w:val="single"/>
          <w:lang w:val="es-PR"/>
        </w:rPr>
        <w:t>el deber de</w:t>
      </w:r>
      <w:r w:rsidR="00393582">
        <w:rPr>
          <w:rFonts w:ascii="Book Antiqua" w:hAnsi="Book Antiqua"/>
          <w:lang w:val="es-PR"/>
        </w:rPr>
        <w:t xml:space="preserve"> </w:t>
      </w:r>
      <w:r>
        <w:rPr>
          <w:rFonts w:ascii="Book Antiqua" w:hAnsi="Book Antiqua"/>
          <w:lang w:val="es-PR"/>
        </w:rPr>
        <w:t>registrarse en el Departamento de Salud</w:t>
      </w:r>
      <w:r w:rsidRPr="00393582">
        <w:rPr>
          <w:rFonts w:ascii="Book Antiqua" w:hAnsi="Book Antiqua"/>
          <w:strike/>
          <w:lang w:val="es-PR"/>
        </w:rPr>
        <w:t>.</w:t>
      </w:r>
      <w:r w:rsidR="00393582" w:rsidRPr="00393582">
        <w:rPr>
          <w:rFonts w:ascii="Book Antiqua" w:hAnsi="Book Antiqua"/>
          <w:lang w:val="es-PR"/>
        </w:rPr>
        <w:t xml:space="preserve">  </w:t>
      </w:r>
      <w:r w:rsidR="00E84620">
        <w:rPr>
          <w:rFonts w:ascii="Book Antiqua" w:hAnsi="Book Antiqua"/>
          <w:i/>
          <w:iCs/>
          <w:u w:val="single"/>
          <w:lang w:val="es-PR"/>
        </w:rPr>
        <w:t>d</w:t>
      </w:r>
      <w:r w:rsidR="00393582" w:rsidRPr="00393582">
        <w:rPr>
          <w:rFonts w:ascii="Book Antiqua" w:hAnsi="Book Antiqua"/>
          <w:i/>
          <w:iCs/>
          <w:u w:val="single"/>
          <w:lang w:val="es-PR"/>
        </w:rPr>
        <w:t>en</w:t>
      </w:r>
      <w:r w:rsidR="00393582">
        <w:rPr>
          <w:rFonts w:ascii="Book Antiqua" w:hAnsi="Book Antiqua"/>
          <w:i/>
          <w:iCs/>
          <w:u w:val="single"/>
          <w:lang w:val="es-PR"/>
        </w:rPr>
        <w:t xml:space="preserve">tro </w:t>
      </w:r>
      <w:r w:rsidR="00E84620">
        <w:rPr>
          <w:rFonts w:ascii="Book Antiqua" w:hAnsi="Book Antiqua"/>
          <w:i/>
          <w:iCs/>
          <w:u w:val="single"/>
          <w:lang w:val="es-PR"/>
        </w:rPr>
        <w:t>de los ciento ochenta (180) días siguientes a la</w:t>
      </w:r>
      <w:r w:rsidR="00A56402">
        <w:rPr>
          <w:rFonts w:ascii="Book Antiqua" w:hAnsi="Book Antiqua"/>
          <w:i/>
          <w:iCs/>
          <w:u w:val="single"/>
          <w:lang w:val="es-PR"/>
        </w:rPr>
        <w:t xml:space="preserve"> vigencia</w:t>
      </w:r>
      <w:r w:rsidR="00A56402" w:rsidRPr="00646258">
        <w:rPr>
          <w:lang w:val="es-PR"/>
        </w:rPr>
        <w:t xml:space="preserve"> </w:t>
      </w:r>
      <w:r w:rsidR="00A56402" w:rsidRPr="00A56402">
        <w:rPr>
          <w:rFonts w:ascii="Book Antiqua" w:hAnsi="Book Antiqua"/>
          <w:i/>
          <w:iCs/>
          <w:u w:val="single"/>
          <w:lang w:val="es-PR"/>
        </w:rPr>
        <w:t>de esta Ley. El propósito de dicho registro será mantener un inventario actualizado de todas las entidades sujetas al cumplimiento de esta Ley, facilitando la fiscalización, el seguimiento a la implementación de los talleres y la coordinación de los esfuerzos de capacitación. El Departamento de Salud establecerá mediante reglamentación los formularios, procedimientos y requisitos aplicables a dicho registro.</w:t>
      </w:r>
    </w:p>
    <w:p w14:paraId="22B3EAFE"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4.-Deber de Notificación en caso de cambio de información </w:t>
      </w:r>
    </w:p>
    <w:p w14:paraId="6B4AE8D0" w14:textId="71D5EB73"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Será deber de toda Agencia o Escuela</w:t>
      </w:r>
      <w:r w:rsidR="003332A6">
        <w:rPr>
          <w:rFonts w:ascii="Book Antiqua" w:hAnsi="Book Antiqua"/>
          <w:lang w:val="es-PR"/>
        </w:rPr>
        <w:t xml:space="preserve"> </w:t>
      </w:r>
      <w:r w:rsidR="003332A6">
        <w:rPr>
          <w:rFonts w:ascii="Book Antiqua" w:hAnsi="Book Antiqua"/>
          <w:i/>
          <w:iCs/>
          <w:u w:val="single"/>
          <w:lang w:val="es-PR"/>
        </w:rPr>
        <w:t>notificar</w:t>
      </w:r>
      <w:r>
        <w:rPr>
          <w:rFonts w:ascii="Book Antiqua" w:hAnsi="Book Antiqua"/>
          <w:lang w:val="es-PR"/>
        </w:rPr>
        <w:t xml:space="preserve"> cualquier cambio de información provista en el Registro dentro de los quince (15) días siguientes</w:t>
      </w:r>
      <w:r w:rsidR="00377264">
        <w:rPr>
          <w:rFonts w:ascii="Book Antiqua" w:hAnsi="Book Antiqua"/>
          <w:lang w:val="es-PR"/>
        </w:rPr>
        <w:t xml:space="preserve"> </w:t>
      </w:r>
      <w:r w:rsidR="00377264">
        <w:rPr>
          <w:rFonts w:ascii="Book Antiqua" w:hAnsi="Book Antiqua"/>
          <w:i/>
          <w:iCs/>
          <w:u w:val="single"/>
          <w:lang w:val="es-PR"/>
        </w:rPr>
        <w:t>al cambio</w:t>
      </w:r>
      <w:r>
        <w:rPr>
          <w:rFonts w:ascii="Book Antiqua" w:hAnsi="Book Antiqua"/>
          <w:lang w:val="es-PR"/>
        </w:rPr>
        <w:t>.</w:t>
      </w:r>
    </w:p>
    <w:p w14:paraId="33D26BE6"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5.- Autorización y Facultades del Departamento de Salud</w:t>
      </w:r>
    </w:p>
    <w:p w14:paraId="1EFF7212" w14:textId="77777777" w:rsidR="00081A45" w:rsidRDefault="00B40771" w:rsidP="00081A45">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Departamento de Salud queda autorizado y facultado para implantar esta </w:t>
      </w:r>
      <w:r w:rsidRPr="009213B6">
        <w:rPr>
          <w:rFonts w:ascii="Book Antiqua" w:hAnsi="Book Antiqua"/>
          <w:strike/>
          <w:lang w:val="es-PR"/>
        </w:rPr>
        <w:t>ley; y</w:t>
      </w:r>
      <w:r>
        <w:rPr>
          <w:rFonts w:ascii="Book Antiqua" w:hAnsi="Book Antiqua"/>
          <w:lang w:val="es-PR"/>
        </w:rPr>
        <w:t xml:space="preserve"> </w:t>
      </w:r>
      <w:r w:rsidR="00D44E07">
        <w:rPr>
          <w:rFonts w:ascii="Book Antiqua" w:hAnsi="Book Antiqua"/>
          <w:i/>
          <w:iCs/>
          <w:u w:val="single"/>
          <w:lang w:val="es-PR"/>
        </w:rPr>
        <w:t xml:space="preserve">Ley y </w:t>
      </w:r>
      <w:r w:rsidR="00D44E07" w:rsidRPr="00D44E07">
        <w:rPr>
          <w:rFonts w:ascii="Book Antiqua" w:hAnsi="Book Antiqua"/>
          <w:i/>
          <w:iCs/>
          <w:u w:val="single"/>
          <w:lang w:val="es-PR"/>
        </w:rPr>
        <w:t>para</w:t>
      </w:r>
      <w:r w:rsidR="00D44E07">
        <w:rPr>
          <w:rFonts w:ascii="Book Antiqua" w:hAnsi="Book Antiqua"/>
          <w:lang w:val="es-PR"/>
        </w:rPr>
        <w:t xml:space="preserve"> </w:t>
      </w:r>
      <w:r w:rsidRPr="00D44E07">
        <w:rPr>
          <w:rFonts w:ascii="Book Antiqua" w:hAnsi="Book Antiqua"/>
          <w:lang w:val="es-PR"/>
        </w:rPr>
        <w:t>velar</w:t>
      </w:r>
      <w:r>
        <w:rPr>
          <w:rFonts w:ascii="Book Antiqua" w:hAnsi="Book Antiqua"/>
          <w:lang w:val="es-PR"/>
        </w:rPr>
        <w:t xml:space="preserve"> por su fiel y cabal cumplimiento.</w:t>
      </w:r>
    </w:p>
    <w:p w14:paraId="39CE0260" w14:textId="4CAE230F" w:rsidR="00081A45" w:rsidRPr="0057609C" w:rsidRDefault="0057609C" w:rsidP="00081A45">
      <w:pPr>
        <w:tabs>
          <w:tab w:val="left" w:pos="7560"/>
          <w:tab w:val="left" w:pos="7920"/>
        </w:tabs>
        <w:autoSpaceDE w:val="0"/>
        <w:autoSpaceDN w:val="0"/>
        <w:adjustRightInd w:val="0"/>
        <w:spacing w:line="480" w:lineRule="auto"/>
        <w:jc w:val="both"/>
        <w:rPr>
          <w:rFonts w:ascii="Book Antiqua" w:hAnsi="Book Antiqua"/>
          <w:i/>
          <w:iCs/>
          <w:u w:val="single"/>
          <w:lang w:val="es-PR"/>
        </w:rPr>
      </w:pPr>
      <w:r w:rsidRPr="0057609C">
        <w:rPr>
          <w:rFonts w:ascii="Book Antiqua" w:hAnsi="Book Antiqua"/>
          <w:lang w:val="es-PR"/>
        </w:rPr>
        <w:t xml:space="preserve">            </w:t>
      </w:r>
      <w:r w:rsidRPr="0057609C">
        <w:rPr>
          <w:rFonts w:ascii="Book Antiqua" w:hAnsi="Book Antiqua"/>
          <w:i/>
          <w:iCs/>
          <w:u w:val="single"/>
          <w:lang w:val="es-PR"/>
        </w:rPr>
        <w:t xml:space="preserve"> </w:t>
      </w:r>
      <w:r w:rsidR="00081A45" w:rsidRPr="0057609C">
        <w:rPr>
          <w:rFonts w:ascii="Book Antiqua" w:hAnsi="Book Antiqua"/>
          <w:i/>
          <w:iCs/>
          <w:u w:val="single"/>
          <w:lang w:val="es-PR"/>
        </w:rPr>
        <w:t>El Departamento de Salud podrá coordinar con entidades capacitadoras, según definidas en el Artículo 2(g) de esta Ley, para el diseño, desarrollo y ofrecimiento de los talleres de capacitación sobre el uso y manejo de torniquetes. Dichos talleres deberán ser ofrecidos al menos una vez al año en cada Agencia y Escuela registrada.</w:t>
      </w:r>
    </w:p>
    <w:p w14:paraId="1C26471B" w14:textId="48190BEE" w:rsidR="00081A45" w:rsidRPr="0057609C" w:rsidRDefault="0057609C" w:rsidP="00B40771">
      <w:pPr>
        <w:tabs>
          <w:tab w:val="left" w:pos="7560"/>
          <w:tab w:val="left" w:pos="7920"/>
        </w:tabs>
        <w:autoSpaceDE w:val="0"/>
        <w:autoSpaceDN w:val="0"/>
        <w:adjustRightInd w:val="0"/>
        <w:spacing w:line="480" w:lineRule="auto"/>
        <w:jc w:val="both"/>
        <w:rPr>
          <w:rFonts w:ascii="Book Antiqua" w:hAnsi="Book Antiqua"/>
          <w:i/>
          <w:iCs/>
          <w:u w:val="single"/>
          <w:lang w:val="es-PR"/>
        </w:rPr>
      </w:pPr>
      <w:r>
        <w:rPr>
          <w:rFonts w:ascii="Book Antiqua" w:hAnsi="Book Antiqua"/>
          <w:lang w:val="es-PR"/>
        </w:rPr>
        <w:t xml:space="preserve">             </w:t>
      </w:r>
      <w:r w:rsidR="00081A45" w:rsidRPr="0057609C">
        <w:rPr>
          <w:rFonts w:ascii="Book Antiqua" w:hAnsi="Book Antiqua"/>
          <w:i/>
          <w:iCs/>
          <w:u w:val="single"/>
          <w:lang w:val="es-PR"/>
        </w:rPr>
        <w:t xml:space="preserve">Cada Agencia y Escuela será responsable de la adquisición de los torniquetes necesarios para sus instalaciones, conforme a las especificaciones técnicas, cantidades mínimas y estándares </w:t>
      </w:r>
      <w:r w:rsidR="00081A45" w:rsidRPr="0057609C">
        <w:rPr>
          <w:rFonts w:ascii="Book Antiqua" w:hAnsi="Book Antiqua"/>
          <w:i/>
          <w:iCs/>
          <w:u w:val="single"/>
          <w:lang w:val="es-PR"/>
        </w:rPr>
        <w:lastRenderedPageBreak/>
        <w:t>de calidad que establezca el Departamento de Salud mediante reglamentación. Los torniquetes deberán estar accesibles, visibles y en condiciones óptimas de uso en todo momento.</w:t>
      </w:r>
      <w:r>
        <w:rPr>
          <w:rFonts w:ascii="Book Antiqua" w:hAnsi="Book Antiqua"/>
          <w:i/>
          <w:iCs/>
          <w:u w:val="single"/>
          <w:lang w:val="es-PR"/>
        </w:rPr>
        <w:t xml:space="preserve"> </w:t>
      </w:r>
      <w:r w:rsidR="00081A45" w:rsidRPr="0057609C">
        <w:rPr>
          <w:rFonts w:ascii="Book Antiqua" w:hAnsi="Book Antiqua"/>
          <w:i/>
          <w:iCs/>
          <w:u w:val="single"/>
          <w:lang w:val="es-PR"/>
        </w:rPr>
        <w:t>El contenido programático de los talleres deberá enfatizar la naturaleza de emergencia y temporalidad del uso del torniquete, la importancia de activar los servicios médicos de emergencia de inmediato tras su aplicación, y la distinción entre la medida de primeros auxilios y la práctica de la medicina. Los protocolos de capacitación deberán ser consistentes con las guías del programa “Stop the Bleed” del Colegio Americano de Cirujanos o su equivalente.</w:t>
      </w:r>
      <w:r w:rsidR="00081A45">
        <w:rPr>
          <w:rFonts w:ascii="Book Antiqua" w:hAnsi="Book Antiqua"/>
          <w:lang w:val="es-PR"/>
        </w:rPr>
        <w:tab/>
      </w:r>
    </w:p>
    <w:p w14:paraId="5DE976FC"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6.- Secretario del Departamento de Salud</w:t>
      </w:r>
    </w:p>
    <w:p w14:paraId="60868CEB" w14:textId="5F629AE9"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Secretario del Departamento de Salud queda facultado y autorizado para promulgar la reglamentación necesaria y establecer aquellas medidas necesarias dirigidas a lograr los propósitos de esta Ley.  Los Reglamentos promulgados deberán radicarse en el Departamento de Estado dentro de </w:t>
      </w:r>
      <w:r w:rsidRPr="005E5EE2">
        <w:rPr>
          <w:rFonts w:ascii="Book Antiqua" w:hAnsi="Book Antiqua"/>
          <w:strike/>
          <w:lang w:val="es-PR"/>
        </w:rPr>
        <w:t>noventa (90)</w:t>
      </w:r>
      <w:r>
        <w:rPr>
          <w:rFonts w:ascii="Book Antiqua" w:hAnsi="Book Antiqua"/>
          <w:lang w:val="es-PR"/>
        </w:rPr>
        <w:t xml:space="preserve"> </w:t>
      </w:r>
      <w:r w:rsidR="005E5EE2">
        <w:rPr>
          <w:rFonts w:ascii="Book Antiqua" w:hAnsi="Book Antiqua"/>
          <w:i/>
          <w:iCs/>
          <w:u w:val="single"/>
          <w:lang w:val="es-PR"/>
        </w:rPr>
        <w:t xml:space="preserve">ciento ochenta </w:t>
      </w:r>
      <w:r>
        <w:rPr>
          <w:rFonts w:ascii="Book Antiqua" w:hAnsi="Book Antiqua"/>
          <w:lang w:val="es-PR"/>
        </w:rPr>
        <w:t>días luego de haberse aprobado esta Ley.</w:t>
      </w:r>
    </w:p>
    <w:p w14:paraId="24D8F860"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7.- Reglamentos</w:t>
      </w:r>
    </w:p>
    <w:p w14:paraId="32BD4F05" w14:textId="72643DF2"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Secretario del Departamento de Salud deberá, dentro de los </w:t>
      </w:r>
      <w:r w:rsidRPr="00B46D7F">
        <w:rPr>
          <w:rFonts w:ascii="Book Antiqua" w:hAnsi="Book Antiqua"/>
          <w:strike/>
          <w:lang w:val="es-PR"/>
        </w:rPr>
        <w:t>noventa (90)</w:t>
      </w:r>
      <w:r>
        <w:rPr>
          <w:rFonts w:ascii="Book Antiqua" w:hAnsi="Book Antiqua"/>
          <w:lang w:val="es-PR"/>
        </w:rPr>
        <w:t xml:space="preserve"> </w:t>
      </w:r>
      <w:r w:rsidR="00B46D7F">
        <w:rPr>
          <w:rFonts w:ascii="Book Antiqua" w:hAnsi="Book Antiqua"/>
          <w:i/>
          <w:iCs/>
          <w:u w:val="single"/>
          <w:lang w:val="es-PR"/>
        </w:rPr>
        <w:t xml:space="preserve">ciento ochenta </w:t>
      </w:r>
      <w:r>
        <w:rPr>
          <w:rFonts w:ascii="Book Antiqua" w:hAnsi="Book Antiqua"/>
          <w:lang w:val="es-PR"/>
        </w:rPr>
        <w:t>días siguientes a la vigencia de esta Ley, adoptar las Reglas y Reglamentos necesarios para poner en vigor normas razonables y proporcionales que aseguren la capacitación de uso y manejo de torniquetes en Agencias Gubernamentales y Escuelas Públicas del País, una vez al año.  De igual forma, el Secretario deberá revisar periódicamente las referidas Reglas y Reglamentos, para que éstas cumplan con cualquier enmienda que se le haga a esta Ley.</w:t>
      </w:r>
    </w:p>
    <w:p w14:paraId="5F2B57FA" w14:textId="543BF317" w:rsidR="009637EB" w:rsidRPr="009637EB" w:rsidRDefault="009637EB" w:rsidP="00B40771">
      <w:pPr>
        <w:tabs>
          <w:tab w:val="left" w:pos="7560"/>
          <w:tab w:val="left" w:pos="7920"/>
        </w:tabs>
        <w:autoSpaceDE w:val="0"/>
        <w:autoSpaceDN w:val="0"/>
        <w:adjustRightInd w:val="0"/>
        <w:spacing w:line="480" w:lineRule="auto"/>
        <w:jc w:val="both"/>
        <w:rPr>
          <w:rFonts w:ascii="Book Antiqua" w:hAnsi="Book Antiqua"/>
          <w:i/>
          <w:iCs/>
          <w:u w:val="single"/>
          <w:lang w:val="es-PR"/>
        </w:rPr>
      </w:pPr>
      <w:r w:rsidRPr="009637EB">
        <w:rPr>
          <w:rFonts w:ascii="Book Antiqua" w:hAnsi="Book Antiqua"/>
          <w:i/>
          <w:iCs/>
          <w:lang w:val="es-PR"/>
        </w:rPr>
        <w:lastRenderedPageBreak/>
        <w:t xml:space="preserve">             </w:t>
      </w:r>
      <w:r w:rsidRPr="009637EB">
        <w:rPr>
          <w:rFonts w:ascii="Book Antiqua" w:hAnsi="Book Antiqua"/>
          <w:i/>
          <w:iCs/>
          <w:u w:val="single"/>
          <w:lang w:val="es-PR"/>
        </w:rPr>
        <w:t>La reglamentación deberá incluir, como mínimo: (a) los requisitos de certificación para las entidades capacitadoras autorizadas; (b) el contenido programático mínimo de los talleres; (c) las especificaciones técnicas y cantidades mínimas de torniquetes que cada Agencia y Escuela deberá mantener, según su tamaño y cantidad de personal o estudiantes; (d) los mecanismos de verificación del cumplimiento; y (e) los formularios y procedimientos del Registro establecido en el Artículo 3.</w:t>
      </w:r>
    </w:p>
    <w:p w14:paraId="238D4BFC"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8.- Penalidades </w:t>
      </w:r>
    </w:p>
    <w:p w14:paraId="7EA8BBDD" w14:textId="66CD58B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En caso de una primera infracción a lo establecido en esta </w:t>
      </w:r>
      <w:r w:rsidRPr="000438C3">
        <w:rPr>
          <w:rFonts w:ascii="Book Antiqua" w:hAnsi="Book Antiqua"/>
          <w:strike/>
          <w:lang w:val="es-PR"/>
        </w:rPr>
        <w:t>ley</w:t>
      </w:r>
      <w:r>
        <w:rPr>
          <w:rFonts w:ascii="Book Antiqua" w:hAnsi="Book Antiqua"/>
          <w:lang w:val="es-PR"/>
        </w:rPr>
        <w:t xml:space="preserve"> </w:t>
      </w:r>
      <w:r w:rsidR="000438C3">
        <w:rPr>
          <w:rFonts w:ascii="Book Antiqua" w:hAnsi="Book Antiqua"/>
          <w:i/>
          <w:iCs/>
          <w:u w:val="single"/>
          <w:lang w:val="es-PR"/>
        </w:rPr>
        <w:t>Ley</w:t>
      </w:r>
      <w:r w:rsidR="00684399">
        <w:rPr>
          <w:rFonts w:ascii="Book Antiqua" w:hAnsi="Book Antiqua"/>
          <w:lang w:val="es-PR"/>
        </w:rPr>
        <w:t>,</w:t>
      </w:r>
      <w:r>
        <w:rPr>
          <w:rFonts w:ascii="Book Antiqua" w:hAnsi="Book Antiqua"/>
          <w:lang w:val="es-PR"/>
        </w:rPr>
        <w:t xml:space="preserve">la Agencia o la Escuela será </w:t>
      </w:r>
      <w:r w:rsidRPr="00684399">
        <w:rPr>
          <w:rFonts w:ascii="Book Antiqua" w:hAnsi="Book Antiqua"/>
          <w:strike/>
          <w:lang w:val="es-PR"/>
        </w:rPr>
        <w:t>notificado</w:t>
      </w:r>
      <w:r>
        <w:rPr>
          <w:rFonts w:ascii="Book Antiqua" w:hAnsi="Book Antiqua"/>
          <w:lang w:val="es-PR"/>
        </w:rPr>
        <w:t xml:space="preserve"> </w:t>
      </w:r>
      <w:r w:rsidR="00684399">
        <w:rPr>
          <w:rFonts w:ascii="Book Antiqua" w:hAnsi="Book Antiqua"/>
          <w:i/>
          <w:iCs/>
          <w:u w:val="single"/>
          <w:lang w:val="es-PR"/>
        </w:rPr>
        <w:t>notificada</w:t>
      </w:r>
      <w:r w:rsidR="00684399">
        <w:rPr>
          <w:rFonts w:ascii="Book Antiqua" w:hAnsi="Book Antiqua"/>
          <w:lang w:val="es-PR"/>
        </w:rPr>
        <w:t xml:space="preserve"> </w:t>
      </w:r>
      <w:r>
        <w:rPr>
          <w:rFonts w:ascii="Book Antiqua" w:hAnsi="Book Antiqua"/>
          <w:lang w:val="es-PR"/>
        </w:rPr>
        <w:t>formalmente por el Secretario del Departamento de Salud sobre las multas</w:t>
      </w:r>
      <w:r w:rsidR="003A0971">
        <w:rPr>
          <w:rFonts w:ascii="Book Antiqua" w:hAnsi="Book Antiqua"/>
          <w:lang w:val="es-PR"/>
        </w:rPr>
        <w:t xml:space="preserve"> </w:t>
      </w:r>
      <w:r w:rsidR="003A0971">
        <w:rPr>
          <w:rFonts w:ascii="Book Antiqua" w:hAnsi="Book Antiqua"/>
          <w:i/>
          <w:iCs/>
          <w:u w:val="single"/>
          <w:lang w:val="es-PR"/>
        </w:rPr>
        <w:t>en</w:t>
      </w:r>
      <w:r>
        <w:rPr>
          <w:rFonts w:ascii="Book Antiqua" w:hAnsi="Book Antiqua"/>
          <w:lang w:val="es-PR"/>
        </w:rPr>
        <w:t xml:space="preserve"> que incurrirá por infracciones posteriores.  En caso de una subsiguiente infracción, el Secretario de Salud</w:t>
      </w:r>
      <w:r w:rsidRPr="003A0971">
        <w:rPr>
          <w:rFonts w:ascii="Book Antiqua" w:hAnsi="Book Antiqua"/>
          <w:strike/>
          <w:lang w:val="es-PR"/>
        </w:rPr>
        <w:t>,</w:t>
      </w:r>
      <w:r>
        <w:rPr>
          <w:rFonts w:ascii="Book Antiqua" w:hAnsi="Book Antiqua"/>
          <w:lang w:val="es-PR"/>
        </w:rPr>
        <w:t xml:space="preserve"> le impondrá una multa de cien dólares </w:t>
      </w:r>
      <w:r w:rsidRPr="00241949">
        <w:rPr>
          <w:rFonts w:ascii="Book Antiqua" w:hAnsi="Book Antiqua"/>
          <w:strike/>
          <w:lang w:val="es-PR"/>
        </w:rPr>
        <w:t>con 00/100 centavos</w:t>
      </w:r>
      <w:r>
        <w:rPr>
          <w:rFonts w:ascii="Book Antiqua" w:hAnsi="Book Antiqua"/>
          <w:lang w:val="es-PR"/>
        </w:rPr>
        <w:t xml:space="preserve"> ($100.00).  </w:t>
      </w:r>
    </w:p>
    <w:p w14:paraId="2A3C0BC4"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9.-Contabilización de Fondos</w:t>
      </w:r>
    </w:p>
    <w:p w14:paraId="5C9C290E"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Las multas administrativas se pagarán mediante cheque certificado o giro bancario o postal a nombre del Secretario de Hacienda.  Las cantidades recaudadas por este concepto ingresarán estrictamente al uso del Hospital Cuidado Agudo Especializado en Pacientes Politraumatizados (Hospital de Trauma) adscrito al Departamento de Salud del Estado Libre Asociado de Puerto Rico. Esto, con el fin exclusivo de desarrollar y mantener el Nivel 1 del Comité de Trauma del Colegio Americano de Cirujanos.</w:t>
      </w:r>
    </w:p>
    <w:p w14:paraId="6DDFE988"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10.- Cláusula de Separabilidad</w:t>
      </w:r>
    </w:p>
    <w:p w14:paraId="420EF261"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Si cualquier disposición, parte, inciso o artículo de esta Ley fuera declarada inconstitucional por un tribunal competente, la sentencia a tal efecto dictada se limitará </w:t>
      </w:r>
      <w:r>
        <w:rPr>
          <w:rFonts w:ascii="Book Antiqua" w:hAnsi="Book Antiqua"/>
          <w:lang w:val="es-PR"/>
        </w:rPr>
        <w:lastRenderedPageBreak/>
        <w:t>a la disposición, parte, inciso o artículo declarado inconstitucional y no afectará ni invalidará al resto de las disposiciones de esta ley.</w:t>
      </w:r>
    </w:p>
    <w:p w14:paraId="52754356"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11.-Vigencia</w:t>
      </w:r>
    </w:p>
    <w:p w14:paraId="77A51ABF" w14:textId="77777777" w:rsidR="00B40771" w:rsidRPr="00FF5C53"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Esta Ley entrará en vigor inmediatamente después de su aprobación. </w:t>
      </w:r>
    </w:p>
    <w:p w14:paraId="079BA93C" w14:textId="77777777" w:rsidR="00A73A1A" w:rsidRPr="00B40771" w:rsidRDefault="00A73A1A" w:rsidP="00B40771">
      <w:pPr>
        <w:suppressLineNumbers/>
        <w:ind w:firstLine="360"/>
        <w:jc w:val="both"/>
        <w:rPr>
          <w:lang w:val="es-PR"/>
        </w:rPr>
      </w:pPr>
    </w:p>
    <w:sectPr w:rsidR="00A73A1A" w:rsidRPr="00B40771" w:rsidSect="004805CF">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C050C" w14:textId="77777777" w:rsidR="000E541B" w:rsidRDefault="000E541B" w:rsidP="00B40771">
      <w:r>
        <w:separator/>
      </w:r>
    </w:p>
  </w:endnote>
  <w:endnote w:type="continuationSeparator" w:id="0">
    <w:p w14:paraId="6D122F88" w14:textId="77777777" w:rsidR="000E541B" w:rsidRDefault="000E541B" w:rsidP="00B40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0FA2" w14:textId="3FBEE66D" w:rsidR="00C107D6" w:rsidRDefault="00C107D6">
    <w:pPr>
      <w:pStyle w:val="Footer"/>
      <w:jc w:val="center"/>
    </w:pPr>
  </w:p>
  <w:p w14:paraId="3DD29C64" w14:textId="77777777" w:rsidR="00C107D6" w:rsidRDefault="00C10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D15FA" w14:textId="77777777" w:rsidR="000E541B" w:rsidRDefault="000E541B" w:rsidP="00B40771">
      <w:r>
        <w:separator/>
      </w:r>
    </w:p>
  </w:footnote>
  <w:footnote w:type="continuationSeparator" w:id="0">
    <w:p w14:paraId="499EAAC4" w14:textId="77777777" w:rsidR="000E541B" w:rsidRDefault="000E541B" w:rsidP="00B40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00FCB" w14:textId="77777777" w:rsidR="00B40771" w:rsidRDefault="00B40771">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13</w:t>
    </w:r>
    <w:r>
      <w:rPr>
        <w:rStyle w:val="PageNumber"/>
        <w:rFonts w:eastAsiaTheme="majorEastAsia"/>
      </w:rPr>
      <w:fldChar w:fldCharType="end"/>
    </w:r>
  </w:p>
  <w:p w14:paraId="616AA2B4" w14:textId="77777777" w:rsidR="00B40771" w:rsidRDefault="00B40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156483"/>
      <w:docPartObj>
        <w:docPartGallery w:val="Page Numbers (Top of Page)"/>
        <w:docPartUnique/>
      </w:docPartObj>
    </w:sdtPr>
    <w:sdtEndPr>
      <w:rPr>
        <w:noProof/>
      </w:rPr>
    </w:sdtEndPr>
    <w:sdtContent>
      <w:p w14:paraId="4E39642A" w14:textId="2E2468BB" w:rsidR="004805CF" w:rsidRDefault="004805C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CA90A33" w14:textId="77777777" w:rsidR="004805CF" w:rsidRDefault="004805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A4D1F"/>
    <w:multiLevelType w:val="hybridMultilevel"/>
    <w:tmpl w:val="2A6E2816"/>
    <w:lvl w:ilvl="0" w:tplc="CD04CBDC">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15:restartNumberingAfterBreak="0">
    <w:nsid w:val="73572A42"/>
    <w:multiLevelType w:val="hybridMultilevel"/>
    <w:tmpl w:val="7D583C74"/>
    <w:lvl w:ilvl="0" w:tplc="ED9C0FC6">
      <w:start w:val="1"/>
      <w:numFmt w:val="lowerRoman"/>
      <w:lvlText w:val="%1."/>
      <w:lvlJc w:val="left"/>
      <w:pPr>
        <w:ind w:left="2880" w:hanging="720"/>
      </w:pPr>
      <w:rPr>
        <w:rFonts w:hint="default"/>
        <w: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479882920">
    <w:abstractNumId w:val="1"/>
  </w:num>
  <w:num w:numId="2" w16cid:durableId="14440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71"/>
    <w:rsid w:val="000438C3"/>
    <w:rsid w:val="00081A45"/>
    <w:rsid w:val="000E541B"/>
    <w:rsid w:val="00197D3A"/>
    <w:rsid w:val="001D56A3"/>
    <w:rsid w:val="00241949"/>
    <w:rsid w:val="0027692B"/>
    <w:rsid w:val="003332A6"/>
    <w:rsid w:val="00377264"/>
    <w:rsid w:val="00393582"/>
    <w:rsid w:val="003A0971"/>
    <w:rsid w:val="004249FD"/>
    <w:rsid w:val="004805CF"/>
    <w:rsid w:val="004E7332"/>
    <w:rsid w:val="00506DCD"/>
    <w:rsid w:val="00524CBC"/>
    <w:rsid w:val="0057609C"/>
    <w:rsid w:val="005E5EE2"/>
    <w:rsid w:val="00614896"/>
    <w:rsid w:val="00646258"/>
    <w:rsid w:val="00684399"/>
    <w:rsid w:val="006A5D41"/>
    <w:rsid w:val="008144D7"/>
    <w:rsid w:val="008B0D8E"/>
    <w:rsid w:val="008D3E4D"/>
    <w:rsid w:val="008F3123"/>
    <w:rsid w:val="008F7553"/>
    <w:rsid w:val="009059C8"/>
    <w:rsid w:val="009213B6"/>
    <w:rsid w:val="009637EB"/>
    <w:rsid w:val="009758ED"/>
    <w:rsid w:val="00996F26"/>
    <w:rsid w:val="009F3703"/>
    <w:rsid w:val="00A56402"/>
    <w:rsid w:val="00A73A1A"/>
    <w:rsid w:val="00A94CA7"/>
    <w:rsid w:val="00B17032"/>
    <w:rsid w:val="00B40771"/>
    <w:rsid w:val="00B46D7F"/>
    <w:rsid w:val="00B515F3"/>
    <w:rsid w:val="00B61D0D"/>
    <w:rsid w:val="00C107D6"/>
    <w:rsid w:val="00C62134"/>
    <w:rsid w:val="00D14848"/>
    <w:rsid w:val="00D44E07"/>
    <w:rsid w:val="00DE54B7"/>
    <w:rsid w:val="00DF3EC7"/>
    <w:rsid w:val="00E11F39"/>
    <w:rsid w:val="00E60A50"/>
    <w:rsid w:val="00E84620"/>
    <w:rsid w:val="00EB2403"/>
    <w:rsid w:val="00F64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85E4"/>
  <w15:chartTrackingRefBased/>
  <w15:docId w15:val="{F7C8D789-49AF-497F-A82C-6DDEEA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77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407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07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07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07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07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07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7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7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7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7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07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07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07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07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0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771"/>
    <w:rPr>
      <w:rFonts w:eastAsiaTheme="majorEastAsia" w:cstheme="majorBidi"/>
      <w:color w:val="272727" w:themeColor="text1" w:themeTint="D8"/>
    </w:rPr>
  </w:style>
  <w:style w:type="paragraph" w:styleId="Title">
    <w:name w:val="Title"/>
    <w:basedOn w:val="Normal"/>
    <w:next w:val="Normal"/>
    <w:link w:val="TitleChar"/>
    <w:uiPriority w:val="10"/>
    <w:qFormat/>
    <w:rsid w:val="00B407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771"/>
    <w:pPr>
      <w:spacing w:before="160"/>
      <w:jc w:val="center"/>
    </w:pPr>
    <w:rPr>
      <w:i/>
      <w:iCs/>
      <w:color w:val="404040" w:themeColor="text1" w:themeTint="BF"/>
    </w:rPr>
  </w:style>
  <w:style w:type="character" w:customStyle="1" w:styleId="QuoteChar">
    <w:name w:val="Quote Char"/>
    <w:basedOn w:val="DefaultParagraphFont"/>
    <w:link w:val="Quote"/>
    <w:uiPriority w:val="29"/>
    <w:rsid w:val="00B40771"/>
    <w:rPr>
      <w:i/>
      <w:iCs/>
      <w:color w:val="404040" w:themeColor="text1" w:themeTint="BF"/>
    </w:rPr>
  </w:style>
  <w:style w:type="paragraph" w:styleId="ListParagraph">
    <w:name w:val="List Paragraph"/>
    <w:basedOn w:val="Normal"/>
    <w:uiPriority w:val="34"/>
    <w:qFormat/>
    <w:rsid w:val="00B40771"/>
    <w:pPr>
      <w:ind w:left="720"/>
      <w:contextualSpacing/>
    </w:pPr>
  </w:style>
  <w:style w:type="character" w:styleId="IntenseEmphasis">
    <w:name w:val="Intense Emphasis"/>
    <w:basedOn w:val="DefaultParagraphFont"/>
    <w:uiPriority w:val="21"/>
    <w:qFormat/>
    <w:rsid w:val="00B40771"/>
    <w:rPr>
      <w:i/>
      <w:iCs/>
      <w:color w:val="2F5496" w:themeColor="accent1" w:themeShade="BF"/>
    </w:rPr>
  </w:style>
  <w:style w:type="paragraph" w:styleId="IntenseQuote">
    <w:name w:val="Intense Quote"/>
    <w:basedOn w:val="Normal"/>
    <w:next w:val="Normal"/>
    <w:link w:val="IntenseQuoteChar"/>
    <w:uiPriority w:val="30"/>
    <w:qFormat/>
    <w:rsid w:val="00B407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0771"/>
    <w:rPr>
      <w:i/>
      <w:iCs/>
      <w:color w:val="2F5496" w:themeColor="accent1" w:themeShade="BF"/>
    </w:rPr>
  </w:style>
  <w:style w:type="character" w:styleId="IntenseReference">
    <w:name w:val="Intense Reference"/>
    <w:basedOn w:val="DefaultParagraphFont"/>
    <w:uiPriority w:val="32"/>
    <w:qFormat/>
    <w:rsid w:val="00B40771"/>
    <w:rPr>
      <w:b/>
      <w:bCs/>
      <w:smallCaps/>
      <w:color w:val="2F5496" w:themeColor="accent1" w:themeShade="BF"/>
      <w:spacing w:val="5"/>
    </w:rPr>
  </w:style>
  <w:style w:type="paragraph" w:customStyle="1" w:styleId="Title2">
    <w:name w:val="Title2"/>
    <w:basedOn w:val="Normal"/>
    <w:next w:val="Normal"/>
    <w:rsid w:val="00B40771"/>
    <w:pPr>
      <w:tabs>
        <w:tab w:val="left" w:pos="648"/>
        <w:tab w:val="right" w:pos="7776"/>
        <w:tab w:val="left" w:pos="7848"/>
      </w:tabs>
    </w:pPr>
    <w:rPr>
      <w:szCs w:val="20"/>
    </w:rPr>
  </w:style>
  <w:style w:type="character" w:styleId="LineNumber">
    <w:name w:val="line number"/>
    <w:basedOn w:val="DefaultParagraphFont"/>
    <w:uiPriority w:val="99"/>
    <w:semiHidden/>
    <w:unhideWhenUsed/>
    <w:rsid w:val="00B40771"/>
  </w:style>
  <w:style w:type="paragraph" w:styleId="BodyText">
    <w:name w:val="Body Text"/>
    <w:basedOn w:val="Normal"/>
    <w:link w:val="BodyTextChar"/>
    <w:semiHidden/>
    <w:rsid w:val="00B40771"/>
    <w:pPr>
      <w:widowControl w:val="0"/>
      <w:overflowPunct w:val="0"/>
      <w:autoSpaceDE w:val="0"/>
      <w:autoSpaceDN w:val="0"/>
      <w:adjustRightInd w:val="0"/>
      <w:jc w:val="both"/>
      <w:textAlignment w:val="baseline"/>
    </w:pPr>
    <w:rPr>
      <w:lang w:val="es-ES_tradnl"/>
    </w:rPr>
  </w:style>
  <w:style w:type="character" w:customStyle="1" w:styleId="BodyTextChar">
    <w:name w:val="Body Text Char"/>
    <w:basedOn w:val="DefaultParagraphFont"/>
    <w:link w:val="BodyText"/>
    <w:semiHidden/>
    <w:rsid w:val="00B40771"/>
    <w:rPr>
      <w:rFonts w:ascii="Times New Roman" w:eastAsia="Times New Roman" w:hAnsi="Times New Roman" w:cs="Times New Roman"/>
      <w:sz w:val="24"/>
      <w:szCs w:val="24"/>
      <w:lang w:val="es-ES_tradnl"/>
    </w:rPr>
  </w:style>
  <w:style w:type="paragraph" w:customStyle="1" w:styleId="default">
    <w:name w:val="default"/>
    <w:basedOn w:val="Normal"/>
    <w:rsid w:val="00B40771"/>
    <w:pPr>
      <w:autoSpaceDE w:val="0"/>
      <w:autoSpaceDN w:val="0"/>
    </w:pPr>
    <w:rPr>
      <w:rFonts w:ascii="DXANP N+ Serifa B T," w:hAnsi="DXANP N+ Serifa B T,"/>
      <w:color w:val="000000"/>
    </w:rPr>
  </w:style>
  <w:style w:type="paragraph" w:styleId="Header">
    <w:name w:val="header"/>
    <w:basedOn w:val="Normal"/>
    <w:link w:val="HeaderChar"/>
    <w:semiHidden/>
    <w:rsid w:val="00B40771"/>
    <w:pPr>
      <w:tabs>
        <w:tab w:val="center" w:pos="4320"/>
        <w:tab w:val="right" w:pos="8640"/>
      </w:tabs>
    </w:pPr>
  </w:style>
  <w:style w:type="character" w:customStyle="1" w:styleId="HeaderChar">
    <w:name w:val="Header Char"/>
    <w:basedOn w:val="DefaultParagraphFont"/>
    <w:link w:val="Header"/>
    <w:semiHidden/>
    <w:rsid w:val="00B40771"/>
    <w:rPr>
      <w:rFonts w:ascii="Times New Roman" w:eastAsia="Times New Roman" w:hAnsi="Times New Roman" w:cs="Times New Roman"/>
      <w:sz w:val="24"/>
      <w:szCs w:val="24"/>
    </w:rPr>
  </w:style>
  <w:style w:type="character" w:styleId="PageNumber">
    <w:name w:val="page number"/>
    <w:basedOn w:val="DefaultParagraphFont"/>
    <w:semiHidden/>
    <w:rsid w:val="00B40771"/>
  </w:style>
  <w:style w:type="paragraph" w:styleId="NormalWeb">
    <w:name w:val="Normal (Web)"/>
    <w:basedOn w:val="Normal"/>
    <w:uiPriority w:val="99"/>
    <w:unhideWhenUsed/>
    <w:rsid w:val="00B40771"/>
    <w:pPr>
      <w:spacing w:before="100" w:beforeAutospacing="1" w:after="100" w:afterAutospacing="1"/>
    </w:pPr>
  </w:style>
  <w:style w:type="paragraph" w:styleId="Footer">
    <w:name w:val="footer"/>
    <w:basedOn w:val="Normal"/>
    <w:link w:val="FooterChar"/>
    <w:uiPriority w:val="99"/>
    <w:unhideWhenUsed/>
    <w:rsid w:val="00B40771"/>
    <w:pPr>
      <w:tabs>
        <w:tab w:val="center" w:pos="4680"/>
        <w:tab w:val="right" w:pos="9360"/>
      </w:tabs>
    </w:pPr>
  </w:style>
  <w:style w:type="character" w:customStyle="1" w:styleId="FooterChar">
    <w:name w:val="Footer Char"/>
    <w:basedOn w:val="DefaultParagraphFont"/>
    <w:link w:val="Footer"/>
    <w:uiPriority w:val="99"/>
    <w:rsid w:val="00B4077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E20D6-514D-4B84-8937-5EF3D921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3090</Words>
  <Characters>17613</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Ruiz</dc:creator>
  <cp:keywords/>
  <dc:description/>
  <cp:lastModifiedBy>Kristal Rivera Sanchez</cp:lastModifiedBy>
  <cp:revision>2</cp:revision>
  <cp:lastPrinted>2026-04-17T16:47:00Z</cp:lastPrinted>
  <dcterms:created xsi:type="dcterms:W3CDTF">2026-04-22T14:48:00Z</dcterms:created>
  <dcterms:modified xsi:type="dcterms:W3CDTF">2026-04-22T14:48:00Z</dcterms:modified>
</cp:coreProperties>
</file>