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89CF5" w14:textId="77777777" w:rsidR="00C362C6" w:rsidRPr="00C362C6" w:rsidRDefault="00C362C6" w:rsidP="00C362C6">
      <w:pPr>
        <w:jc w:val="center"/>
        <w:rPr>
          <w:rFonts w:ascii="Book Antiqua" w:hAnsi="Book Antiqua"/>
          <w:color w:val="000000"/>
          <w:lang w:val="es-ES"/>
        </w:rPr>
      </w:pPr>
      <w:r w:rsidRPr="00C362C6">
        <w:rPr>
          <w:rFonts w:ascii="Book Antiqua" w:hAnsi="Book Antiqua"/>
          <w:b/>
          <w:color w:val="000000"/>
          <w:sz w:val="28"/>
          <w:szCs w:val="28"/>
          <w:lang w:val="es-ES"/>
        </w:rPr>
        <w:t>GOBIERNO DE PUERTO RICO</w:t>
      </w:r>
    </w:p>
    <w:p w14:paraId="1EAA3414" w14:textId="77777777" w:rsidR="00C362C6" w:rsidRPr="00C362C6" w:rsidRDefault="00C362C6" w:rsidP="00C362C6">
      <w:pPr>
        <w:pStyle w:val="Title2"/>
        <w:rPr>
          <w:rFonts w:ascii="Book Antiqua" w:hAnsi="Book Antiqua"/>
          <w:color w:val="000000"/>
          <w:sz w:val="24"/>
          <w:lang w:val="es-ES"/>
        </w:rPr>
      </w:pPr>
    </w:p>
    <w:tbl>
      <w:tblPr>
        <w:tblpPr w:leftFromText="180" w:rightFromText="180" w:vertAnchor="text" w:horzAnchor="margin" w:tblpY="-40"/>
        <w:tblW w:w="0" w:type="auto"/>
        <w:tblLook w:val="01E0" w:firstRow="1" w:lastRow="1" w:firstColumn="1" w:lastColumn="1" w:noHBand="0" w:noVBand="0"/>
      </w:tblPr>
      <w:tblGrid>
        <w:gridCol w:w="3139"/>
        <w:gridCol w:w="3095"/>
        <w:gridCol w:w="3126"/>
      </w:tblGrid>
      <w:tr w:rsidR="00C362C6" w:rsidRPr="00C362C6" w14:paraId="360FA3B4" w14:textId="77777777" w:rsidTr="00B855B5">
        <w:tc>
          <w:tcPr>
            <w:tcW w:w="3139" w:type="dxa"/>
          </w:tcPr>
          <w:p w14:paraId="029CAB47" w14:textId="77777777" w:rsidR="00C362C6" w:rsidRPr="00C362C6" w:rsidRDefault="00C362C6" w:rsidP="00B855B5">
            <w:pPr>
              <w:rPr>
                <w:rFonts w:ascii="Book Antiqua" w:hAnsi="Book Antiqua"/>
                <w:lang w:val="es-ES"/>
              </w:rPr>
            </w:pPr>
            <w:r w:rsidRPr="00C362C6">
              <w:rPr>
                <w:rFonts w:ascii="Book Antiqua" w:hAnsi="Book Antiqua"/>
                <w:lang w:val="es-ES"/>
              </w:rPr>
              <w:t>20</w:t>
            </w:r>
            <w:r w:rsidRPr="00C362C6">
              <w:rPr>
                <w:rFonts w:ascii="Book Antiqua" w:hAnsi="Book Antiqua"/>
                <w:vertAlign w:val="superscript"/>
                <w:lang w:val="es-ES"/>
              </w:rPr>
              <w:t>ma</w:t>
            </w:r>
            <w:r w:rsidRPr="00C362C6">
              <w:rPr>
                <w:rFonts w:ascii="Book Antiqua" w:hAnsi="Book Antiqua"/>
                <w:lang w:val="es-ES"/>
              </w:rPr>
              <w:t>Asamblea</w:t>
            </w:r>
          </w:p>
          <w:p w14:paraId="4F636542" w14:textId="77777777" w:rsidR="00C362C6" w:rsidRPr="00C362C6" w:rsidRDefault="00C362C6" w:rsidP="00B855B5">
            <w:pPr>
              <w:rPr>
                <w:rFonts w:ascii="Book Antiqua" w:hAnsi="Book Antiqua"/>
                <w:lang w:val="es-ES"/>
              </w:rPr>
            </w:pPr>
            <w:r w:rsidRPr="00C362C6">
              <w:rPr>
                <w:rFonts w:ascii="Book Antiqua" w:hAnsi="Book Antiqua"/>
                <w:lang w:val="es-ES"/>
              </w:rPr>
              <w:t>Legislativa</w:t>
            </w:r>
          </w:p>
        </w:tc>
        <w:tc>
          <w:tcPr>
            <w:tcW w:w="3095" w:type="dxa"/>
          </w:tcPr>
          <w:p w14:paraId="33308419" w14:textId="77777777" w:rsidR="00C362C6" w:rsidRPr="00C362C6" w:rsidRDefault="00C362C6" w:rsidP="00B855B5">
            <w:pPr>
              <w:jc w:val="center"/>
              <w:rPr>
                <w:rFonts w:ascii="Book Antiqua" w:hAnsi="Book Antiqua"/>
                <w:lang w:val="es-ES"/>
              </w:rPr>
            </w:pPr>
          </w:p>
        </w:tc>
        <w:tc>
          <w:tcPr>
            <w:tcW w:w="3126" w:type="dxa"/>
          </w:tcPr>
          <w:p w14:paraId="67488BDF" w14:textId="77777777" w:rsidR="00C362C6" w:rsidRPr="00C362C6" w:rsidRDefault="00C362C6" w:rsidP="00B855B5">
            <w:pPr>
              <w:jc w:val="right"/>
              <w:rPr>
                <w:rFonts w:ascii="Book Antiqua" w:hAnsi="Book Antiqua"/>
                <w:lang w:val="es-ES"/>
              </w:rPr>
            </w:pPr>
            <w:r w:rsidRPr="00C362C6">
              <w:rPr>
                <w:rFonts w:ascii="Book Antiqua" w:hAnsi="Book Antiqua"/>
                <w:lang w:val="es-ES"/>
              </w:rPr>
              <w:t>3</w:t>
            </w:r>
            <w:r w:rsidRPr="00C362C6">
              <w:rPr>
                <w:rFonts w:ascii="Book Antiqua" w:hAnsi="Book Antiqua"/>
                <w:vertAlign w:val="superscript"/>
                <w:lang w:val="es-ES"/>
              </w:rPr>
              <w:t>ra</w:t>
            </w:r>
            <w:r w:rsidRPr="00C362C6">
              <w:rPr>
                <w:rFonts w:ascii="Book Antiqua" w:hAnsi="Book Antiqua"/>
                <w:lang w:val="es-ES"/>
              </w:rPr>
              <w:t xml:space="preserve"> Sesión </w:t>
            </w:r>
          </w:p>
          <w:p w14:paraId="652ACD37" w14:textId="77777777" w:rsidR="00C362C6" w:rsidRPr="00C362C6" w:rsidRDefault="00C362C6" w:rsidP="00B855B5">
            <w:pPr>
              <w:jc w:val="right"/>
              <w:rPr>
                <w:rFonts w:ascii="Book Antiqua" w:hAnsi="Book Antiqua"/>
                <w:lang w:val="es-ES"/>
              </w:rPr>
            </w:pPr>
            <w:r w:rsidRPr="00C362C6">
              <w:rPr>
                <w:rFonts w:ascii="Book Antiqua" w:hAnsi="Book Antiqua"/>
                <w:lang w:val="es-ES"/>
              </w:rPr>
              <w:t>Ordinaria</w:t>
            </w:r>
          </w:p>
        </w:tc>
      </w:tr>
    </w:tbl>
    <w:p w14:paraId="1107F960" w14:textId="77777777" w:rsidR="00C362C6" w:rsidRPr="00C362C6" w:rsidRDefault="00C362C6" w:rsidP="00C362C6">
      <w:pPr>
        <w:jc w:val="center"/>
        <w:rPr>
          <w:rFonts w:ascii="Book Antiqua" w:hAnsi="Book Antiqua"/>
          <w:b/>
          <w:bCs/>
          <w:color w:val="000000"/>
          <w:sz w:val="28"/>
          <w:szCs w:val="28"/>
          <w:lang w:val="es-ES"/>
        </w:rPr>
      </w:pPr>
    </w:p>
    <w:p w14:paraId="79F68833" w14:textId="77777777" w:rsidR="00C362C6" w:rsidRPr="00C362C6" w:rsidRDefault="00C362C6" w:rsidP="00C362C6">
      <w:pPr>
        <w:jc w:val="center"/>
        <w:rPr>
          <w:rFonts w:ascii="Book Antiqua" w:hAnsi="Book Antiqua"/>
          <w:b/>
          <w:bCs/>
          <w:color w:val="000000"/>
          <w:sz w:val="36"/>
          <w:szCs w:val="36"/>
          <w:lang w:val="es-ES"/>
        </w:rPr>
      </w:pPr>
      <w:r w:rsidRPr="00C362C6">
        <w:rPr>
          <w:rFonts w:ascii="Book Antiqua" w:hAnsi="Book Antiqua"/>
          <w:b/>
          <w:bCs/>
          <w:color w:val="000000"/>
          <w:sz w:val="36"/>
          <w:szCs w:val="36"/>
          <w:lang w:val="es-ES"/>
        </w:rPr>
        <w:t>CÁMARA DE REPRESENTANTES</w:t>
      </w:r>
    </w:p>
    <w:p w14:paraId="01D412CE" w14:textId="77777777" w:rsidR="00C362C6" w:rsidRPr="00C362C6" w:rsidRDefault="00C362C6" w:rsidP="00C362C6">
      <w:pPr>
        <w:jc w:val="center"/>
        <w:rPr>
          <w:rFonts w:ascii="Book Antiqua" w:hAnsi="Book Antiqua"/>
          <w:lang w:val="es-ES"/>
        </w:rPr>
      </w:pPr>
    </w:p>
    <w:p w14:paraId="3FE20921" w14:textId="77777777" w:rsidR="00C362C6" w:rsidRPr="00C362C6" w:rsidRDefault="00C362C6" w:rsidP="00C362C6">
      <w:pPr>
        <w:jc w:val="center"/>
        <w:rPr>
          <w:rFonts w:ascii="Book Antiqua" w:hAnsi="Book Antiqua"/>
          <w:b/>
          <w:sz w:val="52"/>
          <w:szCs w:val="52"/>
          <w:lang w:val="es-ES"/>
        </w:rPr>
      </w:pPr>
      <w:r w:rsidRPr="00C362C6">
        <w:rPr>
          <w:rFonts w:ascii="Book Antiqua" w:hAnsi="Book Antiqua"/>
          <w:b/>
          <w:sz w:val="52"/>
          <w:szCs w:val="52"/>
          <w:lang w:val="es-ES"/>
        </w:rPr>
        <w:t>P. de la C. 280</w:t>
      </w:r>
    </w:p>
    <w:p w14:paraId="47C4680B" w14:textId="77777777" w:rsidR="00C362C6" w:rsidRPr="00C362C6" w:rsidRDefault="00C362C6" w:rsidP="00C362C6">
      <w:pPr>
        <w:pStyle w:val="Heading1"/>
        <w:jc w:val="center"/>
        <w:rPr>
          <w:rFonts w:ascii="Book Antiqua" w:hAnsi="Book Antiqua"/>
          <w:color w:val="auto"/>
          <w:sz w:val="28"/>
          <w:szCs w:val="28"/>
          <w:lang w:val="es-ES"/>
        </w:rPr>
      </w:pPr>
    </w:p>
    <w:p w14:paraId="5D851BD8" w14:textId="48DC5562" w:rsidR="00C362C6" w:rsidRPr="00C362C6" w:rsidRDefault="00C362C6" w:rsidP="00C362C6">
      <w:pPr>
        <w:pStyle w:val="Heading1"/>
        <w:jc w:val="center"/>
        <w:rPr>
          <w:rFonts w:ascii="Book Antiqua" w:hAnsi="Book Antiqua"/>
          <w:color w:val="auto"/>
          <w:sz w:val="28"/>
          <w:szCs w:val="28"/>
          <w:lang w:val="es-ES"/>
        </w:rPr>
      </w:pPr>
      <w:r w:rsidRPr="00C362C6">
        <w:rPr>
          <w:rFonts w:ascii="Book Antiqua" w:hAnsi="Book Antiqua"/>
          <w:color w:val="auto"/>
          <w:sz w:val="28"/>
          <w:szCs w:val="28"/>
          <w:lang w:val="es-ES"/>
        </w:rPr>
        <w:t>INFORME POSITIVO</w:t>
      </w:r>
    </w:p>
    <w:p w14:paraId="568A0AAE" w14:textId="77777777" w:rsidR="00C362C6" w:rsidRPr="00C362C6" w:rsidRDefault="00C362C6" w:rsidP="00C362C6">
      <w:pPr>
        <w:rPr>
          <w:rFonts w:ascii="Book Antiqua" w:hAnsi="Book Antiqua"/>
          <w:bCs/>
          <w:color w:val="000000"/>
          <w:lang w:val="es-ES"/>
        </w:rPr>
      </w:pPr>
    </w:p>
    <w:p w14:paraId="08C88D8E" w14:textId="16095427" w:rsidR="00C362C6" w:rsidRPr="00C362C6" w:rsidRDefault="00D15B36" w:rsidP="00C362C6">
      <w:pPr>
        <w:jc w:val="center"/>
        <w:rPr>
          <w:rFonts w:ascii="Book Antiqua" w:hAnsi="Book Antiqua"/>
          <w:color w:val="000000"/>
          <w:sz w:val="24"/>
          <w:szCs w:val="24"/>
          <w:lang w:val="es-ES"/>
        </w:rPr>
      </w:pPr>
      <w:r>
        <w:rPr>
          <w:rFonts w:ascii="Book Antiqua" w:hAnsi="Book Antiqua"/>
          <w:bCs/>
          <w:color w:val="000000"/>
          <w:sz w:val="24"/>
          <w:szCs w:val="24"/>
          <w:lang w:val="es-ES"/>
        </w:rPr>
        <w:t>22</w:t>
      </w:r>
      <w:r w:rsidR="00C362C6" w:rsidRPr="00C362C6">
        <w:rPr>
          <w:rFonts w:ascii="Book Antiqua" w:hAnsi="Book Antiqua"/>
          <w:bCs/>
          <w:color w:val="000000"/>
          <w:sz w:val="24"/>
          <w:szCs w:val="24"/>
          <w:lang w:val="es-ES"/>
        </w:rPr>
        <w:t xml:space="preserve"> DE </w:t>
      </w:r>
      <w:r w:rsidR="006E76F6">
        <w:rPr>
          <w:rFonts w:ascii="Book Antiqua" w:hAnsi="Book Antiqua"/>
          <w:bCs/>
          <w:color w:val="000000"/>
          <w:sz w:val="24"/>
          <w:szCs w:val="24"/>
          <w:lang w:val="es-ES"/>
        </w:rPr>
        <w:t>ABRIL</w:t>
      </w:r>
      <w:r w:rsidR="00C362C6" w:rsidRPr="00C362C6">
        <w:rPr>
          <w:rFonts w:ascii="Book Antiqua" w:hAnsi="Book Antiqua"/>
          <w:bCs/>
          <w:color w:val="000000"/>
          <w:sz w:val="24"/>
          <w:szCs w:val="24"/>
          <w:lang w:val="es-ES"/>
        </w:rPr>
        <w:t xml:space="preserve"> DE 2026</w:t>
      </w:r>
    </w:p>
    <w:p w14:paraId="08235019" w14:textId="77777777" w:rsidR="00C362C6" w:rsidRPr="00C362C6" w:rsidRDefault="00C362C6" w:rsidP="00C362C6">
      <w:pPr>
        <w:rPr>
          <w:rFonts w:ascii="Book Antiqua" w:hAnsi="Book Antiqua"/>
          <w:b/>
          <w:bCs/>
          <w:sz w:val="24"/>
          <w:szCs w:val="24"/>
          <w:lang w:val="es-ES"/>
        </w:rPr>
      </w:pPr>
    </w:p>
    <w:p w14:paraId="11D9552B" w14:textId="54D846DC" w:rsidR="001C733B" w:rsidRPr="00C362C6" w:rsidRDefault="00C362C6" w:rsidP="00C362C6">
      <w:pPr>
        <w:rPr>
          <w:lang w:val="es-ES"/>
        </w:rPr>
      </w:pPr>
      <w:r w:rsidRPr="00C362C6">
        <w:rPr>
          <w:rFonts w:ascii="Book Antiqua" w:hAnsi="Book Antiqua"/>
          <w:b/>
          <w:bCs/>
          <w:sz w:val="24"/>
          <w:szCs w:val="24"/>
          <w:lang w:val="es-ES"/>
        </w:rPr>
        <w:t>A LA CÁMARA DE REPRESENTANTES DE PUERTO RICO:</w:t>
      </w:r>
    </w:p>
    <w:p w14:paraId="59A51F0C" w14:textId="77777777" w:rsidR="001C733B" w:rsidRPr="00C362C6" w:rsidRDefault="001C733B">
      <w:pPr>
        <w:rPr>
          <w:lang w:val="es-ES"/>
        </w:rPr>
      </w:pPr>
    </w:p>
    <w:p w14:paraId="2EA4F3B1" w14:textId="643EFFFE" w:rsidR="001C733B" w:rsidRPr="00C362C6" w:rsidRDefault="00C362C6" w:rsidP="00C362C6">
      <w:pPr>
        <w:ind w:firstLine="720"/>
        <w:jc w:val="both"/>
        <w:rPr>
          <w:lang w:val="es-ES"/>
        </w:rPr>
      </w:pPr>
      <w:r w:rsidRPr="00C362C6">
        <w:rPr>
          <w:rFonts w:ascii="Book Antiqua" w:hAnsi="Book Antiqua"/>
          <w:sz w:val="24"/>
          <w:szCs w:val="24"/>
          <w:lang w:val="es-ES"/>
        </w:rPr>
        <w:t xml:space="preserve">La Comisión de Salud de la Cámara de Representantes de Puerto Rico tiene el honor de recomendar a este Augusto Cuerpo la aprobación del P. de la C. 280 con </w:t>
      </w:r>
      <w:r>
        <w:rPr>
          <w:rFonts w:ascii="Book Antiqua" w:hAnsi="Book Antiqua"/>
          <w:sz w:val="24"/>
          <w:szCs w:val="24"/>
          <w:lang w:val="es-ES"/>
        </w:rPr>
        <w:t xml:space="preserve">las </w:t>
      </w:r>
      <w:r w:rsidRPr="00C362C6">
        <w:rPr>
          <w:rFonts w:ascii="Book Antiqua" w:hAnsi="Book Antiqua"/>
          <w:sz w:val="24"/>
          <w:szCs w:val="24"/>
          <w:lang w:val="es-ES"/>
        </w:rPr>
        <w:t>enmiendas</w:t>
      </w:r>
      <w:r>
        <w:rPr>
          <w:rFonts w:ascii="Book Antiqua" w:hAnsi="Book Antiqua"/>
          <w:sz w:val="24"/>
          <w:szCs w:val="24"/>
          <w:lang w:val="es-ES"/>
        </w:rPr>
        <w:t xml:space="preserve"> contenidas en el </w:t>
      </w:r>
      <w:proofErr w:type="spellStart"/>
      <w:r>
        <w:rPr>
          <w:rFonts w:ascii="Book Antiqua" w:hAnsi="Book Antiqua"/>
          <w:sz w:val="24"/>
          <w:szCs w:val="24"/>
          <w:lang w:val="es-ES"/>
        </w:rPr>
        <w:t>entirillado</w:t>
      </w:r>
      <w:proofErr w:type="spellEnd"/>
      <w:r>
        <w:rPr>
          <w:rFonts w:ascii="Book Antiqua" w:hAnsi="Book Antiqua"/>
          <w:sz w:val="24"/>
          <w:szCs w:val="24"/>
          <w:lang w:val="es-ES"/>
        </w:rPr>
        <w:t xml:space="preserve"> electrónico que se aneja a este Informe. </w:t>
      </w:r>
    </w:p>
    <w:p w14:paraId="09258919" w14:textId="77777777" w:rsidR="001C733B" w:rsidRPr="00C362C6" w:rsidRDefault="001C733B">
      <w:pPr>
        <w:rPr>
          <w:lang w:val="es-ES"/>
        </w:rPr>
      </w:pPr>
    </w:p>
    <w:p w14:paraId="0009359D" w14:textId="77777777" w:rsidR="001C733B" w:rsidRPr="00C362C6" w:rsidRDefault="00C362C6">
      <w:pPr>
        <w:jc w:val="center"/>
        <w:rPr>
          <w:lang w:val="es-ES"/>
        </w:rPr>
      </w:pPr>
      <w:r w:rsidRPr="00C362C6">
        <w:rPr>
          <w:rFonts w:ascii="Book Antiqua" w:hAnsi="Book Antiqua"/>
          <w:b/>
          <w:bCs/>
          <w:sz w:val="24"/>
          <w:szCs w:val="24"/>
          <w:lang w:val="es-ES"/>
        </w:rPr>
        <w:t>I. ALCANCE DE LA MEDIDA</w:t>
      </w:r>
    </w:p>
    <w:p w14:paraId="7C5A7DFB" w14:textId="77777777" w:rsidR="001C733B" w:rsidRPr="00C362C6" w:rsidRDefault="001C733B">
      <w:pPr>
        <w:rPr>
          <w:lang w:val="es-ES"/>
        </w:rPr>
      </w:pPr>
    </w:p>
    <w:p w14:paraId="369FFDFF" w14:textId="77777777" w:rsidR="001C733B" w:rsidRPr="00C362C6" w:rsidRDefault="00C362C6" w:rsidP="00C362C6">
      <w:pPr>
        <w:ind w:firstLine="720"/>
        <w:jc w:val="both"/>
        <w:rPr>
          <w:lang w:val="es-ES"/>
        </w:rPr>
      </w:pPr>
      <w:r w:rsidRPr="00C362C6">
        <w:rPr>
          <w:rFonts w:ascii="Book Antiqua" w:hAnsi="Book Antiqua"/>
          <w:sz w:val="24"/>
          <w:szCs w:val="24"/>
          <w:lang w:val="es-ES"/>
        </w:rPr>
        <w:t>El Proyecto de la Cámara 280 propone crear la “Ley para establecer el taller de uso y manejo de torniquetes en las Agencias Gubernamentales y Escuelas Públicas de Puerto Rico”, a los fines de que todas las agencias gubernamentales y escuelas públicas cuenten con un adiestramiento anual obligatorio sobre el manejo y uso del torniquete como herramienta de primeros auxilios para salvar vidas en situaciones de emergencia.</w:t>
      </w:r>
    </w:p>
    <w:p w14:paraId="32DFF1D6" w14:textId="77777777" w:rsidR="001C733B" w:rsidRPr="00C362C6" w:rsidRDefault="001C733B">
      <w:pPr>
        <w:rPr>
          <w:lang w:val="es-ES"/>
        </w:rPr>
      </w:pPr>
    </w:p>
    <w:p w14:paraId="544D5C2F" w14:textId="77777777" w:rsidR="001C733B" w:rsidRPr="00C362C6" w:rsidRDefault="00C362C6" w:rsidP="00C362C6">
      <w:pPr>
        <w:ind w:firstLine="720"/>
        <w:jc w:val="both"/>
        <w:rPr>
          <w:lang w:val="es-ES"/>
        </w:rPr>
      </w:pPr>
      <w:r w:rsidRPr="00C362C6">
        <w:rPr>
          <w:rFonts w:ascii="Book Antiqua" w:hAnsi="Book Antiqua"/>
          <w:sz w:val="24"/>
          <w:szCs w:val="24"/>
          <w:lang w:val="es-ES"/>
        </w:rPr>
        <w:t>La medida parte de la premisa, sustentada por evidencia científica y clínica, de que la hemorragia no controlada constituye una de las principales causas de muertes prevenibles en escenarios de trauma prehospitalario. Según datos citados en la Exposición de Motivos, hasta el 80% de los pacientes que fallecen por trauma lo hacen dentro de la primera hora posterior a la lesión, y una persona con sangrado profuso puede morir desangrada en tan solo cinco minutos. La aplicación oportuna de un torniquete por un civil capacitado puede cerrar esa brecha crítica entre el momento de la lesión y la llegada de los servicios médicos de emergencia.</w:t>
      </w:r>
    </w:p>
    <w:p w14:paraId="36D64ED1" w14:textId="77777777" w:rsidR="001C733B" w:rsidRPr="00C362C6" w:rsidRDefault="001C733B">
      <w:pPr>
        <w:rPr>
          <w:lang w:val="es-ES"/>
        </w:rPr>
      </w:pPr>
    </w:p>
    <w:p w14:paraId="569A764D" w14:textId="77777777" w:rsidR="001C733B" w:rsidRPr="00C362C6" w:rsidRDefault="00C362C6" w:rsidP="00C362C6">
      <w:pPr>
        <w:ind w:firstLine="720"/>
        <w:jc w:val="both"/>
        <w:rPr>
          <w:lang w:val="es-ES"/>
        </w:rPr>
      </w:pPr>
      <w:r w:rsidRPr="00C362C6">
        <w:rPr>
          <w:rFonts w:ascii="Book Antiqua" w:hAnsi="Book Antiqua"/>
          <w:sz w:val="24"/>
          <w:szCs w:val="24"/>
          <w:lang w:val="es-ES"/>
        </w:rPr>
        <w:t xml:space="preserve">En términos específicos, el proyecto dispone: (1) un deber de registro de toda agencia y escuela ante el Departamento de Salud; (2) la facultad del Departamento de Salud para implementar y fiscalizar la ley; (3) la obligación del Secretario de Salud de promulgar la reglamentación necesaria dentro de un término de noventa (90) días; (4) penalidades administrativas por incumplimiento, con multa de $100.00 a partir de la </w:t>
      </w:r>
      <w:r w:rsidRPr="00C362C6">
        <w:rPr>
          <w:rFonts w:ascii="Book Antiqua" w:hAnsi="Book Antiqua"/>
          <w:sz w:val="24"/>
          <w:szCs w:val="24"/>
          <w:lang w:val="es-ES"/>
        </w:rPr>
        <w:lastRenderedPageBreak/>
        <w:t>segunda infracción; y (5) la canalización de los fondos recaudados por multas al Hospital de Cuidado Agudo Especializado en Pacientes Politraumatizados (Hospital de Trauma).</w:t>
      </w:r>
    </w:p>
    <w:p w14:paraId="7EB941A9" w14:textId="77777777" w:rsidR="001C733B" w:rsidRPr="00C362C6" w:rsidRDefault="001C733B">
      <w:pPr>
        <w:rPr>
          <w:lang w:val="es-ES"/>
        </w:rPr>
      </w:pPr>
    </w:p>
    <w:p w14:paraId="2418DA7F" w14:textId="77777777" w:rsidR="001C733B" w:rsidRPr="00C362C6" w:rsidRDefault="00C362C6">
      <w:pPr>
        <w:jc w:val="center"/>
        <w:rPr>
          <w:lang w:val="es-ES"/>
        </w:rPr>
      </w:pPr>
      <w:r w:rsidRPr="00C362C6">
        <w:rPr>
          <w:rFonts w:ascii="Book Antiqua" w:hAnsi="Book Antiqua"/>
          <w:b/>
          <w:bCs/>
          <w:sz w:val="24"/>
          <w:szCs w:val="24"/>
          <w:lang w:val="es-ES"/>
        </w:rPr>
        <w:t>II. MEMORIALES RECIBIDOS Y ANÁLISIS</w:t>
      </w:r>
    </w:p>
    <w:p w14:paraId="6882F567" w14:textId="77777777" w:rsidR="001C733B" w:rsidRPr="00C362C6" w:rsidRDefault="001C733B">
      <w:pPr>
        <w:rPr>
          <w:lang w:val="es-ES"/>
        </w:rPr>
      </w:pPr>
    </w:p>
    <w:p w14:paraId="030D6443" w14:textId="77777777" w:rsidR="001C733B" w:rsidRPr="00C362C6" w:rsidRDefault="00C362C6" w:rsidP="00C362C6">
      <w:pPr>
        <w:ind w:firstLine="720"/>
        <w:jc w:val="both"/>
        <w:rPr>
          <w:lang w:val="es-ES"/>
        </w:rPr>
      </w:pPr>
      <w:r w:rsidRPr="00C362C6">
        <w:rPr>
          <w:rFonts w:ascii="Book Antiqua" w:hAnsi="Book Antiqua"/>
          <w:sz w:val="24"/>
          <w:szCs w:val="24"/>
          <w:lang w:val="es-ES"/>
        </w:rPr>
        <w:t xml:space="preserve">Para evaluar el presente proyecto, esta Comisión solicitó memoriales explicativos al </w:t>
      </w:r>
      <w:r w:rsidRPr="00C362C6">
        <w:rPr>
          <w:rFonts w:ascii="Book Antiqua" w:hAnsi="Book Antiqua"/>
          <w:b/>
          <w:bCs/>
          <w:sz w:val="24"/>
          <w:szCs w:val="24"/>
          <w:lang w:val="es-ES"/>
        </w:rPr>
        <w:t>Departamento de Salud</w:t>
      </w:r>
      <w:r w:rsidRPr="00C362C6">
        <w:rPr>
          <w:rFonts w:ascii="Book Antiqua" w:hAnsi="Book Antiqua"/>
          <w:sz w:val="24"/>
          <w:szCs w:val="24"/>
          <w:lang w:val="es-ES"/>
        </w:rPr>
        <w:t xml:space="preserve"> y al </w:t>
      </w:r>
      <w:r w:rsidRPr="00C362C6">
        <w:rPr>
          <w:rFonts w:ascii="Book Antiqua" w:hAnsi="Book Antiqua"/>
          <w:b/>
          <w:bCs/>
          <w:sz w:val="24"/>
          <w:szCs w:val="24"/>
          <w:lang w:val="es-ES"/>
        </w:rPr>
        <w:t>Departamento de Educación (DEPR)</w:t>
      </w:r>
      <w:r w:rsidRPr="00C362C6">
        <w:rPr>
          <w:rFonts w:ascii="Book Antiqua" w:hAnsi="Book Antiqua"/>
          <w:sz w:val="24"/>
          <w:szCs w:val="24"/>
          <w:lang w:val="es-ES"/>
        </w:rPr>
        <w:t>. Ambas agencias sometieron sus respectivos memoriales oportunamente.</w:t>
      </w:r>
    </w:p>
    <w:p w14:paraId="33CC0AC6" w14:textId="77777777" w:rsidR="001C733B" w:rsidRPr="00C362C6" w:rsidRDefault="001C733B">
      <w:pPr>
        <w:rPr>
          <w:lang w:val="es-ES"/>
        </w:rPr>
      </w:pPr>
    </w:p>
    <w:p w14:paraId="35C61CC2" w14:textId="5FEF8E03" w:rsidR="001C733B" w:rsidRPr="00C362C6" w:rsidRDefault="00C362C6" w:rsidP="00C362C6">
      <w:pPr>
        <w:jc w:val="center"/>
        <w:rPr>
          <w:lang w:val="es-ES"/>
        </w:rPr>
      </w:pPr>
      <w:r w:rsidRPr="00C362C6">
        <w:rPr>
          <w:rFonts w:ascii="Book Antiqua" w:hAnsi="Book Antiqua"/>
          <w:b/>
          <w:bCs/>
          <w:sz w:val="24"/>
          <w:szCs w:val="24"/>
          <w:u w:val="single"/>
          <w:lang w:val="es-ES"/>
        </w:rPr>
        <w:t>Departamento de Salud</w:t>
      </w:r>
      <w:r w:rsidRPr="00C362C6">
        <w:rPr>
          <w:rFonts w:ascii="Book Antiqua" w:hAnsi="Book Antiqua"/>
          <w:i/>
          <w:iCs/>
          <w:sz w:val="24"/>
          <w:szCs w:val="24"/>
          <w:lang w:val="es-ES"/>
        </w:rPr>
        <w:t xml:space="preserve"> (31 de octubre de 2025)</w:t>
      </w:r>
    </w:p>
    <w:p w14:paraId="0C4A0C41" w14:textId="77777777" w:rsidR="001C733B" w:rsidRPr="00C362C6" w:rsidRDefault="001C733B">
      <w:pPr>
        <w:rPr>
          <w:lang w:val="es-ES"/>
        </w:rPr>
      </w:pPr>
    </w:p>
    <w:p w14:paraId="0FC4E1EC" w14:textId="77777777" w:rsidR="001C733B" w:rsidRPr="00C362C6" w:rsidRDefault="00C362C6" w:rsidP="00C362C6">
      <w:pPr>
        <w:ind w:firstLine="720"/>
        <w:jc w:val="both"/>
        <w:rPr>
          <w:lang w:val="es-ES"/>
        </w:rPr>
      </w:pPr>
      <w:r w:rsidRPr="00C362C6">
        <w:rPr>
          <w:rFonts w:ascii="Book Antiqua" w:hAnsi="Book Antiqua"/>
          <w:sz w:val="24"/>
          <w:szCs w:val="24"/>
          <w:lang w:val="es-ES"/>
        </w:rPr>
        <w:t>El Departamento de Salud sometió un memorial comprensivo en el que contextualizó su mandato constitucional como agencia responsable de todos los asuntos de salud pública, conforme a la Ley Núm. 81 de 14 de marzo de 1912. La agencia endosó la medida, calificando su propósito como “sumamente loable en el ámbito de la salud y la seguridad ciudadana”.</w:t>
      </w:r>
    </w:p>
    <w:p w14:paraId="0F1BD914" w14:textId="77777777" w:rsidR="001C733B" w:rsidRPr="00C362C6" w:rsidRDefault="001C733B">
      <w:pPr>
        <w:rPr>
          <w:lang w:val="es-ES"/>
        </w:rPr>
      </w:pPr>
    </w:p>
    <w:p w14:paraId="3A638C8A" w14:textId="77777777" w:rsidR="001C733B" w:rsidRPr="00C362C6" w:rsidRDefault="00C362C6" w:rsidP="00C362C6">
      <w:pPr>
        <w:ind w:firstLine="720"/>
        <w:jc w:val="both"/>
        <w:rPr>
          <w:lang w:val="es-ES"/>
        </w:rPr>
      </w:pPr>
      <w:r w:rsidRPr="00C362C6">
        <w:rPr>
          <w:rFonts w:ascii="Book Antiqua" w:hAnsi="Book Antiqua"/>
          <w:sz w:val="24"/>
          <w:szCs w:val="24"/>
          <w:lang w:val="es-ES"/>
        </w:rPr>
        <w:t xml:space="preserve">En cuanto al mérito sustantivo, el Departamento destacó que el uso de torniquetes constituye una intervención de primeros auxilios ampliamente validada por la evidencia científica, citando estudios publicados en el </w:t>
      </w:r>
      <w:proofErr w:type="spellStart"/>
      <w:r w:rsidRPr="00C362C6">
        <w:rPr>
          <w:rFonts w:ascii="Book Antiqua" w:hAnsi="Book Antiqua"/>
          <w:i/>
          <w:iCs/>
          <w:sz w:val="24"/>
          <w:szCs w:val="24"/>
          <w:lang w:val="es-ES"/>
        </w:rPr>
        <w:t>Journal</w:t>
      </w:r>
      <w:proofErr w:type="spellEnd"/>
      <w:r w:rsidRPr="00C362C6">
        <w:rPr>
          <w:rFonts w:ascii="Book Antiqua" w:hAnsi="Book Antiqua"/>
          <w:i/>
          <w:iCs/>
          <w:sz w:val="24"/>
          <w:szCs w:val="24"/>
          <w:lang w:val="es-ES"/>
        </w:rPr>
        <w:t xml:space="preserve"> </w:t>
      </w:r>
      <w:proofErr w:type="spellStart"/>
      <w:r w:rsidRPr="00C362C6">
        <w:rPr>
          <w:rFonts w:ascii="Book Antiqua" w:hAnsi="Book Antiqua"/>
          <w:i/>
          <w:iCs/>
          <w:sz w:val="24"/>
          <w:szCs w:val="24"/>
          <w:lang w:val="es-ES"/>
        </w:rPr>
        <w:t>of</w:t>
      </w:r>
      <w:proofErr w:type="spellEnd"/>
      <w:r w:rsidRPr="00C362C6">
        <w:rPr>
          <w:rFonts w:ascii="Book Antiqua" w:hAnsi="Book Antiqua"/>
          <w:i/>
          <w:iCs/>
          <w:sz w:val="24"/>
          <w:szCs w:val="24"/>
          <w:lang w:val="es-ES"/>
        </w:rPr>
        <w:t xml:space="preserve"> </w:t>
      </w:r>
      <w:proofErr w:type="spellStart"/>
      <w:r w:rsidRPr="00C362C6">
        <w:rPr>
          <w:rFonts w:ascii="Book Antiqua" w:hAnsi="Book Antiqua"/>
          <w:i/>
          <w:iCs/>
          <w:sz w:val="24"/>
          <w:szCs w:val="24"/>
          <w:lang w:val="es-ES"/>
        </w:rPr>
        <w:t>the</w:t>
      </w:r>
      <w:proofErr w:type="spellEnd"/>
      <w:r w:rsidRPr="00C362C6">
        <w:rPr>
          <w:rFonts w:ascii="Book Antiqua" w:hAnsi="Book Antiqua"/>
          <w:i/>
          <w:iCs/>
          <w:sz w:val="24"/>
          <w:szCs w:val="24"/>
          <w:lang w:val="es-ES"/>
        </w:rPr>
        <w:t xml:space="preserve"> American College </w:t>
      </w:r>
      <w:proofErr w:type="spellStart"/>
      <w:r w:rsidRPr="00C362C6">
        <w:rPr>
          <w:rFonts w:ascii="Book Antiqua" w:hAnsi="Book Antiqua"/>
          <w:i/>
          <w:iCs/>
          <w:sz w:val="24"/>
          <w:szCs w:val="24"/>
          <w:lang w:val="es-ES"/>
        </w:rPr>
        <w:t>of</w:t>
      </w:r>
      <w:proofErr w:type="spellEnd"/>
      <w:r w:rsidRPr="00C362C6">
        <w:rPr>
          <w:rFonts w:ascii="Book Antiqua" w:hAnsi="Book Antiqua"/>
          <w:i/>
          <w:iCs/>
          <w:sz w:val="24"/>
          <w:szCs w:val="24"/>
          <w:lang w:val="es-ES"/>
        </w:rPr>
        <w:t xml:space="preserve"> </w:t>
      </w:r>
      <w:proofErr w:type="spellStart"/>
      <w:r w:rsidRPr="00C362C6">
        <w:rPr>
          <w:rFonts w:ascii="Book Antiqua" w:hAnsi="Book Antiqua"/>
          <w:i/>
          <w:iCs/>
          <w:sz w:val="24"/>
          <w:szCs w:val="24"/>
          <w:lang w:val="es-ES"/>
        </w:rPr>
        <w:t>Surgeons</w:t>
      </w:r>
      <w:proofErr w:type="spellEnd"/>
      <w:r w:rsidRPr="00C362C6">
        <w:rPr>
          <w:rFonts w:ascii="Book Antiqua" w:hAnsi="Book Antiqua"/>
          <w:sz w:val="24"/>
          <w:szCs w:val="24"/>
          <w:lang w:val="es-ES"/>
        </w:rPr>
        <w:t xml:space="preserve"> (Jacobs et al., 2017; Kragh et al., 2008). La agencia precisó que la capacitación de personal no médico en el uso de torniquetes no constituye práctica de la medicina, sino una medida crítica de primeros auxilios consistente con iniciativas internacionales como “Stop </w:t>
      </w:r>
      <w:proofErr w:type="spellStart"/>
      <w:r w:rsidRPr="00C362C6">
        <w:rPr>
          <w:rFonts w:ascii="Book Antiqua" w:hAnsi="Book Antiqua"/>
          <w:sz w:val="24"/>
          <w:szCs w:val="24"/>
          <w:lang w:val="es-ES"/>
        </w:rPr>
        <w:t>the</w:t>
      </w:r>
      <w:proofErr w:type="spellEnd"/>
      <w:r w:rsidRPr="00C362C6">
        <w:rPr>
          <w:rFonts w:ascii="Book Antiqua" w:hAnsi="Book Antiqua"/>
          <w:sz w:val="24"/>
          <w:szCs w:val="24"/>
          <w:lang w:val="es-ES"/>
        </w:rPr>
        <w:t xml:space="preserve"> </w:t>
      </w:r>
      <w:proofErr w:type="spellStart"/>
      <w:r w:rsidRPr="00C362C6">
        <w:rPr>
          <w:rFonts w:ascii="Book Antiqua" w:hAnsi="Book Antiqua"/>
          <w:sz w:val="24"/>
          <w:szCs w:val="24"/>
          <w:lang w:val="es-ES"/>
        </w:rPr>
        <w:t>Bleed</w:t>
      </w:r>
      <w:proofErr w:type="spellEnd"/>
      <w:r w:rsidRPr="00C362C6">
        <w:rPr>
          <w:rFonts w:ascii="Book Antiqua" w:hAnsi="Book Antiqua"/>
          <w:sz w:val="24"/>
          <w:szCs w:val="24"/>
          <w:lang w:val="es-ES"/>
        </w:rPr>
        <w:t>”, promovidas por el Colegio Americano de Cirujanos.</w:t>
      </w:r>
    </w:p>
    <w:p w14:paraId="18134D6C" w14:textId="77777777" w:rsidR="001C733B" w:rsidRPr="00C362C6" w:rsidRDefault="001C733B">
      <w:pPr>
        <w:rPr>
          <w:lang w:val="es-ES"/>
        </w:rPr>
      </w:pPr>
    </w:p>
    <w:p w14:paraId="378DE00F" w14:textId="77777777" w:rsidR="001C733B" w:rsidRPr="00C362C6" w:rsidRDefault="00C362C6" w:rsidP="00C362C6">
      <w:pPr>
        <w:ind w:firstLine="720"/>
        <w:jc w:val="both"/>
        <w:rPr>
          <w:lang w:val="es-ES"/>
        </w:rPr>
      </w:pPr>
      <w:r w:rsidRPr="00C362C6">
        <w:rPr>
          <w:rFonts w:ascii="Book Antiqua" w:hAnsi="Book Antiqua"/>
          <w:sz w:val="24"/>
          <w:szCs w:val="24"/>
          <w:lang w:val="es-ES"/>
        </w:rPr>
        <w:t>El memorial reconoció que institucionalizar estos talleres en agencias gubernamentales y escuelas públicas representa un avance significativo en la preparación del País ante emergencias traumáticas, comparable al impacto que ha tenido el entrenamiento en reanimación cardiopulmonar (RCP) para la supervivencia en casos de paro cardíaco extrahospitalario.</w:t>
      </w:r>
    </w:p>
    <w:p w14:paraId="58D95F49" w14:textId="77777777" w:rsidR="001C733B" w:rsidRPr="00C362C6" w:rsidRDefault="001C733B">
      <w:pPr>
        <w:rPr>
          <w:lang w:val="es-ES"/>
        </w:rPr>
      </w:pPr>
    </w:p>
    <w:p w14:paraId="26296A6F" w14:textId="77777777" w:rsidR="001C733B" w:rsidRPr="00C362C6" w:rsidRDefault="00C362C6" w:rsidP="00C362C6">
      <w:pPr>
        <w:ind w:firstLine="720"/>
        <w:jc w:val="both"/>
        <w:rPr>
          <w:lang w:val="es-ES"/>
        </w:rPr>
      </w:pPr>
      <w:r w:rsidRPr="00C362C6">
        <w:rPr>
          <w:rFonts w:ascii="Book Antiqua" w:hAnsi="Book Antiqua"/>
          <w:sz w:val="24"/>
          <w:szCs w:val="24"/>
          <w:lang w:val="es-ES"/>
        </w:rPr>
        <w:t>No obstante, el Departamento condicionó su endoso a la atención de cinco señalamientos específicos:</w:t>
      </w:r>
    </w:p>
    <w:p w14:paraId="1DE4E1EB" w14:textId="77777777" w:rsidR="001C733B" w:rsidRPr="00C362C6" w:rsidRDefault="001C733B">
      <w:pPr>
        <w:rPr>
          <w:lang w:val="es-ES"/>
        </w:rPr>
      </w:pPr>
    </w:p>
    <w:p w14:paraId="70BBB3AF" w14:textId="77777777" w:rsidR="001C733B" w:rsidRPr="00DE168E" w:rsidRDefault="00C362C6">
      <w:pPr>
        <w:spacing w:after="80"/>
        <w:ind w:left="1080" w:hanging="360"/>
        <w:jc w:val="both"/>
        <w:rPr>
          <w:lang w:val="es-ES"/>
        </w:rPr>
      </w:pPr>
      <w:r w:rsidRPr="00DE168E">
        <w:rPr>
          <w:rFonts w:ascii="Book Antiqua" w:hAnsi="Book Antiqua"/>
          <w:sz w:val="24"/>
          <w:szCs w:val="24"/>
          <w:lang w:val="es-ES"/>
        </w:rPr>
        <w:t>(1) El proyecto no contiene texto específico que obligue a la disponibilidad física del torniquete en cada agencia.</w:t>
      </w:r>
    </w:p>
    <w:p w14:paraId="6BE92D11" w14:textId="77777777" w:rsidR="001C733B" w:rsidRPr="00DE168E" w:rsidRDefault="00C362C6">
      <w:pPr>
        <w:spacing w:after="80"/>
        <w:ind w:left="1080" w:hanging="360"/>
        <w:jc w:val="both"/>
        <w:rPr>
          <w:lang w:val="es-ES"/>
        </w:rPr>
      </w:pPr>
      <w:r w:rsidRPr="00DE168E">
        <w:rPr>
          <w:rFonts w:ascii="Book Antiqua" w:hAnsi="Book Antiqua"/>
          <w:sz w:val="24"/>
          <w:szCs w:val="24"/>
          <w:lang w:val="es-ES"/>
        </w:rPr>
        <w:t>(2) No se clarifica a quién corresponde la adquisición de los instrumentos, quién preparará y ofrecerá los talleres de capacitación, ni la frecuencia específica de los mismos.</w:t>
      </w:r>
    </w:p>
    <w:p w14:paraId="6B72E5FA" w14:textId="77777777" w:rsidR="001C733B" w:rsidRPr="00DE168E" w:rsidRDefault="00C362C6">
      <w:pPr>
        <w:spacing w:after="80"/>
        <w:ind w:left="1080" w:hanging="360"/>
        <w:jc w:val="both"/>
        <w:rPr>
          <w:lang w:val="es-ES"/>
        </w:rPr>
      </w:pPr>
      <w:r w:rsidRPr="00DE168E">
        <w:rPr>
          <w:rFonts w:ascii="Book Antiqua" w:hAnsi="Book Antiqua"/>
          <w:sz w:val="24"/>
          <w:szCs w:val="24"/>
          <w:lang w:val="es-ES"/>
        </w:rPr>
        <w:t>(3) No se explica ni justifica el propósito del registro ante el Departamento de Salud requerido en el Artículo 3.</w:t>
      </w:r>
    </w:p>
    <w:p w14:paraId="31ED8AF4" w14:textId="77777777" w:rsidR="001C733B" w:rsidRPr="00C362C6" w:rsidRDefault="00C362C6">
      <w:pPr>
        <w:spacing w:after="80"/>
        <w:ind w:left="1080" w:hanging="360"/>
        <w:jc w:val="both"/>
        <w:rPr>
          <w:lang w:val="es-ES"/>
        </w:rPr>
      </w:pPr>
      <w:r w:rsidRPr="00DE168E">
        <w:rPr>
          <w:rFonts w:ascii="Book Antiqua" w:hAnsi="Book Antiqua"/>
          <w:sz w:val="24"/>
          <w:szCs w:val="24"/>
          <w:lang w:val="es-ES"/>
        </w:rPr>
        <w:t>(4) La medida no asigna fondos para la creación e implementación del registro requerido.</w:t>
      </w:r>
    </w:p>
    <w:p w14:paraId="00F8721C" w14:textId="77777777" w:rsidR="001C733B" w:rsidRPr="00C362C6" w:rsidRDefault="00C362C6">
      <w:pPr>
        <w:spacing w:after="80"/>
        <w:ind w:left="1080" w:hanging="360"/>
        <w:jc w:val="both"/>
        <w:rPr>
          <w:lang w:val="es-ES"/>
        </w:rPr>
      </w:pPr>
      <w:r w:rsidRPr="00C362C6">
        <w:rPr>
          <w:rFonts w:ascii="Book Antiqua" w:hAnsi="Book Antiqua"/>
          <w:sz w:val="24"/>
          <w:szCs w:val="24"/>
          <w:lang w:val="es-ES"/>
        </w:rPr>
        <w:lastRenderedPageBreak/>
        <w:t>(5) El plazo de noventa (90) días para la promulgación de la reglamentación resulta insuficiente para cumplir con los requisitos de la Ley Núm. 38-2017 (Ley de Procedimiento Administrativo Uniforme), recomendando su extensión a ciento ochenta (180) días.</w:t>
      </w:r>
    </w:p>
    <w:p w14:paraId="563E49E1" w14:textId="77777777" w:rsidR="001C733B" w:rsidRPr="00C362C6" w:rsidRDefault="001C733B">
      <w:pPr>
        <w:rPr>
          <w:lang w:val="es-ES"/>
        </w:rPr>
      </w:pPr>
    </w:p>
    <w:p w14:paraId="2EA50EF0" w14:textId="0427E1A9" w:rsidR="001C733B" w:rsidRPr="00C362C6" w:rsidRDefault="00C362C6" w:rsidP="00C362C6">
      <w:pPr>
        <w:jc w:val="center"/>
        <w:rPr>
          <w:lang w:val="es-ES"/>
        </w:rPr>
      </w:pPr>
      <w:r w:rsidRPr="00C362C6">
        <w:rPr>
          <w:rFonts w:ascii="Book Antiqua" w:hAnsi="Book Antiqua"/>
          <w:b/>
          <w:bCs/>
          <w:sz w:val="24"/>
          <w:szCs w:val="24"/>
          <w:u w:val="single"/>
          <w:lang w:val="es-ES"/>
        </w:rPr>
        <w:t>Departamento de Educación (DEPR)</w:t>
      </w:r>
      <w:r w:rsidRPr="00C362C6">
        <w:rPr>
          <w:rFonts w:ascii="Book Antiqua" w:hAnsi="Book Antiqua"/>
          <w:i/>
          <w:iCs/>
          <w:sz w:val="24"/>
          <w:szCs w:val="24"/>
          <w:lang w:val="es-ES"/>
        </w:rPr>
        <w:t xml:space="preserve"> (7 de noviembre de 2025)</w:t>
      </w:r>
    </w:p>
    <w:p w14:paraId="0D3AD619" w14:textId="77777777" w:rsidR="001C733B" w:rsidRPr="00C362C6" w:rsidRDefault="001C733B">
      <w:pPr>
        <w:rPr>
          <w:lang w:val="es-ES"/>
        </w:rPr>
      </w:pPr>
    </w:p>
    <w:p w14:paraId="25342672" w14:textId="77777777" w:rsidR="001C733B" w:rsidRPr="00C362C6" w:rsidRDefault="00C362C6" w:rsidP="00C362C6">
      <w:pPr>
        <w:ind w:firstLine="720"/>
        <w:jc w:val="both"/>
        <w:rPr>
          <w:lang w:val="es-ES"/>
        </w:rPr>
      </w:pPr>
      <w:r w:rsidRPr="00C362C6">
        <w:rPr>
          <w:rFonts w:ascii="Book Antiqua" w:hAnsi="Book Antiqua"/>
          <w:sz w:val="24"/>
          <w:szCs w:val="24"/>
          <w:lang w:val="es-ES"/>
        </w:rPr>
        <w:t xml:space="preserve">El Departamento de Educación sometió memorial explicativo en el cual contextualizó su mandato constitucional conforme al Artículo II, Sección 5 de la Constitución del Estado Libre Asociado y a la Ley 85-2018 (Ley de Reforma Educativa de Puerto Rico). La agencia analizó el P. de la C. 280 en el contexto conjunto del P. de la C. 279, identificando ambas medidas como complementarias: mientras el P. de la C. 279 se centra en la disponibilidad física del torniquete en agencias y escuelas, el P. de la C. 280 aborda la capacitación sistemática sobre su uso y manejo, alineada con campañas como “Stop </w:t>
      </w:r>
      <w:proofErr w:type="spellStart"/>
      <w:r w:rsidRPr="00C362C6">
        <w:rPr>
          <w:rFonts w:ascii="Book Antiqua" w:hAnsi="Book Antiqua"/>
          <w:sz w:val="24"/>
          <w:szCs w:val="24"/>
          <w:lang w:val="es-ES"/>
        </w:rPr>
        <w:t>the</w:t>
      </w:r>
      <w:proofErr w:type="spellEnd"/>
      <w:r w:rsidRPr="00C362C6">
        <w:rPr>
          <w:rFonts w:ascii="Book Antiqua" w:hAnsi="Book Antiqua"/>
          <w:sz w:val="24"/>
          <w:szCs w:val="24"/>
          <w:lang w:val="es-ES"/>
        </w:rPr>
        <w:t xml:space="preserve"> </w:t>
      </w:r>
      <w:proofErr w:type="spellStart"/>
      <w:r w:rsidRPr="00C362C6">
        <w:rPr>
          <w:rFonts w:ascii="Book Antiqua" w:hAnsi="Book Antiqua"/>
          <w:sz w:val="24"/>
          <w:szCs w:val="24"/>
          <w:lang w:val="es-ES"/>
        </w:rPr>
        <w:t>Bleed</w:t>
      </w:r>
      <w:proofErr w:type="spellEnd"/>
      <w:r w:rsidRPr="00C362C6">
        <w:rPr>
          <w:rFonts w:ascii="Book Antiqua" w:hAnsi="Book Antiqua"/>
          <w:sz w:val="24"/>
          <w:szCs w:val="24"/>
          <w:lang w:val="es-ES"/>
        </w:rPr>
        <w:t>”.</w:t>
      </w:r>
    </w:p>
    <w:p w14:paraId="5CB3A114" w14:textId="77777777" w:rsidR="001C733B" w:rsidRPr="00C362C6" w:rsidRDefault="001C733B">
      <w:pPr>
        <w:rPr>
          <w:lang w:val="es-ES"/>
        </w:rPr>
      </w:pPr>
    </w:p>
    <w:p w14:paraId="723768E9" w14:textId="77777777" w:rsidR="001C733B" w:rsidRPr="00C362C6" w:rsidRDefault="00C362C6" w:rsidP="00C362C6">
      <w:pPr>
        <w:ind w:firstLine="720"/>
        <w:jc w:val="both"/>
        <w:rPr>
          <w:lang w:val="es-ES"/>
        </w:rPr>
      </w:pPr>
      <w:r w:rsidRPr="00C362C6">
        <w:rPr>
          <w:rFonts w:ascii="Book Antiqua" w:hAnsi="Book Antiqua"/>
          <w:sz w:val="24"/>
          <w:szCs w:val="24"/>
          <w:lang w:val="es-ES"/>
        </w:rPr>
        <w:t>El DEPR reconoció que mantener un entorno escolar seguro constituye un espacio donde los estudiantes se sientan protegidos y apoyados, y que la promoción de técnicas de primeros auxilios fortalece el desarrollo de capacidades dentro de la comunidad escolar, incluyendo la empatía, la responsabilidad y la cooperación.</w:t>
      </w:r>
    </w:p>
    <w:p w14:paraId="52C09B05" w14:textId="77777777" w:rsidR="001C733B" w:rsidRPr="00C362C6" w:rsidRDefault="001C733B">
      <w:pPr>
        <w:rPr>
          <w:lang w:val="es-ES"/>
        </w:rPr>
      </w:pPr>
    </w:p>
    <w:p w14:paraId="4207E9B4" w14:textId="77777777" w:rsidR="001C733B" w:rsidRPr="00C362C6" w:rsidRDefault="00C362C6" w:rsidP="00C362C6">
      <w:pPr>
        <w:ind w:firstLine="720"/>
        <w:jc w:val="both"/>
        <w:rPr>
          <w:lang w:val="es-ES"/>
        </w:rPr>
      </w:pPr>
      <w:r w:rsidRPr="00C362C6">
        <w:rPr>
          <w:rFonts w:ascii="Book Antiqua" w:hAnsi="Book Antiqua"/>
          <w:sz w:val="24"/>
          <w:szCs w:val="24"/>
          <w:lang w:val="es-ES"/>
        </w:rPr>
        <w:t xml:space="preserve">La agencia formuló dos observaciones de particular relevancia. En primer lugar, enfatizó la necesidad de que la medida contemple </w:t>
      </w:r>
      <w:r w:rsidRPr="00DE168E">
        <w:rPr>
          <w:rFonts w:ascii="Book Antiqua" w:hAnsi="Book Antiqua"/>
          <w:sz w:val="24"/>
          <w:szCs w:val="24"/>
          <w:lang w:val="es-ES"/>
        </w:rPr>
        <w:t>la asignación de fondos recurrentes que garanticen los recursos necesarios para la capacitación adecuada,</w:t>
      </w:r>
      <w:r w:rsidRPr="00C362C6">
        <w:rPr>
          <w:rFonts w:ascii="Book Antiqua" w:hAnsi="Book Antiqua"/>
          <w:sz w:val="24"/>
          <w:szCs w:val="24"/>
          <w:lang w:val="es-ES"/>
        </w:rPr>
        <w:t xml:space="preserve"> dado el marco de limitaciones fiscales que enfrenta el DEPR y otros entes de gobierno. En segundo lugar, sugirió que esta Asamblea Legislativa considere la consolidación del P. de la C. 279 y el P. de la C. 280 en una sola ley integral, evitando que se legisle parcialmente sobre una necesidad que requiere un abordaje completo.</w:t>
      </w:r>
    </w:p>
    <w:p w14:paraId="449D84E4" w14:textId="77777777" w:rsidR="001C733B" w:rsidRPr="00C362C6" w:rsidRDefault="001C733B">
      <w:pPr>
        <w:rPr>
          <w:lang w:val="es-ES"/>
        </w:rPr>
      </w:pPr>
    </w:p>
    <w:p w14:paraId="6A000B3F" w14:textId="77777777" w:rsidR="001C733B" w:rsidRPr="00C362C6" w:rsidRDefault="00C362C6" w:rsidP="00C362C6">
      <w:pPr>
        <w:ind w:firstLine="720"/>
        <w:jc w:val="both"/>
        <w:rPr>
          <w:lang w:val="es-ES"/>
        </w:rPr>
      </w:pPr>
      <w:r w:rsidRPr="00C362C6">
        <w:rPr>
          <w:rFonts w:ascii="Book Antiqua" w:hAnsi="Book Antiqua"/>
          <w:sz w:val="24"/>
          <w:szCs w:val="24"/>
          <w:lang w:val="es-ES"/>
        </w:rPr>
        <w:t>En su conclusión, el DEPR no presentó objeción alguna a la aprobación de la medida, reconociendo su valor como “un paso afirmativo para salvar vidas” y reiterando su disponibilidad para colaborar en la implementación conforme a Derecho.</w:t>
      </w:r>
    </w:p>
    <w:p w14:paraId="1EBC69B9" w14:textId="77777777" w:rsidR="001C733B" w:rsidRPr="00C362C6" w:rsidRDefault="001C733B">
      <w:pPr>
        <w:rPr>
          <w:lang w:val="es-ES"/>
        </w:rPr>
      </w:pPr>
    </w:p>
    <w:p w14:paraId="6DC05BE8" w14:textId="77777777" w:rsidR="001C733B" w:rsidRPr="00C362C6" w:rsidRDefault="001C733B">
      <w:pPr>
        <w:rPr>
          <w:lang w:val="es-ES"/>
        </w:rPr>
      </w:pPr>
    </w:p>
    <w:p w14:paraId="0792D07D" w14:textId="6F7BF78D" w:rsidR="001C733B" w:rsidRPr="00C362C6" w:rsidRDefault="00C362C6">
      <w:pPr>
        <w:jc w:val="center"/>
        <w:rPr>
          <w:lang w:val="es-ES"/>
        </w:rPr>
      </w:pPr>
      <w:r w:rsidRPr="00C362C6">
        <w:rPr>
          <w:rFonts w:ascii="Book Antiqua" w:hAnsi="Book Antiqua"/>
          <w:b/>
          <w:bCs/>
          <w:sz w:val="24"/>
          <w:szCs w:val="24"/>
          <w:lang w:val="es-ES"/>
        </w:rPr>
        <w:t xml:space="preserve"> IMPACTO FISCAL</w:t>
      </w:r>
    </w:p>
    <w:p w14:paraId="265512F8" w14:textId="77777777" w:rsidR="001C733B" w:rsidRPr="00C362C6" w:rsidRDefault="001C733B">
      <w:pPr>
        <w:rPr>
          <w:lang w:val="es-ES"/>
        </w:rPr>
      </w:pPr>
    </w:p>
    <w:p w14:paraId="28C5797B" w14:textId="77777777" w:rsidR="001C733B" w:rsidRPr="00C362C6" w:rsidRDefault="00C362C6" w:rsidP="00C362C6">
      <w:pPr>
        <w:ind w:firstLine="720"/>
        <w:jc w:val="both"/>
        <w:rPr>
          <w:lang w:val="es-ES"/>
        </w:rPr>
      </w:pPr>
      <w:r w:rsidRPr="00C362C6">
        <w:rPr>
          <w:rFonts w:ascii="Book Antiqua" w:hAnsi="Book Antiqua"/>
          <w:sz w:val="24"/>
          <w:szCs w:val="24"/>
          <w:lang w:val="es-ES"/>
        </w:rPr>
        <w:t xml:space="preserve">El P. de la C. 280 no conlleva una asignación presupuestaria directa del Fondo General. No obstante, esta Comisión reconoce que la implementación efectiva de la ley requerirá que las agencias y escuelas destinen recursos operacionales para la adquisición de torniquetes y la logística de los talleres anuales. El Departamento de Salud deberá gestionar los recursos necesarios para la creación y administración del registro. Las multas recaudadas por incumplimiento se canalizan al Hospital de Trauma, lo que </w:t>
      </w:r>
      <w:r w:rsidRPr="00C362C6">
        <w:rPr>
          <w:rFonts w:ascii="Book Antiqua" w:hAnsi="Book Antiqua"/>
          <w:sz w:val="24"/>
          <w:szCs w:val="24"/>
          <w:lang w:val="es-ES"/>
        </w:rPr>
        <w:lastRenderedPageBreak/>
        <w:t>constituye un mecanismo de financiamiento complementario para la atención especializada de trauma en la Isla.</w:t>
      </w:r>
    </w:p>
    <w:p w14:paraId="3AD21ECD" w14:textId="77777777" w:rsidR="001C733B" w:rsidRPr="00C362C6" w:rsidRDefault="001C733B">
      <w:pPr>
        <w:rPr>
          <w:lang w:val="es-ES"/>
        </w:rPr>
      </w:pPr>
    </w:p>
    <w:p w14:paraId="29F48460" w14:textId="2713D537" w:rsidR="001C733B" w:rsidRPr="00C362C6" w:rsidRDefault="00C362C6">
      <w:pPr>
        <w:jc w:val="center"/>
        <w:rPr>
          <w:lang w:val="es-ES"/>
        </w:rPr>
      </w:pPr>
      <w:r>
        <w:rPr>
          <w:rFonts w:ascii="Book Antiqua" w:hAnsi="Book Antiqua"/>
          <w:b/>
          <w:bCs/>
          <w:sz w:val="24"/>
          <w:szCs w:val="24"/>
          <w:lang w:val="es-ES"/>
        </w:rPr>
        <w:t>I</w:t>
      </w:r>
      <w:r w:rsidR="003A594C">
        <w:rPr>
          <w:rFonts w:ascii="Book Antiqua" w:hAnsi="Book Antiqua"/>
          <w:b/>
          <w:bCs/>
          <w:sz w:val="24"/>
          <w:szCs w:val="24"/>
          <w:lang w:val="es-ES"/>
        </w:rPr>
        <w:t>II</w:t>
      </w:r>
      <w:r w:rsidRPr="00C362C6">
        <w:rPr>
          <w:rFonts w:ascii="Book Antiqua" w:hAnsi="Book Antiqua"/>
          <w:b/>
          <w:bCs/>
          <w:sz w:val="24"/>
          <w:szCs w:val="24"/>
          <w:lang w:val="es-ES"/>
        </w:rPr>
        <w:t>. CONCLUSIÓN</w:t>
      </w:r>
    </w:p>
    <w:p w14:paraId="248731EA" w14:textId="77777777" w:rsidR="001C733B" w:rsidRPr="00C362C6" w:rsidRDefault="001C733B">
      <w:pPr>
        <w:rPr>
          <w:lang w:val="es-ES"/>
        </w:rPr>
      </w:pPr>
    </w:p>
    <w:p w14:paraId="7192AC15" w14:textId="77777777" w:rsidR="001C733B" w:rsidRPr="00C362C6" w:rsidRDefault="00C362C6" w:rsidP="00C362C6">
      <w:pPr>
        <w:ind w:firstLine="720"/>
        <w:jc w:val="both"/>
        <w:rPr>
          <w:lang w:val="es-ES"/>
        </w:rPr>
      </w:pPr>
      <w:r w:rsidRPr="00C362C6">
        <w:rPr>
          <w:rFonts w:ascii="Book Antiqua" w:hAnsi="Book Antiqua"/>
          <w:sz w:val="24"/>
          <w:szCs w:val="24"/>
          <w:lang w:val="es-ES"/>
        </w:rPr>
        <w:t>Tras examinar el texto del P. de la C. 280 y evaluar detenidamente los memoriales sometidos por el Departamento de Salud y el Departamento de Educación, esta Comisión concluye que la medida adelanta una política pública de alto interés salubrista, dirigida a la prevención de muertes evitables por hemorragia traumática y al fortalecimiento de la capacidad de respuesta ante emergencias en Puerto Rico.</w:t>
      </w:r>
    </w:p>
    <w:p w14:paraId="22E085CF" w14:textId="77777777" w:rsidR="001C733B" w:rsidRPr="00C362C6" w:rsidRDefault="001C733B">
      <w:pPr>
        <w:rPr>
          <w:lang w:val="es-ES"/>
        </w:rPr>
      </w:pPr>
    </w:p>
    <w:p w14:paraId="1A7A2A7F" w14:textId="77777777" w:rsidR="001C733B" w:rsidRPr="00C362C6" w:rsidRDefault="00C362C6" w:rsidP="00C362C6">
      <w:pPr>
        <w:ind w:firstLine="720"/>
        <w:jc w:val="both"/>
        <w:rPr>
          <w:lang w:val="es-ES"/>
        </w:rPr>
      </w:pPr>
      <w:r w:rsidRPr="00C362C6">
        <w:rPr>
          <w:rFonts w:ascii="Book Antiqua" w:hAnsi="Book Antiqua"/>
          <w:sz w:val="24"/>
          <w:szCs w:val="24"/>
          <w:lang w:val="es-ES"/>
        </w:rPr>
        <w:t xml:space="preserve">La evidencia científica es contundente: la aplicación oportuna de un torniquete por un civil capacitado puede significar la diferencia entre la vida y la muerte en los minutos críticos que preceden la llegada de los servicios médicos de emergencia. Ambas agencias consultadas—el Departamento de Salud y el Departamento de Educación—han endosado la medida, reconociendo su valor como instrumento de protección de la vida humana y como extensión natural de iniciativas internacionalmente reconocidas como “Stop </w:t>
      </w:r>
      <w:proofErr w:type="spellStart"/>
      <w:r w:rsidRPr="00C362C6">
        <w:rPr>
          <w:rFonts w:ascii="Book Antiqua" w:hAnsi="Book Antiqua"/>
          <w:sz w:val="24"/>
          <w:szCs w:val="24"/>
          <w:lang w:val="es-ES"/>
        </w:rPr>
        <w:t>the</w:t>
      </w:r>
      <w:proofErr w:type="spellEnd"/>
      <w:r w:rsidRPr="00C362C6">
        <w:rPr>
          <w:rFonts w:ascii="Book Antiqua" w:hAnsi="Book Antiqua"/>
          <w:sz w:val="24"/>
          <w:szCs w:val="24"/>
          <w:lang w:val="es-ES"/>
        </w:rPr>
        <w:t xml:space="preserve"> </w:t>
      </w:r>
      <w:proofErr w:type="spellStart"/>
      <w:r w:rsidRPr="00C362C6">
        <w:rPr>
          <w:rFonts w:ascii="Book Antiqua" w:hAnsi="Book Antiqua"/>
          <w:sz w:val="24"/>
          <w:szCs w:val="24"/>
          <w:lang w:val="es-ES"/>
        </w:rPr>
        <w:t>Bleed</w:t>
      </w:r>
      <w:proofErr w:type="spellEnd"/>
      <w:r w:rsidRPr="00C362C6">
        <w:rPr>
          <w:rFonts w:ascii="Book Antiqua" w:hAnsi="Book Antiqua"/>
          <w:sz w:val="24"/>
          <w:szCs w:val="24"/>
          <w:lang w:val="es-ES"/>
        </w:rPr>
        <w:t>” del Colegio Americano de Cirujanos.</w:t>
      </w:r>
    </w:p>
    <w:p w14:paraId="5BBD0AE0" w14:textId="77777777" w:rsidR="001C733B" w:rsidRPr="00C362C6" w:rsidRDefault="001C733B">
      <w:pPr>
        <w:rPr>
          <w:lang w:val="es-ES"/>
        </w:rPr>
      </w:pPr>
    </w:p>
    <w:p w14:paraId="7E570AD0" w14:textId="77777777" w:rsidR="001C733B" w:rsidRPr="00C362C6" w:rsidRDefault="00C362C6" w:rsidP="00C362C6">
      <w:pPr>
        <w:ind w:firstLine="720"/>
        <w:jc w:val="both"/>
        <w:rPr>
          <w:lang w:val="es-ES"/>
        </w:rPr>
      </w:pPr>
      <w:r w:rsidRPr="00C362C6">
        <w:rPr>
          <w:rFonts w:ascii="Book Antiqua" w:hAnsi="Book Antiqua"/>
          <w:sz w:val="24"/>
          <w:szCs w:val="24"/>
          <w:lang w:val="es-ES"/>
        </w:rPr>
        <w:t>Esta Comisión destaca que el proyecto promueve la educación en primeros auxilios, empodera a empleados públicos y personal escolar para actuar en situaciones críticas y refuerza una cultura de preparación y protección de la vida humana, comparable al impacto transformador que ha tenido la capacitación en reanimación cardiopulmonar (RCP). Asimismo, la canalización de fondos derivados de penalidades hacia el Hospital de Trauma contribuye al fortalecimiento del sistema de salud especializado.</w:t>
      </w:r>
    </w:p>
    <w:p w14:paraId="6C46CCCA" w14:textId="77777777" w:rsidR="001C733B" w:rsidRPr="00C362C6" w:rsidRDefault="001C733B">
      <w:pPr>
        <w:rPr>
          <w:lang w:val="es-ES"/>
        </w:rPr>
      </w:pPr>
    </w:p>
    <w:p w14:paraId="732B4B8E" w14:textId="77777777" w:rsidR="001C733B" w:rsidRPr="00C362C6" w:rsidRDefault="00C362C6" w:rsidP="00C362C6">
      <w:pPr>
        <w:ind w:firstLine="720"/>
        <w:jc w:val="both"/>
        <w:rPr>
          <w:lang w:val="es-ES"/>
        </w:rPr>
      </w:pPr>
      <w:r w:rsidRPr="00C362C6">
        <w:rPr>
          <w:rFonts w:ascii="Book Antiqua" w:hAnsi="Book Antiqua"/>
          <w:sz w:val="24"/>
          <w:szCs w:val="24"/>
          <w:lang w:val="es-ES"/>
        </w:rPr>
        <w:t>Las enmiendas propuestas atienden responsablemente los señalamientos operacionales formulados por ambas agencias, garantizando una implementación ordenada, fiscalizable y sostenible.</w:t>
      </w:r>
    </w:p>
    <w:p w14:paraId="5EFE6F42" w14:textId="77777777" w:rsidR="001C733B" w:rsidRPr="00C362C6" w:rsidRDefault="001C733B">
      <w:pPr>
        <w:rPr>
          <w:lang w:val="es-ES"/>
        </w:rPr>
      </w:pPr>
    </w:p>
    <w:p w14:paraId="61FF2DBC" w14:textId="22CF570F" w:rsidR="001C733B" w:rsidRPr="00C362C6" w:rsidRDefault="00C362C6" w:rsidP="00C362C6">
      <w:pPr>
        <w:ind w:firstLine="720"/>
        <w:jc w:val="both"/>
        <w:rPr>
          <w:lang w:val="es-ES"/>
        </w:rPr>
      </w:pPr>
      <w:r w:rsidRPr="00C362C6">
        <w:rPr>
          <w:rFonts w:ascii="Book Antiqua" w:hAnsi="Book Antiqua"/>
          <w:b/>
          <w:bCs/>
          <w:sz w:val="24"/>
          <w:szCs w:val="24"/>
          <w:lang w:val="es-ES"/>
        </w:rPr>
        <w:t>POR LOS FUNDAMENTOS ANTES EXPUESTOS</w:t>
      </w:r>
      <w:r w:rsidRPr="00C362C6">
        <w:rPr>
          <w:rFonts w:ascii="Book Antiqua" w:hAnsi="Book Antiqua"/>
          <w:sz w:val="24"/>
          <w:szCs w:val="24"/>
          <w:lang w:val="es-ES"/>
        </w:rPr>
        <w:t xml:space="preserve">, luego de un análisis exhaustivo sobre todos los elementos concernientes a esta pieza legislativa, la Comisión de Salud somete el presente Informe Positivo en el que recomienda a este Augusto Cuerpo la aprobación del P. de la C. 280 con las enmiendas contenidas en el </w:t>
      </w:r>
      <w:proofErr w:type="spellStart"/>
      <w:r w:rsidRPr="00C362C6">
        <w:rPr>
          <w:rFonts w:ascii="Book Antiqua" w:hAnsi="Book Antiqua"/>
          <w:sz w:val="24"/>
          <w:szCs w:val="24"/>
          <w:lang w:val="es-ES"/>
        </w:rPr>
        <w:t>entirillado</w:t>
      </w:r>
      <w:proofErr w:type="spellEnd"/>
      <w:r w:rsidRPr="00C362C6">
        <w:rPr>
          <w:rFonts w:ascii="Book Antiqua" w:hAnsi="Book Antiqua"/>
          <w:sz w:val="24"/>
          <w:szCs w:val="24"/>
          <w:lang w:val="es-ES"/>
        </w:rPr>
        <w:t xml:space="preserve"> electrónico que se aneja a este Informe.</w:t>
      </w:r>
    </w:p>
    <w:p w14:paraId="269FC5F4" w14:textId="77777777" w:rsidR="001C733B" w:rsidRPr="00C362C6" w:rsidRDefault="001C733B">
      <w:pPr>
        <w:rPr>
          <w:lang w:val="es-ES"/>
        </w:rPr>
      </w:pPr>
    </w:p>
    <w:p w14:paraId="5A79DCC2" w14:textId="77777777" w:rsidR="001C733B" w:rsidRPr="00C362C6" w:rsidRDefault="00C362C6" w:rsidP="006E76F6">
      <w:pPr>
        <w:rPr>
          <w:lang w:val="es-ES"/>
        </w:rPr>
      </w:pPr>
      <w:r w:rsidRPr="00C362C6">
        <w:rPr>
          <w:rFonts w:ascii="Book Antiqua" w:hAnsi="Book Antiqua"/>
          <w:sz w:val="24"/>
          <w:szCs w:val="24"/>
          <w:lang w:val="es-ES"/>
        </w:rPr>
        <w:t>Respetuosamente sometido,</w:t>
      </w:r>
    </w:p>
    <w:p w14:paraId="1016E462" w14:textId="77777777" w:rsidR="001C733B" w:rsidRPr="00C362C6" w:rsidRDefault="001C733B">
      <w:pPr>
        <w:rPr>
          <w:lang w:val="es-ES"/>
        </w:rPr>
      </w:pPr>
    </w:p>
    <w:p w14:paraId="59443846" w14:textId="77777777" w:rsidR="001C733B" w:rsidRPr="00C362C6" w:rsidRDefault="001C733B">
      <w:pPr>
        <w:rPr>
          <w:lang w:val="es-ES"/>
        </w:rPr>
      </w:pPr>
    </w:p>
    <w:p w14:paraId="29602DD4" w14:textId="77777777" w:rsidR="001C733B" w:rsidRPr="00C362C6" w:rsidRDefault="001C733B">
      <w:pPr>
        <w:rPr>
          <w:lang w:val="es-ES"/>
        </w:rPr>
      </w:pPr>
    </w:p>
    <w:p w14:paraId="69CAF23C" w14:textId="77777777" w:rsidR="001C733B" w:rsidRPr="00C362C6" w:rsidRDefault="00C362C6" w:rsidP="006E76F6">
      <w:pPr>
        <w:rPr>
          <w:lang w:val="es-ES"/>
        </w:rPr>
      </w:pPr>
      <w:r w:rsidRPr="00C362C6">
        <w:rPr>
          <w:rFonts w:ascii="Book Antiqua" w:hAnsi="Book Antiqua"/>
          <w:b/>
          <w:bCs/>
          <w:i/>
          <w:iCs/>
          <w:sz w:val="24"/>
          <w:szCs w:val="24"/>
          <w:lang w:val="es-ES"/>
        </w:rPr>
        <w:t>Hon. Gabriel Rodríguez Aguiló</w:t>
      </w:r>
    </w:p>
    <w:p w14:paraId="29BBC7EE" w14:textId="77777777" w:rsidR="001C733B" w:rsidRPr="00C362C6" w:rsidRDefault="00C362C6" w:rsidP="006E76F6">
      <w:pPr>
        <w:rPr>
          <w:lang w:val="es-ES"/>
        </w:rPr>
      </w:pPr>
      <w:r w:rsidRPr="00C362C6">
        <w:rPr>
          <w:rFonts w:ascii="Book Antiqua" w:hAnsi="Book Antiqua"/>
          <w:sz w:val="24"/>
          <w:szCs w:val="24"/>
          <w:lang w:val="es-ES"/>
        </w:rPr>
        <w:t>Presidente</w:t>
      </w:r>
    </w:p>
    <w:p w14:paraId="23F1D106" w14:textId="77777777" w:rsidR="001C733B" w:rsidRPr="00C362C6" w:rsidRDefault="00C362C6" w:rsidP="006E76F6">
      <w:pPr>
        <w:rPr>
          <w:lang w:val="es-ES"/>
        </w:rPr>
      </w:pPr>
      <w:r w:rsidRPr="00C362C6">
        <w:rPr>
          <w:rFonts w:ascii="Book Antiqua" w:hAnsi="Book Antiqua"/>
          <w:sz w:val="24"/>
          <w:szCs w:val="24"/>
          <w:lang w:val="es-ES"/>
        </w:rPr>
        <w:t>Comisión de Salud</w:t>
      </w:r>
    </w:p>
    <w:sectPr w:rsidR="001C733B" w:rsidRPr="00C362C6" w:rsidSect="00CA0E7A">
      <w:headerReference w:type="even" r:id="rId7"/>
      <w:headerReference w:type="default" r:id="rId8"/>
      <w:pgSz w:w="12240" w:h="15840"/>
      <w:pgMar w:top="1440" w:right="1440" w:bottom="1440" w:left="144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89A965" w14:textId="77777777" w:rsidR="00323A50" w:rsidRDefault="00323A50" w:rsidP="00CA0E7A">
      <w:r>
        <w:separator/>
      </w:r>
    </w:p>
  </w:endnote>
  <w:endnote w:type="continuationSeparator" w:id="0">
    <w:p w14:paraId="56F5BFE9" w14:textId="77777777" w:rsidR="00323A50" w:rsidRDefault="00323A50" w:rsidP="00CA0E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AD8F58" w14:textId="77777777" w:rsidR="00323A50" w:rsidRDefault="00323A50" w:rsidP="00CA0E7A">
      <w:r>
        <w:separator/>
      </w:r>
    </w:p>
  </w:footnote>
  <w:footnote w:type="continuationSeparator" w:id="0">
    <w:p w14:paraId="7D1FDF3F" w14:textId="77777777" w:rsidR="00323A50" w:rsidRDefault="00323A50" w:rsidP="00CA0E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71992396"/>
      <w:docPartObj>
        <w:docPartGallery w:val="Page Numbers (Top of Page)"/>
        <w:docPartUnique/>
      </w:docPartObj>
    </w:sdtPr>
    <w:sdtEndPr>
      <w:rPr>
        <w:rStyle w:val="PageNumber"/>
      </w:rPr>
    </w:sdtEndPr>
    <w:sdtContent>
      <w:p w14:paraId="755A5093" w14:textId="2884C237" w:rsidR="00CA0E7A" w:rsidRDefault="00CA0E7A" w:rsidP="00891437">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C0ACCA9" w14:textId="77777777" w:rsidR="00CA0E7A" w:rsidRDefault="00CA0E7A" w:rsidP="00CA0E7A">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88D2A" w14:textId="77777777" w:rsidR="006E76F6" w:rsidRPr="006E76F6" w:rsidRDefault="006E76F6" w:rsidP="006E76F6">
    <w:pPr>
      <w:pBdr>
        <w:bottom w:val="single" w:sz="12" w:space="1" w:color="auto"/>
      </w:pBdr>
      <w:tabs>
        <w:tab w:val="center" w:pos="4680"/>
        <w:tab w:val="right" w:pos="9360"/>
      </w:tabs>
      <w:rPr>
        <w:rFonts w:ascii="Book Antiqua" w:hAnsi="Book Antiqua"/>
        <w:b/>
        <w:lang w:val="es-PR"/>
      </w:rPr>
    </w:pPr>
    <w:r w:rsidRPr="006E76F6">
      <w:rPr>
        <w:rFonts w:ascii="Book Antiqua" w:hAnsi="Book Antiqua"/>
        <w:b/>
        <w:lang w:val="es-PR"/>
      </w:rPr>
      <w:t>Comisión de Salud</w:t>
    </w:r>
  </w:p>
  <w:p w14:paraId="46FC7C11" w14:textId="416CF4D6" w:rsidR="006E76F6" w:rsidRPr="006E76F6" w:rsidRDefault="006E76F6" w:rsidP="006E76F6">
    <w:pPr>
      <w:pBdr>
        <w:bottom w:val="single" w:sz="12" w:space="1" w:color="auto"/>
      </w:pBdr>
      <w:tabs>
        <w:tab w:val="center" w:pos="4680"/>
        <w:tab w:val="right" w:pos="9360"/>
      </w:tabs>
      <w:rPr>
        <w:rFonts w:ascii="Book Antiqua" w:hAnsi="Book Antiqua"/>
        <w:b/>
        <w:lang w:val="es-PR"/>
      </w:rPr>
    </w:pPr>
    <w:r w:rsidRPr="006E76F6">
      <w:rPr>
        <w:rFonts w:ascii="Book Antiqua" w:hAnsi="Book Antiqua"/>
        <w:b/>
        <w:lang w:val="es-PR"/>
      </w:rPr>
      <w:t xml:space="preserve">Informe </w:t>
    </w:r>
    <w:r>
      <w:rPr>
        <w:rFonts w:ascii="Book Antiqua" w:hAnsi="Book Antiqua"/>
        <w:b/>
        <w:lang w:val="es-PR"/>
      </w:rPr>
      <w:t>Positivo</w:t>
    </w:r>
  </w:p>
  <w:p w14:paraId="5F308319" w14:textId="676DB2CD" w:rsidR="006E76F6" w:rsidRPr="006E76F6" w:rsidRDefault="006E76F6" w:rsidP="006E76F6">
    <w:pPr>
      <w:pBdr>
        <w:bottom w:val="single" w:sz="12" w:space="1" w:color="auto"/>
      </w:pBdr>
      <w:tabs>
        <w:tab w:val="center" w:pos="4680"/>
        <w:tab w:val="right" w:pos="9360"/>
      </w:tabs>
      <w:rPr>
        <w:rFonts w:ascii="Book Antiqua" w:hAnsi="Book Antiqua"/>
        <w:b/>
        <w:noProof/>
        <w:lang w:val="es-PR"/>
      </w:rPr>
    </w:pPr>
    <w:r>
      <w:rPr>
        <w:rFonts w:ascii="Book Antiqua" w:hAnsi="Book Antiqua"/>
        <w:b/>
        <w:lang w:val="es-PR"/>
      </w:rPr>
      <w:t>P</w:t>
    </w:r>
    <w:r w:rsidRPr="006E76F6">
      <w:rPr>
        <w:rFonts w:ascii="Book Antiqua" w:hAnsi="Book Antiqua"/>
        <w:b/>
        <w:lang w:val="es-PR"/>
      </w:rPr>
      <w:t xml:space="preserve">. de la C. </w:t>
    </w:r>
    <w:r>
      <w:rPr>
        <w:rFonts w:ascii="Book Antiqua" w:hAnsi="Book Antiqua"/>
        <w:b/>
        <w:lang w:val="es-PR"/>
      </w:rPr>
      <w:t>280</w:t>
    </w:r>
    <w:r w:rsidRPr="006E76F6">
      <w:rPr>
        <w:rFonts w:ascii="Book Antiqua" w:hAnsi="Book Antiqua"/>
        <w:b/>
        <w:lang w:val="es-PR"/>
      </w:rPr>
      <w:tab/>
    </w:r>
    <w:r w:rsidRPr="006E76F6">
      <w:rPr>
        <w:rFonts w:ascii="Book Antiqua" w:hAnsi="Book Antiqua"/>
        <w:b/>
        <w:lang w:val="es-PR"/>
      </w:rPr>
      <w:tab/>
      <w:t xml:space="preserve">Página </w:t>
    </w:r>
    <w:r w:rsidRPr="006E76F6">
      <w:rPr>
        <w:rFonts w:ascii="Book Antiqua" w:hAnsi="Book Antiqua"/>
        <w:b/>
        <w:lang w:val="es-PR"/>
      </w:rPr>
      <w:fldChar w:fldCharType="begin"/>
    </w:r>
    <w:r w:rsidRPr="006E76F6">
      <w:rPr>
        <w:rFonts w:ascii="Book Antiqua" w:hAnsi="Book Antiqua"/>
        <w:b/>
        <w:lang w:val="es-PR"/>
      </w:rPr>
      <w:instrText xml:space="preserve"> PAGE   \* MERGEFORMAT </w:instrText>
    </w:r>
    <w:r w:rsidRPr="006E76F6">
      <w:rPr>
        <w:rFonts w:ascii="Book Antiqua" w:hAnsi="Book Antiqua"/>
        <w:b/>
        <w:lang w:val="es-PR"/>
      </w:rPr>
      <w:fldChar w:fldCharType="separate"/>
    </w:r>
    <w:r w:rsidRPr="006E76F6">
      <w:rPr>
        <w:rFonts w:ascii="Book Antiqua" w:hAnsi="Book Antiqua"/>
        <w:b/>
        <w:sz w:val="24"/>
        <w:szCs w:val="24"/>
        <w:lang w:val="es-PR"/>
      </w:rPr>
      <w:t>2</w:t>
    </w:r>
    <w:r w:rsidRPr="006E76F6">
      <w:rPr>
        <w:rFonts w:ascii="Book Antiqua" w:hAnsi="Book Antiqua"/>
        <w:b/>
        <w:noProof/>
        <w:lang w:val="es-PR"/>
      </w:rPr>
      <w:fldChar w:fldCharType="end"/>
    </w:r>
  </w:p>
  <w:p w14:paraId="46499884" w14:textId="77777777" w:rsidR="00CA0E7A" w:rsidRPr="006E76F6" w:rsidRDefault="00CA0E7A" w:rsidP="00CA0E7A">
    <w:pPr>
      <w:pStyle w:val="Header"/>
      <w:ind w:right="360"/>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8C124D"/>
    <w:multiLevelType w:val="hybridMultilevel"/>
    <w:tmpl w:val="B41AE6B8"/>
    <w:lvl w:ilvl="0" w:tplc="E33634FA">
      <w:start w:val="1"/>
      <w:numFmt w:val="bullet"/>
      <w:lvlText w:val="●"/>
      <w:lvlJc w:val="left"/>
      <w:pPr>
        <w:ind w:left="720" w:hanging="360"/>
      </w:pPr>
    </w:lvl>
    <w:lvl w:ilvl="1" w:tplc="C60E7DB6">
      <w:start w:val="1"/>
      <w:numFmt w:val="bullet"/>
      <w:lvlText w:val="○"/>
      <w:lvlJc w:val="left"/>
      <w:pPr>
        <w:ind w:left="1440" w:hanging="360"/>
      </w:pPr>
    </w:lvl>
    <w:lvl w:ilvl="2" w:tplc="51F0C43C">
      <w:start w:val="1"/>
      <w:numFmt w:val="bullet"/>
      <w:lvlText w:val="■"/>
      <w:lvlJc w:val="left"/>
      <w:pPr>
        <w:ind w:left="2160" w:hanging="360"/>
      </w:pPr>
    </w:lvl>
    <w:lvl w:ilvl="3" w:tplc="C55C180A">
      <w:start w:val="1"/>
      <w:numFmt w:val="bullet"/>
      <w:lvlText w:val="●"/>
      <w:lvlJc w:val="left"/>
      <w:pPr>
        <w:ind w:left="2880" w:hanging="360"/>
      </w:pPr>
    </w:lvl>
    <w:lvl w:ilvl="4" w:tplc="A5EA8D34">
      <w:start w:val="1"/>
      <w:numFmt w:val="bullet"/>
      <w:lvlText w:val="○"/>
      <w:lvlJc w:val="left"/>
      <w:pPr>
        <w:ind w:left="3600" w:hanging="360"/>
      </w:pPr>
    </w:lvl>
    <w:lvl w:ilvl="5" w:tplc="8BCA3C36">
      <w:start w:val="1"/>
      <w:numFmt w:val="bullet"/>
      <w:lvlText w:val="■"/>
      <w:lvlJc w:val="left"/>
      <w:pPr>
        <w:ind w:left="4320" w:hanging="360"/>
      </w:pPr>
    </w:lvl>
    <w:lvl w:ilvl="6" w:tplc="5070584E">
      <w:start w:val="1"/>
      <w:numFmt w:val="bullet"/>
      <w:lvlText w:val="●"/>
      <w:lvlJc w:val="left"/>
      <w:pPr>
        <w:ind w:left="5040" w:hanging="360"/>
      </w:pPr>
    </w:lvl>
    <w:lvl w:ilvl="7" w:tplc="0B8AEB76">
      <w:start w:val="1"/>
      <w:numFmt w:val="bullet"/>
      <w:lvlText w:val="●"/>
      <w:lvlJc w:val="left"/>
      <w:pPr>
        <w:ind w:left="5760" w:hanging="360"/>
      </w:pPr>
    </w:lvl>
    <w:lvl w:ilvl="8" w:tplc="B78E6534">
      <w:start w:val="1"/>
      <w:numFmt w:val="bullet"/>
      <w:lvlText w:val="●"/>
      <w:lvlJc w:val="left"/>
      <w:pPr>
        <w:ind w:left="6480" w:hanging="360"/>
      </w:pPr>
    </w:lvl>
  </w:abstractNum>
  <w:num w:numId="1" w16cid:durableId="111019914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733B"/>
    <w:rsid w:val="001C733B"/>
    <w:rsid w:val="001D56A3"/>
    <w:rsid w:val="001D7A44"/>
    <w:rsid w:val="00323A50"/>
    <w:rsid w:val="003A594C"/>
    <w:rsid w:val="006E76F6"/>
    <w:rsid w:val="008B0D8E"/>
    <w:rsid w:val="008D3E4D"/>
    <w:rsid w:val="00C362C6"/>
    <w:rsid w:val="00CA0E7A"/>
    <w:rsid w:val="00D15B36"/>
    <w:rsid w:val="00DE168E"/>
    <w:rsid w:val="00E473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9E10D"/>
  <w15:docId w15:val="{B05E5479-CFA1-6447-9DDC-2202DC54B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customStyle="1" w:styleId="Title2">
    <w:name w:val="Title2"/>
    <w:basedOn w:val="Normal"/>
    <w:next w:val="Normal"/>
    <w:rsid w:val="00C362C6"/>
    <w:pPr>
      <w:autoSpaceDE w:val="0"/>
      <w:autoSpaceDN w:val="0"/>
      <w:adjustRightInd w:val="0"/>
    </w:pPr>
    <w:rPr>
      <w:szCs w:val="24"/>
    </w:rPr>
  </w:style>
  <w:style w:type="paragraph" w:styleId="Header">
    <w:name w:val="header"/>
    <w:basedOn w:val="Normal"/>
    <w:link w:val="HeaderChar"/>
    <w:uiPriority w:val="99"/>
    <w:unhideWhenUsed/>
    <w:rsid w:val="00CA0E7A"/>
    <w:pPr>
      <w:tabs>
        <w:tab w:val="center" w:pos="4680"/>
        <w:tab w:val="right" w:pos="9360"/>
      </w:tabs>
    </w:pPr>
  </w:style>
  <w:style w:type="character" w:customStyle="1" w:styleId="HeaderChar">
    <w:name w:val="Header Char"/>
    <w:basedOn w:val="DefaultParagraphFont"/>
    <w:link w:val="Header"/>
    <w:uiPriority w:val="99"/>
    <w:rsid w:val="00CA0E7A"/>
  </w:style>
  <w:style w:type="character" w:styleId="PageNumber">
    <w:name w:val="page number"/>
    <w:basedOn w:val="DefaultParagraphFont"/>
    <w:uiPriority w:val="99"/>
    <w:semiHidden/>
    <w:unhideWhenUsed/>
    <w:rsid w:val="00CA0E7A"/>
  </w:style>
  <w:style w:type="paragraph" w:styleId="Footer">
    <w:name w:val="footer"/>
    <w:basedOn w:val="Normal"/>
    <w:link w:val="FooterChar"/>
    <w:uiPriority w:val="99"/>
    <w:unhideWhenUsed/>
    <w:rsid w:val="00CA0E7A"/>
    <w:pPr>
      <w:tabs>
        <w:tab w:val="center" w:pos="4680"/>
        <w:tab w:val="right" w:pos="9360"/>
      </w:tabs>
    </w:pPr>
  </w:style>
  <w:style w:type="character" w:customStyle="1" w:styleId="FooterChar">
    <w:name w:val="Footer Char"/>
    <w:basedOn w:val="DefaultParagraphFont"/>
    <w:link w:val="Footer"/>
    <w:uiPriority w:val="99"/>
    <w:rsid w:val="00CA0E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1360</Words>
  <Characters>7758</Characters>
  <Application>Microsoft Office Word</Application>
  <DocSecurity>4</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Kristal Rivera Sanchez</cp:lastModifiedBy>
  <cp:revision>2</cp:revision>
  <cp:lastPrinted>2026-04-17T16:46:00Z</cp:lastPrinted>
  <dcterms:created xsi:type="dcterms:W3CDTF">2026-04-22T14:48:00Z</dcterms:created>
  <dcterms:modified xsi:type="dcterms:W3CDTF">2026-04-22T14:48:00Z</dcterms:modified>
</cp:coreProperties>
</file>