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208CE8" w14:textId="77777777" w:rsidR="00F830F3" w:rsidRDefault="00F830F3" w:rsidP="00DA5929">
      <w:pPr>
        <w:suppressLineNumbers/>
        <w:jc w:val="center"/>
        <w:rPr>
          <w:rFonts w:ascii="Book Antiqua" w:hAnsi="Book Antiqua"/>
          <w:sz w:val="28"/>
          <w:lang w:val="es-ES_tradnl"/>
        </w:rPr>
      </w:pPr>
      <w:r>
        <w:rPr>
          <w:rFonts w:ascii="Book Antiqua" w:hAnsi="Book Antiqua"/>
          <w:sz w:val="28"/>
          <w:lang w:val="es-ES_tradnl"/>
        </w:rPr>
        <w:t>GOBIERNO DE PUERTO RICO</w:t>
      </w:r>
    </w:p>
    <w:p w14:paraId="68CA8A9A" w14:textId="77777777" w:rsidR="00F830F3" w:rsidRPr="00DA5929" w:rsidRDefault="00F830F3" w:rsidP="00DA5929">
      <w:pPr>
        <w:suppressLineNumbers/>
        <w:jc w:val="center"/>
        <w:rPr>
          <w:rFonts w:ascii="Book Antiqua" w:hAnsi="Book Antiqua"/>
          <w:szCs w:val="24"/>
          <w:lang w:val="es-ES_tradnl"/>
        </w:rPr>
      </w:pPr>
    </w:p>
    <w:p w14:paraId="3D342C7B" w14:textId="77777777" w:rsidR="00F830F3" w:rsidRDefault="00F830F3" w:rsidP="00DA5929">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t xml:space="preserve">1ra </w:t>
      </w:r>
      <w:r>
        <w:rPr>
          <w:rFonts w:ascii="Book Antiqua" w:hAnsi="Book Antiqua"/>
          <w:lang w:val="es-ES_tradnl"/>
        </w:rPr>
        <w:tab/>
        <w:t>Sesión</w:t>
      </w:r>
    </w:p>
    <w:p w14:paraId="159B522A" w14:textId="77777777" w:rsidR="00F830F3" w:rsidRDefault="00F830F3" w:rsidP="00DA5929">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2ABC2D1" w14:textId="77777777" w:rsidR="00F830F3" w:rsidRDefault="00F830F3" w:rsidP="00DA5929">
      <w:pPr>
        <w:suppressLineNumbers/>
        <w:rPr>
          <w:lang w:val="es-ES_tradnl"/>
        </w:rPr>
      </w:pPr>
    </w:p>
    <w:p w14:paraId="125D9030" w14:textId="77777777" w:rsidR="00F830F3" w:rsidRDefault="00F830F3" w:rsidP="00DA5929">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2A714720" w14:textId="77777777" w:rsidR="00F830F3" w:rsidRPr="00DA5929" w:rsidRDefault="00F830F3" w:rsidP="00DA5929">
      <w:pPr>
        <w:suppressLineNumbers/>
        <w:jc w:val="center"/>
        <w:rPr>
          <w:rFonts w:ascii="Book Antiqua" w:hAnsi="Book Antiqua"/>
          <w:b/>
          <w:szCs w:val="24"/>
          <w:lang w:val="es-ES_tradnl"/>
        </w:rPr>
      </w:pPr>
    </w:p>
    <w:p w14:paraId="56C25E41" w14:textId="34A34459" w:rsidR="00F830F3" w:rsidRDefault="00F830F3" w:rsidP="00DA5929">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FE445D">
        <w:rPr>
          <w:rFonts w:ascii="Book Antiqua" w:hAnsi="Book Antiqua"/>
          <w:b/>
          <w:sz w:val="52"/>
          <w:lang w:val="es-ES_tradnl"/>
        </w:rPr>
        <w:t>436</w:t>
      </w:r>
    </w:p>
    <w:p w14:paraId="7E7162F0" w14:textId="77777777" w:rsidR="00DA5929" w:rsidRPr="00DA5929" w:rsidRDefault="00DA5929" w:rsidP="00DA5929">
      <w:pPr>
        <w:suppressLineNumbers/>
        <w:jc w:val="center"/>
        <w:rPr>
          <w:rFonts w:ascii="Book Antiqua" w:hAnsi="Book Antiqua"/>
          <w:b/>
          <w:szCs w:val="24"/>
          <w:lang w:val="es-ES_tradnl"/>
        </w:rPr>
      </w:pPr>
    </w:p>
    <w:p w14:paraId="79A6D653" w14:textId="60B2FCD9" w:rsidR="00F830F3" w:rsidRDefault="00A638F8" w:rsidP="00DA5929">
      <w:pPr>
        <w:suppressLineNumbers/>
        <w:jc w:val="center"/>
        <w:rPr>
          <w:rFonts w:ascii="Book Antiqua" w:hAnsi="Book Antiqua"/>
          <w:lang w:val="es-ES_tradnl"/>
        </w:rPr>
      </w:pPr>
      <w:r>
        <w:rPr>
          <w:rFonts w:ascii="Book Antiqua" w:hAnsi="Book Antiqua"/>
          <w:lang w:val="es-ES_tradnl"/>
        </w:rPr>
        <w:t xml:space="preserve">21 </w:t>
      </w:r>
      <w:r w:rsidR="00F830F3">
        <w:rPr>
          <w:rFonts w:ascii="Book Antiqua" w:hAnsi="Book Antiqua"/>
          <w:lang w:val="es-ES_tradnl"/>
        </w:rPr>
        <w:t>DE MARZO DE 2025</w:t>
      </w:r>
    </w:p>
    <w:p w14:paraId="59011151" w14:textId="77777777" w:rsidR="00DA5929" w:rsidRDefault="00DA5929" w:rsidP="00DA5929">
      <w:pPr>
        <w:suppressLineNumbers/>
        <w:jc w:val="center"/>
        <w:rPr>
          <w:rFonts w:ascii="Book Antiqua" w:hAnsi="Book Antiqua"/>
          <w:lang w:val="es-ES_tradnl"/>
        </w:rPr>
      </w:pPr>
    </w:p>
    <w:p w14:paraId="107931E1" w14:textId="77777777" w:rsidR="00F830F3" w:rsidRDefault="00F830F3" w:rsidP="00DA5929">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06D3B992" w14:textId="77777777" w:rsidR="00DA5929" w:rsidRDefault="00DA5929" w:rsidP="00DA5929">
      <w:pPr>
        <w:suppressLineNumbers/>
        <w:jc w:val="center"/>
        <w:rPr>
          <w:rFonts w:ascii="Book Antiqua" w:hAnsi="Book Antiqua"/>
          <w:lang w:val="es-ES_tradnl"/>
        </w:rPr>
      </w:pPr>
    </w:p>
    <w:p w14:paraId="5DFF0D51" w14:textId="77777777" w:rsidR="00F91FF5" w:rsidRDefault="00F830F3" w:rsidP="00DA5929">
      <w:pPr>
        <w:suppressLineNumbers/>
        <w:jc w:val="center"/>
        <w:rPr>
          <w:rFonts w:ascii="Book Antiqua" w:hAnsi="Book Antiqua"/>
          <w:lang w:val="es-ES_tradnl"/>
        </w:rPr>
      </w:pPr>
      <w:r>
        <w:rPr>
          <w:rFonts w:ascii="Book Antiqua" w:hAnsi="Book Antiqua"/>
          <w:lang w:val="es-ES_tradnl"/>
        </w:rPr>
        <w:t xml:space="preserve">Referido a </w:t>
      </w:r>
      <w:r w:rsidR="00F91FF5">
        <w:rPr>
          <w:rFonts w:ascii="Book Antiqua" w:hAnsi="Book Antiqua"/>
          <w:lang w:val="es-ES_tradnl"/>
        </w:rPr>
        <w:t xml:space="preserve">las Comisiones de Transportación e Infraestructura; </w:t>
      </w:r>
    </w:p>
    <w:p w14:paraId="147B44CE" w14:textId="172ABF71" w:rsidR="00F830F3" w:rsidRDefault="00F91FF5" w:rsidP="00DA5929">
      <w:pPr>
        <w:suppressLineNumbers/>
        <w:jc w:val="center"/>
        <w:rPr>
          <w:rFonts w:ascii="Book Antiqua" w:hAnsi="Book Antiqua"/>
          <w:lang w:val="es-ES_tradnl"/>
        </w:rPr>
      </w:pPr>
      <w:r>
        <w:rPr>
          <w:rFonts w:ascii="Book Antiqua" w:hAnsi="Book Antiqua"/>
          <w:lang w:val="es-ES_tradnl"/>
        </w:rPr>
        <w:t>y de Desarrollo Económico</w:t>
      </w:r>
    </w:p>
    <w:p w14:paraId="580B51ED" w14:textId="77777777" w:rsidR="00F830F3" w:rsidRDefault="00F830F3" w:rsidP="00DA5929">
      <w:pPr>
        <w:suppressLineNumbers/>
        <w:jc w:val="both"/>
        <w:rPr>
          <w:rFonts w:ascii="Book Antiqua" w:hAnsi="Book Antiqua"/>
          <w:lang w:val="es-ES_tradnl"/>
        </w:rPr>
      </w:pPr>
    </w:p>
    <w:p w14:paraId="4552C8B0" w14:textId="77777777" w:rsidR="00F830F3" w:rsidRDefault="00F830F3" w:rsidP="00DA5929">
      <w:pPr>
        <w:suppressLineNumbers/>
        <w:jc w:val="center"/>
        <w:rPr>
          <w:rFonts w:ascii="Book Antiqua" w:hAnsi="Book Antiqua"/>
          <w:b/>
          <w:sz w:val="28"/>
          <w:lang w:val="es-ES_tradnl"/>
        </w:rPr>
      </w:pPr>
      <w:r>
        <w:rPr>
          <w:rFonts w:ascii="Book Antiqua" w:hAnsi="Book Antiqua"/>
          <w:b/>
          <w:sz w:val="28"/>
          <w:lang w:val="es-ES_tradnl"/>
        </w:rPr>
        <w:t>LEY</w:t>
      </w:r>
    </w:p>
    <w:p w14:paraId="106941C3" w14:textId="77777777" w:rsidR="00DA5929" w:rsidRPr="00DA5929" w:rsidRDefault="00DA5929" w:rsidP="00DA5929">
      <w:pPr>
        <w:suppressLineNumbers/>
        <w:jc w:val="center"/>
        <w:rPr>
          <w:rFonts w:ascii="Book Antiqua" w:hAnsi="Book Antiqua"/>
          <w:b/>
          <w:szCs w:val="24"/>
          <w:lang w:val="es-ES_tradnl"/>
        </w:rPr>
      </w:pPr>
    </w:p>
    <w:p w14:paraId="31FF254A" w14:textId="77777777" w:rsidR="00F830F3" w:rsidRDefault="00F830F3" w:rsidP="00DA5929">
      <w:pPr>
        <w:suppressLineNumbers/>
        <w:ind w:left="360" w:hanging="360"/>
        <w:jc w:val="both"/>
        <w:rPr>
          <w:rFonts w:ascii="Book Antiqua" w:hAnsi="Book Antiqua"/>
          <w:lang w:val="es-PR"/>
        </w:rPr>
      </w:pPr>
      <w:r w:rsidRPr="00E31F89">
        <w:rPr>
          <w:rFonts w:ascii="Book Antiqua" w:hAnsi="Book Antiqua"/>
          <w:lang w:val="es-ES_tradnl"/>
        </w:rPr>
        <w:t xml:space="preserve">Para </w:t>
      </w:r>
      <w:r>
        <w:rPr>
          <w:rFonts w:ascii="Book Antiqua" w:hAnsi="Book Antiqua"/>
          <w:lang w:val="es-ES_tradnl"/>
        </w:rPr>
        <w:t xml:space="preserve">crear la </w:t>
      </w:r>
      <w:r w:rsidRPr="00E31F89">
        <w:rPr>
          <w:rFonts w:ascii="Book Antiqua" w:hAnsi="Book Antiqua"/>
          <w:lang w:val="es-ES_tradnl"/>
        </w:rPr>
        <w:t>“Ley de Estaciones de Carga para Vehículos Eléctricos”</w:t>
      </w:r>
      <w:r>
        <w:rPr>
          <w:rFonts w:ascii="Book Antiqua" w:hAnsi="Book Antiqua"/>
          <w:lang w:val="es-ES_tradnl"/>
        </w:rPr>
        <w:t xml:space="preserve">, con el propósito de disponer que </w:t>
      </w:r>
      <w:r w:rsidRPr="00E31F89">
        <w:rPr>
          <w:rFonts w:ascii="Book Antiqua" w:hAnsi="Book Antiqua"/>
          <w:lang w:val="es-PR"/>
        </w:rPr>
        <w:t xml:space="preserve">toda construcción nueva o reconstrucción sustancial de un edificio que incluya facilidades de estacionamiento </w:t>
      </w:r>
      <w:r>
        <w:rPr>
          <w:rFonts w:ascii="Book Antiqua" w:hAnsi="Book Antiqua"/>
          <w:lang w:val="es-PR"/>
        </w:rPr>
        <w:t>provea</w:t>
      </w:r>
      <w:r w:rsidRPr="00E31F89">
        <w:rPr>
          <w:rFonts w:ascii="Book Antiqua" w:hAnsi="Book Antiqua"/>
          <w:lang w:val="es-PR"/>
        </w:rPr>
        <w:t xml:space="preserve"> estaciones de carga para vehículos eléctricos</w:t>
      </w:r>
      <w:r>
        <w:rPr>
          <w:rFonts w:ascii="Book Antiqua" w:hAnsi="Book Antiqua"/>
          <w:lang w:val="es-PR"/>
        </w:rPr>
        <w:t xml:space="preserve">, y para otros fines relacionados. </w:t>
      </w:r>
    </w:p>
    <w:p w14:paraId="2446665F" w14:textId="77777777" w:rsidR="00F830F3" w:rsidRPr="00E31F89" w:rsidRDefault="00F830F3" w:rsidP="00DA5929">
      <w:pPr>
        <w:suppressLineNumbers/>
        <w:ind w:left="360" w:hanging="360"/>
        <w:jc w:val="both"/>
        <w:rPr>
          <w:rFonts w:ascii="Book Antiqua" w:hAnsi="Book Antiqua"/>
          <w:lang w:val="es-ES_tradnl"/>
        </w:rPr>
      </w:pPr>
    </w:p>
    <w:p w14:paraId="3BD1FFDC" w14:textId="77777777" w:rsidR="00F830F3" w:rsidRPr="00E31F89" w:rsidRDefault="00F830F3" w:rsidP="00DA5929">
      <w:pPr>
        <w:suppressLineNumbers/>
        <w:jc w:val="center"/>
        <w:rPr>
          <w:rFonts w:ascii="Book Antiqua" w:hAnsi="Book Antiqua"/>
          <w:lang w:val="es-ES_tradnl"/>
        </w:rPr>
      </w:pPr>
      <w:r w:rsidRPr="00E31F89">
        <w:rPr>
          <w:rFonts w:ascii="Book Antiqua" w:hAnsi="Book Antiqua"/>
          <w:lang w:val="es-ES_tradnl"/>
        </w:rPr>
        <w:t>EXPOSICIÓN DE MOTIVOS</w:t>
      </w:r>
    </w:p>
    <w:p w14:paraId="0251815A" w14:textId="77777777" w:rsidR="00F830F3" w:rsidRPr="00E31F89" w:rsidRDefault="00F830F3" w:rsidP="00DA5929">
      <w:pPr>
        <w:suppressLineNumbers/>
        <w:jc w:val="both"/>
        <w:rPr>
          <w:rFonts w:ascii="Book Antiqua" w:hAnsi="Book Antiqua"/>
          <w:lang w:val="es-PR"/>
        </w:rPr>
      </w:pPr>
    </w:p>
    <w:p w14:paraId="0BDC18CA" w14:textId="2DA19B01" w:rsidR="00F830F3" w:rsidRDefault="00F830F3" w:rsidP="00DA5929">
      <w:pPr>
        <w:suppressLineNumbers/>
        <w:jc w:val="both"/>
        <w:rPr>
          <w:rFonts w:ascii="Book Antiqua" w:hAnsi="Book Antiqua"/>
          <w:lang w:val="es-PR"/>
        </w:rPr>
      </w:pPr>
      <w:r>
        <w:rPr>
          <w:rFonts w:ascii="Book Antiqua" w:hAnsi="Book Antiqua"/>
          <w:lang w:val="es-PR"/>
        </w:rPr>
        <w:tab/>
      </w:r>
      <w:r w:rsidRPr="00E31F89">
        <w:rPr>
          <w:rFonts w:ascii="Book Antiqua" w:hAnsi="Book Antiqua"/>
          <w:lang w:val="es-PR"/>
        </w:rPr>
        <w:t>El sector del transporte es una de las principales fuentes de emisiones de gases de efecto invernadero en los Estados Unidos.</w:t>
      </w:r>
      <w:r w:rsidRPr="00E31F89">
        <w:rPr>
          <w:rFonts w:ascii="Book Antiqua" w:hAnsi="Book Antiqua" w:cs="Helvetica"/>
          <w:color w:val="000000"/>
          <w:sz w:val="27"/>
          <w:szCs w:val="27"/>
          <w:shd w:val="clear" w:color="auto" w:fill="F5F5F5"/>
          <w:lang w:val="es-PR"/>
        </w:rPr>
        <w:t xml:space="preserve"> </w:t>
      </w:r>
      <w:r w:rsidR="003344FA">
        <w:rPr>
          <w:rFonts w:ascii="Book Antiqua" w:hAnsi="Book Antiqua"/>
          <w:lang w:val="es-PR"/>
        </w:rPr>
        <w:t>D</w:t>
      </w:r>
      <w:r w:rsidRPr="00E31F89">
        <w:rPr>
          <w:rFonts w:ascii="Book Antiqua" w:hAnsi="Book Antiqua"/>
          <w:lang w:val="es-PR"/>
        </w:rPr>
        <w:t xml:space="preserve">atos de la Agencia de Protección Ambiental (EPA, por sus siglas en inglés) </w:t>
      </w:r>
      <w:r>
        <w:rPr>
          <w:rFonts w:ascii="Book Antiqua" w:hAnsi="Book Antiqua"/>
          <w:lang w:val="es-PR"/>
        </w:rPr>
        <w:t xml:space="preserve">sostienen que </w:t>
      </w:r>
      <w:r w:rsidRPr="00E31F89">
        <w:rPr>
          <w:rFonts w:ascii="Book Antiqua" w:hAnsi="Book Antiqua"/>
          <w:lang w:val="es-PR"/>
        </w:rPr>
        <w:t xml:space="preserve">los vehículos fueron responsables del 29% de los gases de invernadero que se emitieron en el </w:t>
      </w:r>
      <w:r w:rsidR="003344FA">
        <w:rPr>
          <w:rFonts w:ascii="Book Antiqua" w:hAnsi="Book Antiqua"/>
          <w:lang w:val="es-PR"/>
        </w:rPr>
        <w:t>2022</w:t>
      </w:r>
      <w:r w:rsidRPr="00E31F89">
        <w:rPr>
          <w:rFonts w:ascii="Book Antiqua" w:hAnsi="Book Antiqua"/>
          <w:lang w:val="es-PR"/>
        </w:rPr>
        <w:t>.</w:t>
      </w:r>
      <w:r w:rsidR="00F356AC">
        <w:rPr>
          <w:rStyle w:val="FootnoteReference"/>
          <w:rFonts w:ascii="Book Antiqua" w:hAnsi="Book Antiqua"/>
          <w:lang w:val="es-PR"/>
        </w:rPr>
        <w:footnoteReference w:id="1"/>
      </w:r>
      <w:r>
        <w:rPr>
          <w:rFonts w:ascii="Book Antiqua" w:hAnsi="Book Antiqua"/>
          <w:lang w:val="es-PR"/>
        </w:rPr>
        <w:t xml:space="preserve"> </w:t>
      </w:r>
      <w:r w:rsidRPr="00E31F89">
        <w:rPr>
          <w:rFonts w:ascii="Book Antiqua" w:hAnsi="Book Antiqua"/>
          <w:lang w:val="es-PR"/>
        </w:rPr>
        <w:t>Si no se toman acciones pronto,</w:t>
      </w:r>
      <w:r>
        <w:rPr>
          <w:rFonts w:ascii="Book Antiqua" w:hAnsi="Book Antiqua"/>
          <w:lang w:val="es-PR"/>
        </w:rPr>
        <w:t xml:space="preserve"> tendrá un impacto significativo en nuestro futuro y para generaciones venideras. </w:t>
      </w:r>
    </w:p>
    <w:p w14:paraId="15AFAE9E" w14:textId="77777777" w:rsidR="00F830F3" w:rsidRDefault="00F830F3" w:rsidP="00DA5929">
      <w:pPr>
        <w:suppressLineNumbers/>
        <w:jc w:val="both"/>
        <w:rPr>
          <w:rFonts w:ascii="Book Antiqua" w:hAnsi="Book Antiqua"/>
          <w:lang w:val="es-PR"/>
        </w:rPr>
      </w:pPr>
    </w:p>
    <w:p w14:paraId="3C505908" w14:textId="3114B1A3" w:rsidR="00B2334B" w:rsidRPr="00B2334B" w:rsidRDefault="00F830F3" w:rsidP="00DA5929">
      <w:pPr>
        <w:suppressLineNumbers/>
        <w:jc w:val="both"/>
        <w:rPr>
          <w:rFonts w:ascii="Book Antiqua" w:hAnsi="Book Antiqua"/>
          <w:lang w:val="es-PR"/>
        </w:rPr>
      </w:pPr>
      <w:r>
        <w:rPr>
          <w:rFonts w:ascii="Book Antiqua" w:hAnsi="Book Antiqua"/>
          <w:color w:val="000000"/>
          <w:lang w:val="es-PR"/>
        </w:rPr>
        <w:tab/>
      </w:r>
      <w:r w:rsidRPr="00E31F89">
        <w:rPr>
          <w:rFonts w:ascii="Book Antiqua" w:hAnsi="Book Antiqua"/>
          <w:color w:val="000000"/>
          <w:lang w:val="es-PR"/>
        </w:rPr>
        <w:t>Una de las alternativas,</w:t>
      </w:r>
      <w:r>
        <w:rPr>
          <w:rFonts w:ascii="Book Antiqua" w:hAnsi="Book Antiqua"/>
          <w:color w:val="000000"/>
          <w:lang w:val="es-PR"/>
        </w:rPr>
        <w:t xml:space="preserve"> para combatir esta situación</w:t>
      </w:r>
      <w:r w:rsidRPr="00E31F89">
        <w:rPr>
          <w:rFonts w:ascii="Book Antiqua" w:hAnsi="Book Antiqua"/>
          <w:color w:val="000000"/>
          <w:lang w:val="es-PR"/>
        </w:rPr>
        <w:t xml:space="preserve"> es promover la adquisición de vehículos más eficientes y que sean amigables con el ambiente</w:t>
      </w:r>
      <w:r>
        <w:rPr>
          <w:rFonts w:ascii="Book Antiqua" w:hAnsi="Book Antiqua"/>
          <w:color w:val="000000"/>
          <w:lang w:val="es-PR"/>
        </w:rPr>
        <w:t xml:space="preserve"> como lo son los </w:t>
      </w:r>
      <w:r w:rsidRPr="00E31F89">
        <w:rPr>
          <w:rFonts w:ascii="Book Antiqua" w:hAnsi="Book Antiqua"/>
          <w:lang w:val="es-PR"/>
        </w:rPr>
        <w:t>vehículos</w:t>
      </w:r>
      <w:r>
        <w:rPr>
          <w:rFonts w:ascii="Book Antiqua" w:hAnsi="Book Antiqua"/>
          <w:lang w:val="es-PR"/>
        </w:rPr>
        <w:t xml:space="preserve"> o autos</w:t>
      </w:r>
      <w:r w:rsidRPr="00E31F89">
        <w:rPr>
          <w:rFonts w:ascii="Book Antiqua" w:hAnsi="Book Antiqua"/>
          <w:lang w:val="es-PR"/>
        </w:rPr>
        <w:t xml:space="preserve"> eléctricos</w:t>
      </w:r>
      <w:r>
        <w:rPr>
          <w:rFonts w:ascii="Book Antiqua" w:hAnsi="Book Antiqua"/>
          <w:lang w:val="es-PR"/>
        </w:rPr>
        <w:t xml:space="preserve">. Este tipo de vehículos no solo reducen las emisiones de gases tan perjudiciales al ambiente, sino que también </w:t>
      </w:r>
      <w:r w:rsidRPr="00E31F89">
        <w:rPr>
          <w:rFonts w:ascii="Book Antiqua" w:hAnsi="Book Antiqua"/>
          <w:color w:val="000000"/>
          <w:lang w:val="es-PR"/>
        </w:rPr>
        <w:t>ayuda</w:t>
      </w:r>
      <w:r>
        <w:rPr>
          <w:rFonts w:ascii="Book Antiqua" w:hAnsi="Book Antiqua"/>
          <w:color w:val="000000"/>
          <w:lang w:val="es-PR"/>
        </w:rPr>
        <w:t>n</w:t>
      </w:r>
      <w:r w:rsidRPr="00E31F89">
        <w:rPr>
          <w:rFonts w:ascii="Book Antiqua" w:hAnsi="Book Antiqua"/>
          <w:color w:val="000000"/>
          <w:lang w:val="es-PR"/>
        </w:rPr>
        <w:t xml:space="preserve"> a minimizar nuestra dependencia del petróleo</w:t>
      </w:r>
      <w:r>
        <w:rPr>
          <w:rFonts w:ascii="Book Antiqua" w:hAnsi="Book Antiqua"/>
          <w:color w:val="000000"/>
          <w:lang w:val="es-PR"/>
        </w:rPr>
        <w:t xml:space="preserve">.  </w:t>
      </w:r>
      <w:r w:rsidR="00CA0A72">
        <w:rPr>
          <w:rFonts w:ascii="Book Antiqua" w:hAnsi="Book Antiqua"/>
          <w:color w:val="000000"/>
          <w:lang w:val="es-PR"/>
        </w:rPr>
        <w:t>Por lo cual</w:t>
      </w:r>
      <w:r>
        <w:rPr>
          <w:rFonts w:ascii="Book Antiqua" w:hAnsi="Book Antiqua"/>
          <w:color w:val="000000"/>
          <w:lang w:val="es-PR"/>
        </w:rPr>
        <w:t>, l</w:t>
      </w:r>
      <w:r w:rsidRPr="00E31F89">
        <w:rPr>
          <w:rFonts w:ascii="Book Antiqua" w:hAnsi="Book Antiqua"/>
          <w:lang w:val="es-PR"/>
        </w:rPr>
        <w:t xml:space="preserve">a integración de </w:t>
      </w:r>
      <w:r>
        <w:rPr>
          <w:rFonts w:ascii="Book Antiqua" w:hAnsi="Book Antiqua"/>
          <w:lang w:val="es-PR"/>
        </w:rPr>
        <w:t xml:space="preserve">los vehículos eléctricos </w:t>
      </w:r>
      <w:r w:rsidRPr="00E31F89">
        <w:rPr>
          <w:rFonts w:ascii="Book Antiqua" w:hAnsi="Book Antiqua"/>
          <w:lang w:val="es-PR"/>
        </w:rPr>
        <w:t xml:space="preserve">se ha convertido en una necesidad para combatir los efectos del calentamiento global. </w:t>
      </w:r>
    </w:p>
    <w:p w14:paraId="69AE8935" w14:textId="7157FB2A" w:rsidR="00F830F3" w:rsidRPr="00E31F89" w:rsidRDefault="00F830F3" w:rsidP="00DA5929">
      <w:pPr>
        <w:suppressLineNumbers/>
        <w:jc w:val="both"/>
        <w:rPr>
          <w:rFonts w:ascii="Book Antiqua" w:hAnsi="Book Antiqua"/>
          <w:lang w:val="es-PR"/>
        </w:rPr>
      </w:pPr>
      <w:r w:rsidRPr="00E31F89">
        <w:rPr>
          <w:rFonts w:ascii="Book Antiqua" w:hAnsi="Book Antiqua"/>
          <w:lang w:val="es-PR"/>
        </w:rPr>
        <w:t xml:space="preserve"> </w:t>
      </w:r>
    </w:p>
    <w:p w14:paraId="67D2B4FE" w14:textId="3AB8FCEF" w:rsidR="00F830F3" w:rsidRDefault="00F830F3" w:rsidP="00DA5929">
      <w:pPr>
        <w:suppressLineNumbers/>
        <w:jc w:val="both"/>
        <w:rPr>
          <w:rFonts w:ascii="Book Antiqua" w:hAnsi="Book Antiqua"/>
          <w:lang w:val="es-PR"/>
        </w:rPr>
      </w:pPr>
      <w:r>
        <w:rPr>
          <w:rFonts w:ascii="Book Antiqua" w:hAnsi="Book Antiqua"/>
          <w:lang w:val="es-PR"/>
        </w:rPr>
        <w:lastRenderedPageBreak/>
        <w:tab/>
        <w:t xml:space="preserve">Sin embargo, un componente esencial para atender el crecimiento en este tipo de transporte es el desarrollo de una infraestructura adecuada que permita la recarga de vehículo eléctricos. A esos efectos, esta Ley requiere que </w:t>
      </w:r>
      <w:r w:rsidRPr="00E31F89">
        <w:rPr>
          <w:rFonts w:ascii="Book Antiqua" w:hAnsi="Book Antiqua"/>
          <w:lang w:val="es-PR"/>
        </w:rPr>
        <w:t>toda construcción nueva o reconstrucción sustancial de un</w:t>
      </w:r>
      <w:r>
        <w:rPr>
          <w:rFonts w:ascii="Book Antiqua" w:hAnsi="Book Antiqua"/>
          <w:lang w:val="es-PR"/>
        </w:rPr>
        <w:t xml:space="preserve"> edificio que </w:t>
      </w:r>
      <w:r w:rsidRPr="00E31F89">
        <w:rPr>
          <w:rFonts w:ascii="Book Antiqua" w:hAnsi="Book Antiqua"/>
          <w:lang w:val="es-PR"/>
        </w:rPr>
        <w:t xml:space="preserve">incluya facilidades de estacionamiento </w:t>
      </w:r>
      <w:r>
        <w:rPr>
          <w:rFonts w:ascii="Book Antiqua" w:hAnsi="Book Antiqua"/>
          <w:lang w:val="es-PR"/>
        </w:rPr>
        <w:t>provea</w:t>
      </w:r>
      <w:r w:rsidRPr="00E31F89">
        <w:rPr>
          <w:rFonts w:ascii="Book Antiqua" w:hAnsi="Book Antiqua"/>
          <w:lang w:val="es-PR"/>
        </w:rPr>
        <w:t xml:space="preserve"> estaciones de carga para vehículos eléctricos</w:t>
      </w:r>
      <w:r>
        <w:rPr>
          <w:rFonts w:ascii="Book Antiqua" w:hAnsi="Book Antiqua"/>
          <w:lang w:val="es-PR"/>
        </w:rPr>
        <w:t xml:space="preserve">. </w:t>
      </w:r>
      <w:r w:rsidRPr="00E31F89">
        <w:rPr>
          <w:rFonts w:ascii="Book Antiqua" w:hAnsi="Book Antiqua"/>
          <w:lang w:val="es-PR"/>
        </w:rPr>
        <w:t xml:space="preserve">Un aumento sustancial en la infraestructura de carga </w:t>
      </w:r>
      <w:r>
        <w:rPr>
          <w:rFonts w:ascii="Book Antiqua" w:hAnsi="Book Antiqua"/>
          <w:lang w:val="es-PR"/>
        </w:rPr>
        <w:t>para</w:t>
      </w:r>
      <w:r w:rsidRPr="00E31F89">
        <w:rPr>
          <w:rFonts w:ascii="Book Antiqua" w:hAnsi="Book Antiqua"/>
          <w:lang w:val="es-PR"/>
        </w:rPr>
        <w:t xml:space="preserve"> vehículos </w:t>
      </w:r>
      <w:r w:rsidR="00272BC8" w:rsidRPr="00E31F89">
        <w:rPr>
          <w:rFonts w:ascii="Book Antiqua" w:hAnsi="Book Antiqua"/>
          <w:lang w:val="es-PR"/>
        </w:rPr>
        <w:t>eléctricos</w:t>
      </w:r>
      <w:r w:rsidRPr="00E31F89">
        <w:rPr>
          <w:rFonts w:ascii="Book Antiqua" w:hAnsi="Book Antiqua"/>
          <w:lang w:val="es-PR"/>
        </w:rPr>
        <w:t xml:space="preserve"> </w:t>
      </w:r>
      <w:r>
        <w:rPr>
          <w:rFonts w:ascii="Book Antiqua" w:hAnsi="Book Antiqua"/>
          <w:lang w:val="es-PR"/>
        </w:rPr>
        <w:t xml:space="preserve">permitirá prepararnos </w:t>
      </w:r>
      <w:r w:rsidRPr="00E31F89">
        <w:rPr>
          <w:rFonts w:ascii="Book Antiqua" w:hAnsi="Book Antiqua"/>
          <w:lang w:val="es-PR"/>
        </w:rPr>
        <w:t xml:space="preserve">para satisfacer las demandas </w:t>
      </w:r>
      <w:r>
        <w:rPr>
          <w:rFonts w:ascii="Book Antiqua" w:hAnsi="Book Antiqua"/>
          <w:lang w:val="es-PR"/>
        </w:rPr>
        <w:t>en</w:t>
      </w:r>
      <w:r w:rsidRPr="00E31F89">
        <w:rPr>
          <w:rFonts w:ascii="Book Antiqua" w:hAnsi="Book Antiqua"/>
          <w:lang w:val="es-PR"/>
        </w:rPr>
        <w:t xml:space="preserve"> la adopción </w:t>
      </w:r>
      <w:r>
        <w:rPr>
          <w:rFonts w:ascii="Book Antiqua" w:hAnsi="Book Antiqua"/>
          <w:lang w:val="es-PR"/>
        </w:rPr>
        <w:t>de vehículos eléctricos de manera apropiada y confiable, mientras se reducen las emisiones del transporte, logrando</w:t>
      </w:r>
      <w:r w:rsidRPr="00E31F89">
        <w:rPr>
          <w:rFonts w:ascii="Book Antiqua" w:hAnsi="Book Antiqua"/>
          <w:lang w:val="es-PR"/>
        </w:rPr>
        <w:t xml:space="preserve"> una mejor calidad del aire y un clima más seguro.</w:t>
      </w:r>
    </w:p>
    <w:p w14:paraId="1C96B232" w14:textId="77777777" w:rsidR="00272BC8" w:rsidRDefault="00272BC8" w:rsidP="00272BC8">
      <w:pPr>
        <w:suppressLineNumbers/>
        <w:jc w:val="both"/>
        <w:rPr>
          <w:rFonts w:ascii="Book Antiqua" w:hAnsi="Book Antiqua"/>
          <w:lang w:val="es-PR"/>
        </w:rPr>
      </w:pPr>
    </w:p>
    <w:p w14:paraId="2564DCEB" w14:textId="7FA787F1" w:rsidR="00F830F3" w:rsidRDefault="00F830F3" w:rsidP="00272BC8">
      <w:pPr>
        <w:pStyle w:val="NoSpacing"/>
        <w:suppressLineNumbers/>
        <w:spacing w:line="480" w:lineRule="auto"/>
        <w:rPr>
          <w:rFonts w:ascii="Book Antiqua" w:hAnsi="Book Antiqua"/>
          <w:i/>
          <w:lang w:val="es-ES_tradnl"/>
        </w:rPr>
      </w:pPr>
      <w:r w:rsidRPr="00E31F89">
        <w:rPr>
          <w:rFonts w:ascii="Book Antiqua" w:hAnsi="Book Antiqua"/>
          <w:i/>
          <w:lang w:val="es-ES_tradnl"/>
        </w:rPr>
        <w:t>DECRÉTASE POR LA ASAMBLEA LEGISLATIVA DE PUERTO RICO:</w:t>
      </w:r>
    </w:p>
    <w:p w14:paraId="6ADE06B3" w14:textId="73FF54CB" w:rsidR="00F830F3" w:rsidRPr="00F830F3" w:rsidRDefault="00F830F3" w:rsidP="00272BC8">
      <w:pPr>
        <w:pStyle w:val="NoSpacing"/>
        <w:spacing w:line="480" w:lineRule="auto"/>
        <w:ind w:firstLine="360"/>
        <w:jc w:val="both"/>
        <w:rPr>
          <w:rFonts w:ascii="Book Antiqua" w:hAnsi="Book Antiqua"/>
          <w:lang w:val="es-ES_tradnl"/>
        </w:rPr>
      </w:pPr>
      <w:r w:rsidRPr="00F830F3">
        <w:rPr>
          <w:rFonts w:ascii="Book Antiqua" w:hAnsi="Book Antiqua"/>
          <w:lang w:val="es-ES_tradnl"/>
        </w:rPr>
        <w:t>Artículo 1.- Esta Ley se conocerá y podrá ser citada como “Ley de Estaciones de Carga para Vehículos Eléctricos”.</w:t>
      </w:r>
    </w:p>
    <w:p w14:paraId="62B3F8FC" w14:textId="77777777" w:rsidR="00F830F3" w:rsidRPr="00F830F3" w:rsidRDefault="00F830F3" w:rsidP="00F830F3">
      <w:pPr>
        <w:spacing w:line="480" w:lineRule="auto"/>
        <w:ind w:firstLine="360"/>
        <w:jc w:val="both"/>
        <w:rPr>
          <w:rFonts w:ascii="Book Antiqua" w:hAnsi="Book Antiqua"/>
          <w:lang w:val="es-ES_tradnl"/>
        </w:rPr>
      </w:pPr>
      <w:r w:rsidRPr="00F830F3">
        <w:rPr>
          <w:rFonts w:ascii="Book Antiqua" w:hAnsi="Book Antiqua"/>
          <w:lang w:val="es-ES_tradnl"/>
        </w:rPr>
        <w:t>Artículo 2.- Para propósitos de esta Ley los siguientes términos tendrán el significado que se dispone a continuación:</w:t>
      </w:r>
    </w:p>
    <w:p w14:paraId="2D63D468" w14:textId="77777777" w:rsidR="00F830F3" w:rsidRPr="00F830F3" w:rsidRDefault="00F830F3" w:rsidP="00F830F3">
      <w:pPr>
        <w:pStyle w:val="ListParagraph"/>
        <w:numPr>
          <w:ilvl w:val="0"/>
          <w:numId w:val="1"/>
        </w:numPr>
        <w:spacing w:line="480" w:lineRule="auto"/>
        <w:jc w:val="both"/>
        <w:rPr>
          <w:rFonts w:ascii="Book Antiqua" w:hAnsi="Book Antiqua"/>
          <w:lang w:val="es-PR"/>
        </w:rPr>
      </w:pPr>
      <w:r w:rsidRPr="00F830F3">
        <w:rPr>
          <w:rFonts w:ascii="Book Antiqua" w:hAnsi="Book Antiqua"/>
          <w:lang w:val="es-PR"/>
        </w:rPr>
        <w:t xml:space="preserve">Edificio: incluye estructuras tales como residenciales multifamiliares, oficinas, teatros, almacenes, fábricas, escuelas, hospitales, tiendas, supermercados, centros comerciales, puertos, aeropuertos, centros gubernamentales, centros de convenciones, estadios deportivos, canchas, parques, restaurantes, hoteles o cualquier otra obra de naturaleza parecida. </w:t>
      </w:r>
    </w:p>
    <w:p w14:paraId="69D87318" w14:textId="77777777" w:rsidR="00F830F3" w:rsidRPr="00F830F3" w:rsidRDefault="00F830F3" w:rsidP="00F830F3">
      <w:pPr>
        <w:pStyle w:val="ListParagraph"/>
        <w:numPr>
          <w:ilvl w:val="0"/>
          <w:numId w:val="1"/>
        </w:numPr>
        <w:spacing w:line="480" w:lineRule="auto"/>
        <w:jc w:val="both"/>
        <w:rPr>
          <w:rFonts w:ascii="Book Antiqua" w:hAnsi="Book Antiqua"/>
          <w:lang w:val="es-PR"/>
        </w:rPr>
      </w:pPr>
      <w:r w:rsidRPr="00F830F3">
        <w:rPr>
          <w:rFonts w:ascii="Book Antiqua" w:hAnsi="Book Antiqua"/>
          <w:lang w:val="es-PR"/>
        </w:rPr>
        <w:t xml:space="preserve">Estación de carga para vehículos eléctricos: espacio de estacionamiento provisto de equipo que suministran una fuente de electricidad para cargar vehículos eléctricos. Una estación de carga para vehículos eléctricos puede incluir varios puntos de cargar que conecten simultáneamente varios vehículos eléctricos al sistema. </w:t>
      </w:r>
    </w:p>
    <w:p w14:paraId="2FC44D57" w14:textId="77777777" w:rsidR="00F830F3" w:rsidRPr="00F830F3" w:rsidRDefault="00F830F3" w:rsidP="00F830F3">
      <w:pPr>
        <w:pStyle w:val="ListParagraph"/>
        <w:numPr>
          <w:ilvl w:val="0"/>
          <w:numId w:val="1"/>
        </w:numPr>
        <w:spacing w:line="480" w:lineRule="auto"/>
        <w:jc w:val="both"/>
        <w:rPr>
          <w:rFonts w:ascii="Book Antiqua" w:hAnsi="Book Antiqua"/>
          <w:lang w:val="es-PR"/>
        </w:rPr>
      </w:pPr>
      <w:r w:rsidRPr="00F830F3">
        <w:rPr>
          <w:rFonts w:ascii="Book Antiqua" w:hAnsi="Book Antiqua"/>
          <w:lang w:val="es-PR"/>
        </w:rPr>
        <w:t>Reconstrucción sustancial: reparaciones, ampliaciones y mejoras que exceda el cincuenta por ciento (50%) o más del justo valor en el mercado de la estructura.</w:t>
      </w:r>
    </w:p>
    <w:p w14:paraId="18D7D27B" w14:textId="77777777" w:rsidR="00F830F3" w:rsidRPr="00F830F3" w:rsidRDefault="00F830F3" w:rsidP="00F830F3">
      <w:pPr>
        <w:pStyle w:val="ListParagraph"/>
        <w:numPr>
          <w:ilvl w:val="0"/>
          <w:numId w:val="1"/>
        </w:numPr>
        <w:spacing w:line="480" w:lineRule="auto"/>
        <w:jc w:val="both"/>
        <w:rPr>
          <w:rFonts w:ascii="Book Antiqua" w:hAnsi="Book Antiqua"/>
          <w:lang w:val="es-PR"/>
        </w:rPr>
      </w:pPr>
      <w:r w:rsidRPr="00F830F3">
        <w:rPr>
          <w:rFonts w:ascii="Book Antiqua" w:hAnsi="Book Antiqua"/>
          <w:lang w:val="es-ES_tradnl"/>
        </w:rPr>
        <w:lastRenderedPageBreak/>
        <w:t>V</w:t>
      </w:r>
      <w:proofErr w:type="spellStart"/>
      <w:r w:rsidRPr="00F830F3">
        <w:rPr>
          <w:rFonts w:ascii="Book Antiqua" w:hAnsi="Book Antiqua"/>
          <w:lang w:val="es-PR"/>
        </w:rPr>
        <w:t>ehículo</w:t>
      </w:r>
      <w:proofErr w:type="spellEnd"/>
      <w:r w:rsidRPr="00F830F3">
        <w:rPr>
          <w:rFonts w:ascii="Book Antiqua" w:hAnsi="Book Antiqua"/>
          <w:lang w:val="es-PR"/>
        </w:rPr>
        <w:t xml:space="preserve"> eléctrico (EV): incluye vehículos híbridos </w:t>
      </w:r>
      <w:r w:rsidRPr="00F830F3">
        <w:rPr>
          <w:rFonts w:ascii="Book Antiqua" w:hAnsi="Book Antiqua"/>
          <w:i/>
          <w:lang w:val="es-PR"/>
        </w:rPr>
        <w:t>“</w:t>
      </w:r>
      <w:proofErr w:type="spellStart"/>
      <w:r w:rsidRPr="00F830F3">
        <w:rPr>
          <w:rFonts w:ascii="Book Antiqua" w:hAnsi="Book Antiqua"/>
          <w:i/>
          <w:lang w:val="es-PR"/>
        </w:rPr>
        <w:t>plug</w:t>
      </w:r>
      <w:proofErr w:type="spellEnd"/>
      <w:r w:rsidRPr="00F830F3">
        <w:rPr>
          <w:rFonts w:ascii="Book Antiqua" w:hAnsi="Book Antiqua"/>
          <w:i/>
          <w:lang w:val="es-PR"/>
        </w:rPr>
        <w:t>-in”</w:t>
      </w:r>
      <w:r w:rsidRPr="00F830F3">
        <w:rPr>
          <w:rFonts w:ascii="Book Antiqua" w:hAnsi="Book Antiqua"/>
          <w:lang w:val="es-PR"/>
        </w:rPr>
        <w:t xml:space="preserve"> y vehículos totalmente eléctricos, que utilizan uno o más motores eléctricos para propulsión y se alimenta a través de una batería interna que se carga mediante una fuente de electricidad externa. </w:t>
      </w:r>
    </w:p>
    <w:p w14:paraId="2AB2844A" w14:textId="734B082E" w:rsidR="00F830F3" w:rsidRPr="00F830F3" w:rsidRDefault="00F830F3" w:rsidP="00F830F3">
      <w:pPr>
        <w:spacing w:line="480" w:lineRule="auto"/>
        <w:ind w:firstLine="360"/>
        <w:jc w:val="both"/>
        <w:rPr>
          <w:rFonts w:ascii="Book Antiqua" w:hAnsi="Book Antiqua"/>
          <w:lang w:val="es-PR"/>
        </w:rPr>
      </w:pPr>
      <w:r w:rsidRPr="00F830F3">
        <w:rPr>
          <w:rFonts w:ascii="Book Antiqua" w:hAnsi="Book Antiqua"/>
          <w:lang w:val="es-PR"/>
        </w:rPr>
        <w:t>Artículo 3.</w:t>
      </w:r>
      <w:r w:rsidR="00272BC8" w:rsidRPr="00F830F3">
        <w:rPr>
          <w:rFonts w:ascii="Book Antiqua" w:hAnsi="Book Antiqua"/>
          <w:lang w:val="es-PR"/>
        </w:rPr>
        <w:t>- Toda</w:t>
      </w:r>
      <w:r w:rsidRPr="00F830F3">
        <w:rPr>
          <w:rFonts w:ascii="Book Antiqua" w:hAnsi="Book Antiqua"/>
          <w:lang w:val="es-PR"/>
        </w:rPr>
        <w:t xml:space="preserve"> construcción nueva o reconstrucción sustancial de un edificio que incluya facilidades de estacionamiento deberá incluir al menos una (1) estación de carga para vehículos eléctricos por cada diez (10) espacios de estacionamientos. Disponiéndose que en el caso de edificios con menos de diez (10) estacionamientos deberán contar con al menos un (1) espacio de estacionamiento para proveer carga a vehículos eléctricos. </w:t>
      </w:r>
    </w:p>
    <w:p w14:paraId="1D89C8ED" w14:textId="77777777" w:rsidR="00F830F3" w:rsidRPr="00F830F3" w:rsidRDefault="00F830F3" w:rsidP="00F830F3">
      <w:pPr>
        <w:spacing w:line="480" w:lineRule="auto"/>
        <w:ind w:firstLine="360"/>
        <w:jc w:val="both"/>
        <w:rPr>
          <w:rFonts w:ascii="Book Antiqua" w:hAnsi="Book Antiqua"/>
          <w:lang w:val="es-PR"/>
        </w:rPr>
      </w:pPr>
      <w:r w:rsidRPr="00F830F3">
        <w:rPr>
          <w:rFonts w:ascii="Book Antiqua" w:hAnsi="Book Antiqua"/>
          <w:lang w:val="es-PR"/>
        </w:rPr>
        <w:t xml:space="preserve">La instalación de estas estaciones deberá cumplir con las normas y regulaciones estatales y federales correspondientes.  Los espacios designados como estaciones de carga para vehículos eléctricos deberán ser rotulados a esos efectos y ningún vehículo deberá estar estacionado en dichos espacios mientras no se esté cargando. </w:t>
      </w:r>
      <w:r w:rsidRPr="00F830F3">
        <w:rPr>
          <w:rFonts w:ascii="Book Antiqua" w:eastAsiaTheme="majorEastAsia" w:hAnsi="Book Antiqua"/>
          <w:lang w:val="es-PR"/>
        </w:rPr>
        <w:t xml:space="preserve">Toda persona que estacione un vehículo no eléctrico en un espacio designado para vehículos eléctricos o que se encuentre en el mismo </w:t>
      </w:r>
      <w:r w:rsidRPr="00F830F3">
        <w:rPr>
          <w:rFonts w:ascii="Book Antiqua" w:hAnsi="Book Antiqua"/>
          <w:lang w:val="es-PR"/>
        </w:rPr>
        <w:t xml:space="preserve">mientras no se esté cargando, </w:t>
      </w:r>
      <w:r w:rsidRPr="00F830F3">
        <w:rPr>
          <w:rFonts w:ascii="Book Antiqua" w:eastAsiaTheme="majorEastAsia" w:hAnsi="Book Antiqua"/>
          <w:lang w:val="es-PR"/>
        </w:rPr>
        <w:t xml:space="preserve">será sancionada </w:t>
      </w:r>
      <w:r w:rsidRPr="00F830F3">
        <w:rPr>
          <w:rFonts w:ascii="Book Antiqua" w:hAnsi="Book Antiqua"/>
          <w:lang w:val="es-PR"/>
        </w:rPr>
        <w:t>con una multa de cincuenta (50) dólares.</w:t>
      </w:r>
    </w:p>
    <w:p w14:paraId="49EDEEDC" w14:textId="77777777" w:rsidR="00F830F3" w:rsidRPr="00F830F3" w:rsidRDefault="00F830F3" w:rsidP="00F830F3">
      <w:pPr>
        <w:spacing w:line="480" w:lineRule="auto"/>
        <w:ind w:firstLine="360"/>
        <w:jc w:val="both"/>
        <w:rPr>
          <w:rFonts w:ascii="Book Antiqua" w:hAnsi="Book Antiqua"/>
          <w:lang w:val="es-PR"/>
        </w:rPr>
      </w:pPr>
      <w:r w:rsidRPr="00F830F3">
        <w:rPr>
          <w:rFonts w:ascii="Book Antiqua" w:hAnsi="Book Antiqua"/>
          <w:lang w:val="es-PR"/>
        </w:rPr>
        <w:t xml:space="preserve">Artículo 4.- En el caso de viviendas unifamiliares independientes de nueva construcción que incluya al menos un garaje o entrada para auto, el desarrollador o constructor ofrecerá al comprador o posible comprador la opción de instalar una estación de carga para vehículos eléctricos. </w:t>
      </w:r>
    </w:p>
    <w:p w14:paraId="47F141B1" w14:textId="00BC1B2A" w:rsidR="00F830F3" w:rsidRPr="00F830F3" w:rsidRDefault="00F830F3" w:rsidP="00F830F3">
      <w:pPr>
        <w:spacing w:line="480" w:lineRule="auto"/>
        <w:ind w:firstLine="360"/>
        <w:jc w:val="both"/>
        <w:rPr>
          <w:rFonts w:ascii="Book Antiqua" w:hAnsi="Book Antiqua"/>
          <w:lang w:val="es-PR"/>
        </w:rPr>
      </w:pPr>
      <w:r w:rsidRPr="00F830F3">
        <w:rPr>
          <w:rFonts w:ascii="Book Antiqua" w:hAnsi="Book Antiqua"/>
          <w:lang w:val="es-PR"/>
        </w:rPr>
        <w:t>Artículo 5.- La Oficina de Gerencia de Permisos (</w:t>
      </w:r>
      <w:proofErr w:type="spellStart"/>
      <w:r w:rsidRPr="00F830F3">
        <w:rPr>
          <w:rFonts w:ascii="Book Antiqua" w:hAnsi="Book Antiqua"/>
          <w:lang w:val="es-PR"/>
        </w:rPr>
        <w:t>OGPe</w:t>
      </w:r>
      <w:proofErr w:type="spellEnd"/>
      <w:r w:rsidRPr="00F830F3">
        <w:rPr>
          <w:rFonts w:ascii="Book Antiqua" w:hAnsi="Book Antiqua"/>
          <w:lang w:val="es-PR"/>
        </w:rPr>
        <w:t xml:space="preserve">) en conjunto con el Negociado de Energía de Puerto Rico deberán, dentro de los 180 días de aprobada esta Ley, </w:t>
      </w:r>
      <w:r w:rsidRPr="00F830F3">
        <w:rPr>
          <w:rFonts w:ascii="Book Antiqua" w:hAnsi="Book Antiqua"/>
          <w:lang w:val="es-PR"/>
        </w:rPr>
        <w:lastRenderedPageBreak/>
        <w:t>promulgar las reglas y reglamentos necesarios para que se requiera a partir del 1 de enero de 202</w:t>
      </w:r>
      <w:r w:rsidR="00272BC8">
        <w:rPr>
          <w:rFonts w:ascii="Book Antiqua" w:hAnsi="Book Antiqua"/>
          <w:lang w:val="es-PR"/>
        </w:rPr>
        <w:t>6</w:t>
      </w:r>
      <w:r w:rsidRPr="00F830F3">
        <w:rPr>
          <w:rFonts w:ascii="Book Antiqua" w:hAnsi="Book Antiqua"/>
          <w:lang w:val="es-PR"/>
        </w:rPr>
        <w:t>, toda construcción nueva o reconstrucción sustancial de un edificio que incluya facilidades de estacionamiento provea estaciones de carga para vehículos eléctricos, de acuerdo con lo dispuesto en esta Ley.</w:t>
      </w:r>
    </w:p>
    <w:p w14:paraId="5FBE4F11" w14:textId="6FBAD54B" w:rsidR="00435C92" w:rsidRPr="00272BC8" w:rsidRDefault="00F830F3" w:rsidP="00272BC8">
      <w:pPr>
        <w:spacing w:line="480" w:lineRule="auto"/>
        <w:ind w:firstLine="360"/>
        <w:jc w:val="both"/>
        <w:rPr>
          <w:rFonts w:ascii="Book Antiqua" w:hAnsi="Book Antiqua" w:cs="Courier New"/>
          <w:szCs w:val="24"/>
          <w:lang w:val="es-PR"/>
        </w:rPr>
      </w:pPr>
      <w:r w:rsidRPr="00F830F3">
        <w:rPr>
          <w:rFonts w:ascii="Book Antiqua" w:hAnsi="Book Antiqua"/>
          <w:lang w:val="es-PR"/>
        </w:rPr>
        <w:t xml:space="preserve">Artículo 6.- Esta Ley entrará en vigor a partir del 1 de enero de 2026, </w:t>
      </w:r>
      <w:r w:rsidRPr="00F830F3">
        <w:rPr>
          <w:rFonts w:ascii="Book Antiqua" w:hAnsi="Book Antiqua" w:cs="Courier New"/>
          <w:szCs w:val="24"/>
          <w:lang w:val="es-PR"/>
        </w:rPr>
        <w:t xml:space="preserve">excepto las disposiciones del Artículo 5, que tendrán vigencia inmediata. </w:t>
      </w:r>
    </w:p>
    <w:sectPr w:rsidR="00435C92" w:rsidRPr="00272BC8" w:rsidSect="00272BC8">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39C5A" w14:textId="77777777" w:rsidR="00C27675" w:rsidRDefault="00C27675" w:rsidP="00272BC8">
      <w:r>
        <w:separator/>
      </w:r>
    </w:p>
  </w:endnote>
  <w:endnote w:type="continuationSeparator" w:id="0">
    <w:p w14:paraId="3F32F570" w14:textId="77777777" w:rsidR="00C27675" w:rsidRDefault="00C27675" w:rsidP="00272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7E797" w14:textId="77777777" w:rsidR="00C27675" w:rsidRDefault="00C27675" w:rsidP="00272BC8">
      <w:r>
        <w:separator/>
      </w:r>
    </w:p>
  </w:footnote>
  <w:footnote w:type="continuationSeparator" w:id="0">
    <w:p w14:paraId="5E85A267" w14:textId="77777777" w:rsidR="00C27675" w:rsidRDefault="00C27675" w:rsidP="00272BC8">
      <w:r>
        <w:continuationSeparator/>
      </w:r>
    </w:p>
  </w:footnote>
  <w:footnote w:id="1">
    <w:p w14:paraId="2BC43B0C" w14:textId="1B221E8E" w:rsidR="00F356AC" w:rsidRPr="00F356AC" w:rsidRDefault="00F356AC" w:rsidP="00B952F7">
      <w:pPr>
        <w:pStyle w:val="FootnoteText"/>
        <w:ind w:left="180" w:hanging="180"/>
        <w:jc w:val="both"/>
        <w:rPr>
          <w:rFonts w:ascii="Book Antiqua" w:hAnsi="Book Antiqua"/>
          <w:b/>
          <w:bCs/>
        </w:rPr>
      </w:pPr>
      <w:r w:rsidRPr="00F356AC">
        <w:rPr>
          <w:rStyle w:val="FootnoteReference"/>
          <w:rFonts w:ascii="Book Antiqua" w:hAnsi="Book Antiqua"/>
        </w:rPr>
        <w:footnoteRef/>
      </w:r>
      <w:r w:rsidRPr="00F356AC">
        <w:rPr>
          <w:rFonts w:ascii="Book Antiqua" w:hAnsi="Book Antiqua"/>
        </w:rPr>
        <w:t xml:space="preserve"> </w:t>
      </w:r>
      <w:r w:rsidR="00B952F7">
        <w:rPr>
          <w:rFonts w:ascii="Book Antiqua" w:hAnsi="Book Antiqua"/>
        </w:rPr>
        <w:t xml:space="preserve">United States Environmental Protection Agency. </w:t>
      </w:r>
      <w:r w:rsidRPr="00F356AC">
        <w:rPr>
          <w:rFonts w:ascii="Book Antiqua" w:hAnsi="Book Antiqua"/>
        </w:rPr>
        <w:t>Fast Facts on Transportation Greenhouse Gas Emissions</w:t>
      </w:r>
      <w:r w:rsidR="00B952F7">
        <w:rPr>
          <w:rFonts w:ascii="Book Antiqua" w:hAnsi="Book Antiqua"/>
          <w:b/>
          <w:bCs/>
        </w:rPr>
        <w:t>. www.</w:t>
      </w:r>
      <w:r w:rsidRPr="00F356AC">
        <w:rPr>
          <w:rFonts w:ascii="Book Antiqua" w:hAnsi="Book Antiqua"/>
        </w:rPr>
        <w:t>epa.gov/greenvehicles/fast-facts-transportation-greenhouse-gas-emissions (</w:t>
      </w:r>
      <w:proofErr w:type="spellStart"/>
      <w:r w:rsidRPr="00F356AC">
        <w:rPr>
          <w:rFonts w:ascii="Book Antiqua" w:hAnsi="Book Antiqua"/>
        </w:rPr>
        <w:t>última</w:t>
      </w:r>
      <w:proofErr w:type="spellEnd"/>
      <w:r w:rsidRPr="00F356AC">
        <w:rPr>
          <w:rFonts w:ascii="Book Antiqua" w:hAnsi="Book Antiqua"/>
        </w:rPr>
        <w:t xml:space="preserve"> </w:t>
      </w:r>
      <w:proofErr w:type="spellStart"/>
      <w:r w:rsidRPr="00F356AC">
        <w:rPr>
          <w:rFonts w:ascii="Book Antiqua" w:hAnsi="Book Antiqua"/>
        </w:rPr>
        <w:t>visita</w:t>
      </w:r>
      <w:proofErr w:type="spellEnd"/>
      <w:r w:rsidRPr="00F356AC">
        <w:rPr>
          <w:rFonts w:ascii="Book Antiqua" w:hAnsi="Book Antiqua"/>
        </w:rPr>
        <w:t xml:space="preserve">, 20 de </w:t>
      </w:r>
      <w:proofErr w:type="spellStart"/>
      <w:r w:rsidRPr="00F356AC">
        <w:rPr>
          <w:rFonts w:ascii="Book Antiqua" w:hAnsi="Book Antiqua"/>
        </w:rPr>
        <w:t>marzo</w:t>
      </w:r>
      <w:proofErr w:type="spellEnd"/>
      <w:r w:rsidRPr="00F356AC">
        <w:rPr>
          <w:rFonts w:ascii="Book Antiqua" w:hAnsi="Book Antiqua"/>
        </w:rPr>
        <w:t xml:space="preserve">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65AD5" w14:textId="77777777" w:rsidR="00272BC8" w:rsidRDefault="00272BC8">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60F55"/>
    <w:multiLevelType w:val="hybridMultilevel"/>
    <w:tmpl w:val="C48471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4512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0F3"/>
    <w:rsid w:val="000A6CDF"/>
    <w:rsid w:val="00272BC8"/>
    <w:rsid w:val="003344FA"/>
    <w:rsid w:val="00381488"/>
    <w:rsid w:val="00414BE4"/>
    <w:rsid w:val="00421E45"/>
    <w:rsid w:val="00435C92"/>
    <w:rsid w:val="00671CFE"/>
    <w:rsid w:val="006C0546"/>
    <w:rsid w:val="00711D25"/>
    <w:rsid w:val="007B6BD4"/>
    <w:rsid w:val="008766E3"/>
    <w:rsid w:val="00910BA7"/>
    <w:rsid w:val="00950F3A"/>
    <w:rsid w:val="00A638F8"/>
    <w:rsid w:val="00B2334B"/>
    <w:rsid w:val="00B952F7"/>
    <w:rsid w:val="00BE7EFC"/>
    <w:rsid w:val="00C27675"/>
    <w:rsid w:val="00CA0A72"/>
    <w:rsid w:val="00DA5929"/>
    <w:rsid w:val="00E92A0D"/>
    <w:rsid w:val="00EB3BBD"/>
    <w:rsid w:val="00F356AC"/>
    <w:rsid w:val="00F52AF6"/>
    <w:rsid w:val="00F830F3"/>
    <w:rsid w:val="00F91FF5"/>
    <w:rsid w:val="00FE445D"/>
    <w:rsid w:val="00FF7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5DBEB"/>
  <w15:chartTrackingRefBased/>
  <w15:docId w15:val="{419C52C2-F1EB-4111-A683-16D2811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0F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F830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0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0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0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0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0F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0F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0F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0F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0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0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0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0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0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0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0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0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0F3"/>
    <w:rPr>
      <w:rFonts w:eastAsiaTheme="majorEastAsia" w:cstheme="majorBidi"/>
      <w:color w:val="272727" w:themeColor="text1" w:themeTint="D8"/>
    </w:rPr>
  </w:style>
  <w:style w:type="paragraph" w:styleId="Title">
    <w:name w:val="Title"/>
    <w:basedOn w:val="Normal"/>
    <w:next w:val="Normal"/>
    <w:link w:val="TitleChar"/>
    <w:uiPriority w:val="10"/>
    <w:qFormat/>
    <w:rsid w:val="00F830F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0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0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0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0F3"/>
    <w:pPr>
      <w:spacing w:before="160"/>
      <w:jc w:val="center"/>
    </w:pPr>
    <w:rPr>
      <w:i/>
      <w:iCs/>
      <w:color w:val="404040" w:themeColor="text1" w:themeTint="BF"/>
    </w:rPr>
  </w:style>
  <w:style w:type="character" w:customStyle="1" w:styleId="QuoteChar">
    <w:name w:val="Quote Char"/>
    <w:basedOn w:val="DefaultParagraphFont"/>
    <w:link w:val="Quote"/>
    <w:uiPriority w:val="29"/>
    <w:rsid w:val="00F830F3"/>
    <w:rPr>
      <w:i/>
      <w:iCs/>
      <w:color w:val="404040" w:themeColor="text1" w:themeTint="BF"/>
    </w:rPr>
  </w:style>
  <w:style w:type="paragraph" w:styleId="ListParagraph">
    <w:name w:val="List Paragraph"/>
    <w:basedOn w:val="Normal"/>
    <w:qFormat/>
    <w:rsid w:val="00F830F3"/>
    <w:pPr>
      <w:ind w:left="720"/>
      <w:contextualSpacing/>
    </w:pPr>
  </w:style>
  <w:style w:type="character" w:styleId="IntenseEmphasis">
    <w:name w:val="Intense Emphasis"/>
    <w:basedOn w:val="DefaultParagraphFont"/>
    <w:uiPriority w:val="21"/>
    <w:qFormat/>
    <w:rsid w:val="00F830F3"/>
    <w:rPr>
      <w:i/>
      <w:iCs/>
      <w:color w:val="0F4761" w:themeColor="accent1" w:themeShade="BF"/>
    </w:rPr>
  </w:style>
  <w:style w:type="paragraph" w:styleId="IntenseQuote">
    <w:name w:val="Intense Quote"/>
    <w:basedOn w:val="Normal"/>
    <w:next w:val="Normal"/>
    <w:link w:val="IntenseQuoteChar"/>
    <w:uiPriority w:val="30"/>
    <w:qFormat/>
    <w:rsid w:val="00F830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0F3"/>
    <w:rPr>
      <w:i/>
      <w:iCs/>
      <w:color w:val="0F4761" w:themeColor="accent1" w:themeShade="BF"/>
    </w:rPr>
  </w:style>
  <w:style w:type="character" w:styleId="IntenseReference">
    <w:name w:val="Intense Reference"/>
    <w:basedOn w:val="DefaultParagraphFont"/>
    <w:uiPriority w:val="32"/>
    <w:qFormat/>
    <w:rsid w:val="00F830F3"/>
    <w:rPr>
      <w:b/>
      <w:bCs/>
      <w:smallCaps/>
      <w:color w:val="0F4761" w:themeColor="accent1" w:themeShade="BF"/>
      <w:spacing w:val="5"/>
    </w:rPr>
  </w:style>
  <w:style w:type="paragraph" w:customStyle="1" w:styleId="Title2">
    <w:name w:val="Title2"/>
    <w:basedOn w:val="Normal"/>
    <w:next w:val="Normal"/>
    <w:rsid w:val="00F830F3"/>
    <w:pPr>
      <w:tabs>
        <w:tab w:val="left" w:pos="648"/>
        <w:tab w:val="right" w:pos="7776"/>
        <w:tab w:val="left" w:pos="7848"/>
      </w:tabs>
    </w:pPr>
  </w:style>
  <w:style w:type="paragraph" w:styleId="Header">
    <w:name w:val="header"/>
    <w:basedOn w:val="Normal"/>
    <w:link w:val="HeaderChar"/>
    <w:rsid w:val="00F830F3"/>
    <w:pPr>
      <w:tabs>
        <w:tab w:val="center" w:pos="4320"/>
        <w:tab w:val="right" w:pos="8640"/>
      </w:tabs>
    </w:pPr>
  </w:style>
  <w:style w:type="character" w:customStyle="1" w:styleId="HeaderChar">
    <w:name w:val="Header Char"/>
    <w:basedOn w:val="DefaultParagraphFont"/>
    <w:link w:val="Header"/>
    <w:rsid w:val="00F830F3"/>
    <w:rPr>
      <w:rFonts w:ascii="Times New Roman" w:eastAsia="Times New Roman" w:hAnsi="Times New Roman" w:cs="Times New Roman"/>
      <w:kern w:val="0"/>
      <w:szCs w:val="20"/>
      <w14:ligatures w14:val="none"/>
    </w:rPr>
  </w:style>
  <w:style w:type="character" w:styleId="PageNumber">
    <w:name w:val="page number"/>
    <w:basedOn w:val="DefaultParagraphFont"/>
    <w:rsid w:val="00F830F3"/>
  </w:style>
  <w:style w:type="paragraph" w:styleId="NoSpacing">
    <w:name w:val="No Spacing"/>
    <w:uiPriority w:val="1"/>
    <w:qFormat/>
    <w:rsid w:val="00F830F3"/>
    <w:pPr>
      <w:spacing w:after="0" w:line="240" w:lineRule="auto"/>
    </w:pPr>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272BC8"/>
  </w:style>
  <w:style w:type="paragraph" w:styleId="Footer">
    <w:name w:val="footer"/>
    <w:basedOn w:val="Normal"/>
    <w:link w:val="FooterChar"/>
    <w:uiPriority w:val="99"/>
    <w:unhideWhenUsed/>
    <w:rsid w:val="00272BC8"/>
    <w:pPr>
      <w:tabs>
        <w:tab w:val="center" w:pos="4680"/>
        <w:tab w:val="right" w:pos="9360"/>
      </w:tabs>
    </w:pPr>
  </w:style>
  <w:style w:type="character" w:customStyle="1" w:styleId="FooterChar">
    <w:name w:val="Footer Char"/>
    <w:basedOn w:val="DefaultParagraphFont"/>
    <w:link w:val="Footer"/>
    <w:uiPriority w:val="99"/>
    <w:rsid w:val="00272BC8"/>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F356AC"/>
    <w:rPr>
      <w:sz w:val="20"/>
    </w:rPr>
  </w:style>
  <w:style w:type="character" w:customStyle="1" w:styleId="FootnoteTextChar">
    <w:name w:val="Footnote Text Char"/>
    <w:basedOn w:val="DefaultParagraphFont"/>
    <w:link w:val="FootnoteText"/>
    <w:uiPriority w:val="99"/>
    <w:semiHidden/>
    <w:rsid w:val="00F356AC"/>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F356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77496">
      <w:bodyDiv w:val="1"/>
      <w:marLeft w:val="0"/>
      <w:marRight w:val="0"/>
      <w:marTop w:val="0"/>
      <w:marBottom w:val="0"/>
      <w:divBdr>
        <w:top w:val="none" w:sz="0" w:space="0" w:color="auto"/>
        <w:left w:val="none" w:sz="0" w:space="0" w:color="auto"/>
        <w:bottom w:val="none" w:sz="0" w:space="0" w:color="auto"/>
        <w:right w:val="none" w:sz="0" w:space="0" w:color="auto"/>
      </w:divBdr>
    </w:div>
    <w:div w:id="623459448">
      <w:bodyDiv w:val="1"/>
      <w:marLeft w:val="0"/>
      <w:marRight w:val="0"/>
      <w:marTop w:val="0"/>
      <w:marBottom w:val="0"/>
      <w:divBdr>
        <w:top w:val="none" w:sz="0" w:space="0" w:color="auto"/>
        <w:left w:val="none" w:sz="0" w:space="0" w:color="auto"/>
        <w:bottom w:val="none" w:sz="0" w:space="0" w:color="auto"/>
        <w:right w:val="none" w:sz="0" w:space="0" w:color="auto"/>
      </w:divBdr>
    </w:div>
    <w:div w:id="749349820">
      <w:bodyDiv w:val="1"/>
      <w:marLeft w:val="0"/>
      <w:marRight w:val="0"/>
      <w:marTop w:val="0"/>
      <w:marBottom w:val="0"/>
      <w:divBdr>
        <w:top w:val="none" w:sz="0" w:space="0" w:color="auto"/>
        <w:left w:val="none" w:sz="0" w:space="0" w:color="auto"/>
        <w:bottom w:val="none" w:sz="0" w:space="0" w:color="auto"/>
        <w:right w:val="none" w:sz="0" w:space="0" w:color="auto"/>
      </w:divBdr>
    </w:div>
    <w:div w:id="213597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AF30F-7B9A-4BFF-956B-C3C433D73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823</Words>
  <Characters>4696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Gladys J. Burgos Torres</cp:lastModifiedBy>
  <cp:revision>4</cp:revision>
  <cp:lastPrinted>2025-03-24T14:00:00Z</cp:lastPrinted>
  <dcterms:created xsi:type="dcterms:W3CDTF">2025-03-21T18:09:00Z</dcterms:created>
  <dcterms:modified xsi:type="dcterms:W3CDTF">2025-03-24T14:00:00Z</dcterms:modified>
</cp:coreProperties>
</file>