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38F32" w14:textId="77777777" w:rsidR="00A6608B" w:rsidRDefault="00A6608B" w:rsidP="00A6608B">
      <w:pPr>
        <w:suppressLineNumbers/>
        <w:rPr>
          <w:rFonts w:ascii="Book Antiqua" w:hAnsi="Book Antiqua"/>
          <w:b/>
          <w:szCs w:val="24"/>
          <w:lang w:val="es-ES_tradnl"/>
        </w:rPr>
      </w:pPr>
      <w:r w:rsidRPr="00A6608B">
        <w:rPr>
          <w:rFonts w:ascii="Book Antiqua" w:hAnsi="Book Antiqua"/>
          <w:b/>
          <w:bCs/>
          <w:szCs w:val="24"/>
          <w:lang w:val="es-ES_tradnl"/>
        </w:rPr>
        <w:t>(</w:t>
      </w:r>
      <w:r w:rsidR="00475FC3" w:rsidRPr="00A6608B">
        <w:rPr>
          <w:rFonts w:ascii="Book Antiqua" w:hAnsi="Book Antiqua"/>
          <w:b/>
          <w:szCs w:val="24"/>
          <w:lang w:val="es-ES_tradnl"/>
        </w:rPr>
        <w:t xml:space="preserve">P. de la C. </w:t>
      </w:r>
      <w:r w:rsidR="003B0CC3" w:rsidRPr="00A6608B">
        <w:rPr>
          <w:rFonts w:ascii="Book Antiqua" w:hAnsi="Book Antiqua"/>
          <w:b/>
          <w:szCs w:val="24"/>
          <w:lang w:val="es-ES_tradnl"/>
        </w:rPr>
        <w:t>437</w:t>
      </w:r>
      <w:r w:rsidRPr="00A6608B">
        <w:rPr>
          <w:rFonts w:ascii="Book Antiqua" w:hAnsi="Book Antiqua"/>
          <w:b/>
          <w:szCs w:val="24"/>
          <w:lang w:val="es-ES_tradnl"/>
        </w:rPr>
        <w:t>)</w:t>
      </w:r>
    </w:p>
    <w:p w14:paraId="03C15FDD" w14:textId="77777777" w:rsidR="00A6608B" w:rsidRDefault="00A6608B" w:rsidP="00A6608B">
      <w:pPr>
        <w:suppressLineNumbers/>
        <w:rPr>
          <w:rFonts w:ascii="Book Antiqua" w:hAnsi="Book Antiqua"/>
          <w:b/>
          <w:szCs w:val="24"/>
          <w:lang w:val="es-ES_tradnl"/>
        </w:rPr>
      </w:pPr>
    </w:p>
    <w:p w14:paraId="200AB0C0" w14:textId="79BDDC82" w:rsidR="00475FC3" w:rsidRPr="00A6608B" w:rsidRDefault="00475FC3" w:rsidP="006E5DB6">
      <w:pPr>
        <w:suppressLineNumbers/>
        <w:ind w:left="3600" w:firstLine="720"/>
        <w:rPr>
          <w:rFonts w:ascii="Book Antiqua" w:hAnsi="Book Antiqua"/>
          <w:b/>
          <w:szCs w:val="24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1D00E7BC" w14:textId="77777777" w:rsidR="00475FC3" w:rsidRDefault="00475FC3" w:rsidP="00DB6910">
      <w:pPr>
        <w:suppressLineNumbers/>
        <w:rPr>
          <w:rFonts w:ascii="Book Antiqua" w:hAnsi="Book Antiqua"/>
          <w:lang w:val="es-PR"/>
        </w:rPr>
      </w:pPr>
    </w:p>
    <w:p w14:paraId="335F508D" w14:textId="77777777" w:rsidR="006E5DB6" w:rsidRPr="00475FC3" w:rsidRDefault="006E5DB6" w:rsidP="00DB6910">
      <w:pPr>
        <w:suppressLineNumbers/>
        <w:rPr>
          <w:rFonts w:ascii="Book Antiqua" w:hAnsi="Book Antiqua"/>
          <w:lang w:val="es-PR"/>
        </w:rPr>
      </w:pPr>
    </w:p>
    <w:p w14:paraId="46C6E440" w14:textId="62E28F14" w:rsidR="00475FC3" w:rsidRPr="004E062C" w:rsidRDefault="00475FC3" w:rsidP="00DB6910">
      <w:pPr>
        <w:pStyle w:val="BodyTextIndent"/>
        <w:suppressLineNumbers/>
        <w:spacing w:after="0"/>
        <w:ind w:left="720" w:hanging="720"/>
        <w:jc w:val="both"/>
        <w:rPr>
          <w:rFonts w:ascii="Book Antiqua" w:hAnsi="Book Antiqua"/>
        </w:rPr>
      </w:pPr>
      <w:r w:rsidRPr="004E062C">
        <w:rPr>
          <w:rFonts w:ascii="Book Antiqua" w:hAnsi="Book Antiqua"/>
        </w:rPr>
        <w:t>Para enmendar</w:t>
      </w:r>
      <w:r>
        <w:rPr>
          <w:rFonts w:ascii="Book Antiqua" w:hAnsi="Book Antiqua"/>
        </w:rPr>
        <w:t xml:space="preserve"> </w:t>
      </w:r>
      <w:r w:rsidRPr="00475FC3">
        <w:rPr>
          <w:rFonts w:ascii="Book Antiqua" w:hAnsi="Book Antiqua"/>
        </w:rPr>
        <w:t>el Artículo</w:t>
      </w:r>
      <w:r w:rsidRPr="004E062C">
        <w:rPr>
          <w:rFonts w:ascii="Book Antiqua" w:hAnsi="Book Antiqua"/>
        </w:rPr>
        <w:t xml:space="preserve"> 33 de la Ley 355-1999, según enmendada, conocida como “Ley Uniforme de Rótulos y Anuncios de Puerto Rico de 1999”, con el propósito de </w:t>
      </w:r>
      <w:r w:rsidR="00A6608B">
        <w:rPr>
          <w:rFonts w:ascii="Book Antiqua" w:hAnsi="Book Antiqua"/>
        </w:rPr>
        <w:t>establecer</w:t>
      </w:r>
      <w:r w:rsidRPr="004E062C">
        <w:rPr>
          <w:rFonts w:ascii="Book Antiqua" w:hAnsi="Book Antiqua"/>
        </w:rPr>
        <w:t xml:space="preserve"> que el treinta y cinco por ciento (35%) de los ingresos por concepto de derechos e imposición de multas conforme a las disposiciones de dicha Ley, serán remitidos a los municipios en los cuales ubiquen los rótulos y anuncios que los generaron, independientemente de que sean autónomos o cuenten con una oficina de </w:t>
      </w:r>
      <w:proofErr w:type="spellStart"/>
      <w:r w:rsidRPr="004E062C">
        <w:rPr>
          <w:rFonts w:ascii="Book Antiqua" w:hAnsi="Book Antiqua"/>
        </w:rPr>
        <w:t>permisología</w:t>
      </w:r>
      <w:proofErr w:type="spellEnd"/>
      <w:r w:rsidRPr="004E062C">
        <w:rPr>
          <w:rFonts w:ascii="Book Antiqua" w:hAnsi="Book Antiqua"/>
        </w:rPr>
        <w:t xml:space="preserve"> establecida.</w:t>
      </w:r>
    </w:p>
    <w:p w14:paraId="572F33A1" w14:textId="77777777" w:rsidR="00475FC3" w:rsidRPr="00475FC3" w:rsidRDefault="00475FC3" w:rsidP="00DB6910">
      <w:pPr>
        <w:suppressLineNumbers/>
        <w:jc w:val="both"/>
        <w:rPr>
          <w:rFonts w:ascii="Book Antiqua" w:hAnsi="Book Antiqua"/>
          <w:lang w:val="es-PR"/>
        </w:rPr>
      </w:pPr>
    </w:p>
    <w:p w14:paraId="48DC9329" w14:textId="77777777" w:rsidR="00475FC3" w:rsidRPr="00475FC3" w:rsidRDefault="00475FC3" w:rsidP="00DB6910">
      <w:pPr>
        <w:suppressLineNumbers/>
        <w:jc w:val="center"/>
        <w:rPr>
          <w:rFonts w:ascii="Book Antiqua" w:hAnsi="Book Antiqua"/>
          <w:lang w:val="es-PR"/>
        </w:rPr>
      </w:pPr>
      <w:r w:rsidRPr="00475FC3">
        <w:rPr>
          <w:rFonts w:ascii="Book Antiqua" w:hAnsi="Book Antiqua"/>
          <w:lang w:val="es-PR"/>
        </w:rPr>
        <w:t>EXPOSICIÓN DE MOTIVOS</w:t>
      </w:r>
    </w:p>
    <w:p w14:paraId="51066668" w14:textId="77777777" w:rsidR="00475FC3" w:rsidRPr="00475FC3" w:rsidRDefault="00475FC3" w:rsidP="00DB6910">
      <w:pPr>
        <w:suppressLineNumbers/>
        <w:jc w:val="center"/>
        <w:rPr>
          <w:rFonts w:ascii="Book Antiqua" w:hAnsi="Book Antiqua"/>
          <w:b/>
          <w:lang w:val="es-PR"/>
        </w:rPr>
      </w:pPr>
    </w:p>
    <w:p w14:paraId="7D938DCD" w14:textId="5A9469EC" w:rsidR="00475FC3" w:rsidRPr="004E062C" w:rsidRDefault="00475FC3" w:rsidP="00267FD0">
      <w:pPr>
        <w:pStyle w:val="BodyText"/>
        <w:suppressLineNumbers/>
        <w:spacing w:after="0"/>
        <w:ind w:firstLine="720"/>
        <w:jc w:val="both"/>
        <w:rPr>
          <w:rFonts w:ascii="Book Antiqua" w:hAnsi="Book Antiqua" w:cs="Times New Roman"/>
        </w:rPr>
      </w:pPr>
      <w:r w:rsidRPr="002D4A23">
        <w:rPr>
          <w:rFonts w:ascii="Book Antiqua" w:hAnsi="Book Antiqua" w:cs="Times New Roman"/>
        </w:rPr>
        <w:t xml:space="preserve">La Ley 355-1999, según enmendada, </w:t>
      </w:r>
      <w:r w:rsidRPr="00475FC3">
        <w:rPr>
          <w:rFonts w:ascii="Book Antiqua" w:hAnsi="Book Antiqua" w:cs="Times New Roman"/>
        </w:rPr>
        <w:t xml:space="preserve">conocida como “Ley Uniforme de Rótulos y Anuncios de Puerto Rico de 1999”, </w:t>
      </w:r>
      <w:r w:rsidRPr="002D4A23">
        <w:rPr>
          <w:rFonts w:ascii="Book Antiqua" w:hAnsi="Book Antiqua" w:cs="Times New Roman"/>
        </w:rPr>
        <w:t xml:space="preserve">estableció la política pública del Gobierno de Puerto Rico en el área de la industria de rótulos y anuncios. Esta Ley asignó a </w:t>
      </w:r>
      <w:r>
        <w:rPr>
          <w:rFonts w:ascii="Book Antiqua" w:hAnsi="Book Antiqua" w:cs="Times New Roman"/>
        </w:rPr>
        <w:t xml:space="preserve">la entonces </w:t>
      </w:r>
      <w:r w:rsidRPr="002D4A23">
        <w:rPr>
          <w:rFonts w:ascii="Book Antiqua" w:hAnsi="Book Antiqua" w:cs="Times New Roman"/>
        </w:rPr>
        <w:t>Administración de Reglamentos y Permisos (ARPE), hoy Oficina de Gerencia de Permisos (</w:t>
      </w:r>
      <w:proofErr w:type="spellStart"/>
      <w:r w:rsidRPr="002D4A23">
        <w:rPr>
          <w:rFonts w:ascii="Book Antiqua" w:hAnsi="Book Antiqua" w:cs="Times New Roman"/>
        </w:rPr>
        <w:t>OGPe</w:t>
      </w:r>
      <w:proofErr w:type="spellEnd"/>
      <w:r w:rsidRPr="002D4A23">
        <w:rPr>
          <w:rFonts w:ascii="Book Antiqua" w:hAnsi="Book Antiqua" w:cs="Times New Roman"/>
        </w:rPr>
        <w:t>)</w:t>
      </w:r>
      <w:r>
        <w:rPr>
          <w:rFonts w:ascii="Book Antiqua" w:hAnsi="Book Antiqua" w:cs="Times New Roman"/>
        </w:rPr>
        <w:t>,</w:t>
      </w:r>
      <w:r w:rsidRPr="002D4A23">
        <w:rPr>
          <w:rFonts w:ascii="Book Antiqua" w:hAnsi="Book Antiqua" w:cs="Times New Roman"/>
        </w:rPr>
        <w:t xml:space="preserve"> la responsabilidad por su implantación y </w:t>
      </w:r>
      <w:r w:rsidRPr="004E062C">
        <w:rPr>
          <w:rFonts w:ascii="Book Antiqua" w:hAnsi="Book Antiqua" w:cs="Times New Roman"/>
        </w:rPr>
        <w:t xml:space="preserve">fiscalización. Este estatuto especial unió en un solo cuerpo de ley todas las normas que </w:t>
      </w:r>
      <w:r w:rsidRPr="00475FC3">
        <w:rPr>
          <w:rFonts w:ascii="Book Antiqua" w:hAnsi="Book Antiqua" w:cs="Times New Roman"/>
        </w:rPr>
        <w:t>regulan</w:t>
      </w:r>
      <w:r>
        <w:rPr>
          <w:rFonts w:ascii="Book Antiqua" w:hAnsi="Book Antiqua" w:cs="Times New Roman"/>
        </w:rPr>
        <w:t xml:space="preserve"> </w:t>
      </w:r>
      <w:r w:rsidRPr="004E062C">
        <w:rPr>
          <w:rFonts w:ascii="Book Antiqua" w:hAnsi="Book Antiqua" w:cs="Times New Roman"/>
        </w:rPr>
        <w:t xml:space="preserve">la instalación de rótulos y anuncios. </w:t>
      </w:r>
    </w:p>
    <w:p w14:paraId="20B3F280" w14:textId="77777777" w:rsidR="00475FC3" w:rsidRPr="002D4A23" w:rsidRDefault="00475FC3" w:rsidP="00267FD0">
      <w:pPr>
        <w:pStyle w:val="BodyText"/>
        <w:suppressLineNumbers/>
        <w:spacing w:after="0"/>
        <w:ind w:firstLine="720"/>
        <w:jc w:val="both"/>
        <w:rPr>
          <w:rFonts w:ascii="Book Antiqua" w:hAnsi="Book Antiqua" w:cs="Times New Roman"/>
        </w:rPr>
      </w:pPr>
    </w:p>
    <w:p w14:paraId="326AEA3F" w14:textId="67124D57" w:rsidR="00475FC3" w:rsidRPr="00475FC3" w:rsidRDefault="00475FC3" w:rsidP="00267FD0">
      <w:pPr>
        <w:pStyle w:val="BodyText"/>
        <w:suppressLineNumbers/>
        <w:spacing w:after="0"/>
        <w:ind w:firstLine="720"/>
        <w:jc w:val="both"/>
        <w:rPr>
          <w:rFonts w:ascii="Book Antiqua" w:hAnsi="Book Antiqua" w:cs="Times New Roman"/>
        </w:rPr>
      </w:pPr>
      <w:r w:rsidRPr="002D4A23">
        <w:rPr>
          <w:rFonts w:ascii="Book Antiqua" w:hAnsi="Book Antiqua" w:cs="Times New Roman"/>
        </w:rPr>
        <w:t xml:space="preserve">El alcance y propósitos de la citada ley fue examinado por nuestro más alto foro judicial en </w:t>
      </w:r>
      <w:r w:rsidRPr="00144942">
        <w:rPr>
          <w:rFonts w:ascii="Book Antiqua" w:hAnsi="Book Antiqua" w:cs="Times New Roman"/>
        </w:rPr>
        <w:t>Gobierno Municipal Autónomo de Ponce v. Miguel Caraballo Torres</w:t>
      </w:r>
      <w:r w:rsidRPr="00144942">
        <w:rPr>
          <w:rFonts w:ascii="Book Antiqua" w:hAnsi="Book Antiqua" w:cs="Times New Roman"/>
          <w:i/>
        </w:rPr>
        <w:t>,</w:t>
      </w:r>
      <w:r w:rsidRPr="002D4A23">
        <w:rPr>
          <w:rFonts w:ascii="Book Antiqua" w:hAnsi="Book Antiqua" w:cs="Times New Roman"/>
        </w:rPr>
        <w:t xml:space="preserve"> </w:t>
      </w:r>
      <w:r>
        <w:rPr>
          <w:rFonts w:ascii="Book Antiqua" w:hAnsi="Book Antiqua" w:cs="Times New Roman"/>
        </w:rPr>
        <w:t>166 DPR 723 (2006)</w:t>
      </w:r>
      <w:r w:rsidRPr="002D4A23">
        <w:rPr>
          <w:rFonts w:ascii="Book Antiqua" w:hAnsi="Book Antiqua" w:cs="Times New Roman"/>
        </w:rPr>
        <w:t xml:space="preserve">. En dicha Opinión, el Tribunal Supremo </w:t>
      </w:r>
      <w:r w:rsidRPr="00475FC3">
        <w:rPr>
          <w:rFonts w:ascii="Book Antiqua" w:hAnsi="Book Antiqua" w:cs="Times New Roman"/>
        </w:rPr>
        <w:t xml:space="preserve">determinó </w:t>
      </w:r>
      <w:r w:rsidRPr="002D4A23">
        <w:rPr>
          <w:rFonts w:ascii="Book Antiqua" w:hAnsi="Book Antiqua" w:cs="Times New Roman"/>
        </w:rPr>
        <w:t>que el propósito de la Asamblea Legislativa al aprobar la Ley 355-1999 fue depositar en la ARPE la implantación de toda reglamentación referente a la industria de rótulos y anuncios, excepto por cruza</w:t>
      </w:r>
      <w:r>
        <w:rPr>
          <w:rFonts w:ascii="Book Antiqua" w:hAnsi="Book Antiqua" w:cs="Times New Roman"/>
        </w:rPr>
        <w:t xml:space="preserve"> </w:t>
      </w:r>
      <w:r w:rsidRPr="002D4A23">
        <w:rPr>
          <w:rFonts w:ascii="Book Antiqua" w:hAnsi="Book Antiqua" w:cs="Times New Roman"/>
        </w:rPr>
        <w:t>calles, independientemente de que un municipio haya recibido la delegación expresa del Estado mediante convenio de transferencia de jerarquías.</w:t>
      </w:r>
      <w:r>
        <w:rPr>
          <w:rFonts w:ascii="Book Antiqua" w:hAnsi="Book Antiqua" w:cs="Times New Roman"/>
        </w:rPr>
        <w:t xml:space="preserve"> </w:t>
      </w:r>
      <w:r w:rsidRPr="00475FC3">
        <w:rPr>
          <w:rFonts w:ascii="Book Antiqua" w:hAnsi="Book Antiqua" w:cs="Times New Roman"/>
        </w:rPr>
        <w:t>Reiteró,</w:t>
      </w:r>
      <w:r w:rsidRPr="002D4A23">
        <w:rPr>
          <w:rFonts w:ascii="Book Antiqua" w:hAnsi="Book Antiqua" w:cs="Times New Roman"/>
        </w:rPr>
        <w:t xml:space="preserve"> además, que sólo los municipios con oficina de </w:t>
      </w:r>
      <w:proofErr w:type="spellStart"/>
      <w:r w:rsidRPr="002D4A23">
        <w:rPr>
          <w:rFonts w:ascii="Book Antiqua" w:hAnsi="Book Antiqua" w:cs="Times New Roman"/>
        </w:rPr>
        <w:t>permisología</w:t>
      </w:r>
      <w:proofErr w:type="spellEnd"/>
      <w:r w:rsidRPr="002D4A23">
        <w:rPr>
          <w:rFonts w:ascii="Book Antiqua" w:hAnsi="Book Antiqua" w:cs="Times New Roman"/>
        </w:rPr>
        <w:t xml:space="preserve"> establecida tienen derecho a recibir el treinta y cinco por ciento (35%) de los derechos que recibía la ARPE y que ahora los recibe la </w:t>
      </w:r>
      <w:proofErr w:type="spellStart"/>
      <w:r w:rsidRPr="002D4A23">
        <w:rPr>
          <w:rFonts w:ascii="Book Antiqua" w:hAnsi="Book Antiqua" w:cs="Times New Roman"/>
        </w:rPr>
        <w:t>OGPe</w:t>
      </w:r>
      <w:proofErr w:type="spellEnd"/>
      <w:r w:rsidRPr="002D4A23">
        <w:rPr>
          <w:rFonts w:ascii="Book Antiqua" w:hAnsi="Book Antiqua" w:cs="Times New Roman"/>
        </w:rPr>
        <w:t>, relacionados con la implantación de la Ley 355</w:t>
      </w:r>
      <w:r w:rsidRPr="00475FC3">
        <w:rPr>
          <w:rFonts w:ascii="Book Antiqua" w:hAnsi="Book Antiqua" w:cs="Times New Roman"/>
        </w:rPr>
        <w:t xml:space="preserve">, </w:t>
      </w:r>
      <w:r w:rsidRPr="001E1EC6">
        <w:rPr>
          <w:rFonts w:ascii="Book Antiqua" w:hAnsi="Book Antiqua" w:cs="Times New Roman"/>
          <w:i/>
          <w:iCs/>
        </w:rPr>
        <w:t>supra</w:t>
      </w:r>
      <w:r w:rsidRPr="00475FC3">
        <w:rPr>
          <w:rFonts w:ascii="Book Antiqua" w:hAnsi="Book Antiqua" w:cs="Times New Roman"/>
        </w:rPr>
        <w:t>.</w:t>
      </w:r>
    </w:p>
    <w:p w14:paraId="4AA9533F" w14:textId="77777777" w:rsidR="00475FC3" w:rsidRPr="00475FC3" w:rsidRDefault="00475FC3" w:rsidP="00267FD0">
      <w:pPr>
        <w:suppressLineNumbers/>
        <w:tabs>
          <w:tab w:val="left" w:pos="3420"/>
        </w:tabs>
        <w:ind w:firstLine="720"/>
        <w:jc w:val="both"/>
        <w:rPr>
          <w:rFonts w:ascii="Book Antiqua" w:hAnsi="Book Antiqua"/>
          <w:lang w:val="es-PR"/>
        </w:rPr>
      </w:pPr>
    </w:p>
    <w:p w14:paraId="5CEB61FD" w14:textId="369CBB91" w:rsidR="00475FC3" w:rsidRPr="00475FC3" w:rsidRDefault="00475FC3" w:rsidP="00267FD0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475FC3">
        <w:rPr>
          <w:rFonts w:ascii="Book Antiqua" w:hAnsi="Book Antiqua"/>
          <w:lang w:val="es-PR"/>
        </w:rPr>
        <w:t xml:space="preserve">La colocación de rótulos y anuncios en las carreteras y municipios de Puerto Rico se ha desarrollado vertiginosamente. La realidad es que aun cuando la jurisdicción sobre este asunto recae en la </w:t>
      </w:r>
      <w:proofErr w:type="spellStart"/>
      <w:r w:rsidRPr="00475FC3">
        <w:rPr>
          <w:rFonts w:ascii="Book Antiqua" w:hAnsi="Book Antiqua"/>
          <w:lang w:val="es-PR"/>
        </w:rPr>
        <w:t>OGPe</w:t>
      </w:r>
      <w:proofErr w:type="spellEnd"/>
      <w:r w:rsidRPr="00475FC3">
        <w:rPr>
          <w:rFonts w:ascii="Book Antiqua" w:hAnsi="Book Antiqua"/>
          <w:lang w:val="es-PR"/>
        </w:rPr>
        <w:t xml:space="preserve">, son los municipios los que proveen la infraestructura necesaria para la rotulación y los que se ven directamente afectados por las violaciones de ley. Además, el efecto perjudicial del incumplimiento de las disposiciones de la Ley 355-1999 es igual en los municipios con oficinas de permisos y en los que no las tienen. </w:t>
      </w:r>
    </w:p>
    <w:p w14:paraId="4D1B1966" w14:textId="77777777" w:rsidR="00475FC3" w:rsidRPr="00475FC3" w:rsidRDefault="00475FC3" w:rsidP="00267FD0">
      <w:pPr>
        <w:suppressLineNumbers/>
        <w:tabs>
          <w:tab w:val="left" w:pos="3420"/>
        </w:tabs>
        <w:ind w:firstLine="720"/>
        <w:jc w:val="both"/>
        <w:rPr>
          <w:rFonts w:ascii="Book Antiqua" w:hAnsi="Book Antiqua"/>
          <w:lang w:val="es-PR"/>
        </w:rPr>
      </w:pPr>
    </w:p>
    <w:p w14:paraId="7511FA8C" w14:textId="35D471FC" w:rsidR="00475FC3" w:rsidRPr="00475FC3" w:rsidRDefault="00475FC3" w:rsidP="00267FD0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475FC3">
        <w:rPr>
          <w:rFonts w:ascii="Book Antiqua" w:hAnsi="Book Antiqua"/>
          <w:lang w:val="es-PR"/>
        </w:rPr>
        <w:t xml:space="preserve">Esta Asamblea Legislativa es solidaria con la preocupación de los gobiernos municipales por allegar recursos económicos a sus arcas. Por lo tanto, considera </w:t>
      </w:r>
      <w:r w:rsidRPr="00475FC3">
        <w:rPr>
          <w:rFonts w:ascii="Book Antiqua" w:hAnsi="Book Antiqua"/>
          <w:lang w:val="es-PR"/>
        </w:rPr>
        <w:lastRenderedPageBreak/>
        <w:t xml:space="preserve">apropiado enmendar el Artículo 33 de la Ley 355-1999, según enmendada, conocida como “Ley Uniforme de Rótulos y Anuncios de Puerto Rico de 1999”, para disponer que el treinta y cinco por ciento (35%) de los derechos y multas cobradas será remitido a los municipios en los cuales ubiquen los rótulos y anuncios que los generaron, independientemente de que sean autónomos, o que medie algún convenio de transferencia de jerarquías, o que cuenten con una oficina de </w:t>
      </w:r>
      <w:proofErr w:type="spellStart"/>
      <w:r w:rsidRPr="00475FC3">
        <w:rPr>
          <w:rFonts w:ascii="Book Antiqua" w:hAnsi="Book Antiqua"/>
          <w:lang w:val="es-PR"/>
        </w:rPr>
        <w:t>permisología</w:t>
      </w:r>
      <w:proofErr w:type="spellEnd"/>
      <w:r w:rsidRPr="00475FC3">
        <w:rPr>
          <w:rFonts w:ascii="Book Antiqua" w:hAnsi="Book Antiqua"/>
          <w:lang w:val="es-PR"/>
        </w:rPr>
        <w:t xml:space="preserve"> establecida. </w:t>
      </w:r>
    </w:p>
    <w:p w14:paraId="4DC5CB0A" w14:textId="77777777" w:rsidR="00475FC3" w:rsidRPr="00475FC3" w:rsidRDefault="00475FC3" w:rsidP="00DB6910">
      <w:pPr>
        <w:suppressLineNumbers/>
        <w:jc w:val="both"/>
        <w:rPr>
          <w:rFonts w:ascii="Book Antiqua" w:hAnsi="Book Antiqua"/>
          <w:i/>
          <w:lang w:val="es-PR"/>
        </w:rPr>
      </w:pPr>
    </w:p>
    <w:p w14:paraId="1C0A3364" w14:textId="59BEBC3F" w:rsidR="00475FC3" w:rsidRDefault="00475FC3" w:rsidP="00FF6A07">
      <w:pPr>
        <w:suppressLineNumbers/>
        <w:spacing w:line="480" w:lineRule="auto"/>
        <w:jc w:val="both"/>
        <w:rPr>
          <w:rFonts w:ascii="Book Antiqua" w:hAnsi="Book Antiqua"/>
          <w:i/>
          <w:lang w:val="es-PR"/>
        </w:rPr>
      </w:pPr>
      <w:r w:rsidRPr="00475FC3">
        <w:rPr>
          <w:rFonts w:ascii="Book Antiqua" w:hAnsi="Book Antiqua"/>
          <w:i/>
          <w:lang w:val="es-PR"/>
        </w:rPr>
        <w:t>DECRÉTASE POR LA ASAMBLEA LEGISLATIVA DE PUERTO RICO:</w:t>
      </w:r>
    </w:p>
    <w:p w14:paraId="2B5B71CD" w14:textId="12BFF66D" w:rsidR="00475FC3" w:rsidRDefault="00475FC3" w:rsidP="00A6608B">
      <w:pPr>
        <w:pStyle w:val="BodyText"/>
        <w:spacing w:after="0"/>
        <w:ind w:firstLine="720"/>
        <w:jc w:val="both"/>
        <w:rPr>
          <w:rFonts w:ascii="Book Antiqua" w:hAnsi="Book Antiqua"/>
        </w:rPr>
      </w:pPr>
      <w:r w:rsidRPr="00FF6A07">
        <w:rPr>
          <w:rFonts w:ascii="Book Antiqua" w:hAnsi="Book Antiqua"/>
        </w:rPr>
        <w:t>Sección 1.- Se enmienda el Artículo 33 de la Ley 355-1999, según enmendada, para que lea como sigue:</w:t>
      </w:r>
    </w:p>
    <w:p w14:paraId="1A00AE1D" w14:textId="77777777" w:rsidR="00A6608B" w:rsidRPr="00FF6A07" w:rsidRDefault="00A6608B" w:rsidP="00A6608B">
      <w:pPr>
        <w:pStyle w:val="BodyText"/>
        <w:spacing w:after="0"/>
        <w:ind w:firstLine="720"/>
        <w:jc w:val="both"/>
        <w:rPr>
          <w:rFonts w:ascii="Book Antiqua" w:hAnsi="Book Antiqua"/>
        </w:rPr>
      </w:pPr>
    </w:p>
    <w:p w14:paraId="6E297E57" w14:textId="77777777" w:rsidR="00475FC3" w:rsidRDefault="00475FC3" w:rsidP="00A6608B">
      <w:pPr>
        <w:pStyle w:val="BodyText"/>
        <w:spacing w:after="0"/>
        <w:ind w:firstLine="720"/>
        <w:rPr>
          <w:rFonts w:ascii="Book Antiqua" w:hAnsi="Book Antiqua"/>
        </w:rPr>
      </w:pPr>
      <w:r w:rsidRPr="00FF6A07">
        <w:rPr>
          <w:rFonts w:ascii="Book Antiqua" w:hAnsi="Book Antiqua"/>
        </w:rPr>
        <w:t>“Artículo 33.- Uso de Ingresos Generados por esta Ley.</w:t>
      </w:r>
    </w:p>
    <w:p w14:paraId="3566FA5E" w14:textId="77777777" w:rsidR="00A6608B" w:rsidRPr="00FF6A07" w:rsidRDefault="00A6608B" w:rsidP="00A6608B">
      <w:pPr>
        <w:pStyle w:val="BodyText"/>
        <w:spacing w:after="0"/>
        <w:ind w:firstLine="720"/>
        <w:rPr>
          <w:rFonts w:ascii="Book Antiqua" w:hAnsi="Book Antiqua"/>
        </w:rPr>
      </w:pPr>
    </w:p>
    <w:p w14:paraId="48E0CAA3" w14:textId="2CAD9D4C" w:rsidR="00475FC3" w:rsidRDefault="00475FC3" w:rsidP="00A6608B">
      <w:pPr>
        <w:pStyle w:val="BodyText"/>
        <w:spacing w:after="0"/>
        <w:ind w:firstLine="720"/>
        <w:jc w:val="both"/>
        <w:rPr>
          <w:rFonts w:ascii="Book Antiqua" w:hAnsi="Book Antiqua"/>
        </w:rPr>
      </w:pPr>
      <w:r w:rsidRPr="00FF6A07">
        <w:rPr>
          <w:rFonts w:ascii="Book Antiqua" w:hAnsi="Book Antiqua"/>
        </w:rPr>
        <w:t xml:space="preserve">Los fondos recaudados por concepto del cobro de derechos e imposición de multas conforme a lo dispuesto en esta Ley ingresarán en el Fondo Especial de la Oficina de Gerencia de Permisos </w:t>
      </w:r>
      <w:r w:rsidR="00A6608B">
        <w:rPr>
          <w:rFonts w:ascii="Book Antiqua" w:hAnsi="Book Antiqua"/>
        </w:rPr>
        <w:t>(</w:t>
      </w:r>
      <w:proofErr w:type="spellStart"/>
      <w:r w:rsidR="00A6608B">
        <w:rPr>
          <w:rFonts w:ascii="Book Antiqua" w:hAnsi="Book Antiqua"/>
        </w:rPr>
        <w:t>OGPe</w:t>
      </w:r>
      <w:proofErr w:type="spellEnd"/>
      <w:r w:rsidR="00A6608B">
        <w:rPr>
          <w:rFonts w:ascii="Book Antiqua" w:hAnsi="Book Antiqua"/>
        </w:rPr>
        <w:t xml:space="preserve">) </w:t>
      </w:r>
      <w:r w:rsidRPr="00FF6A07">
        <w:rPr>
          <w:rFonts w:ascii="Book Antiqua" w:hAnsi="Book Antiqua"/>
        </w:rPr>
        <w:t xml:space="preserve">creado de conformidad con los Artículos 2.13 y 2.14 de la Ley 161-2009, según enmendada, para el beneficio de la </w:t>
      </w:r>
      <w:proofErr w:type="spellStart"/>
      <w:r w:rsidRPr="00FF6A07">
        <w:rPr>
          <w:rFonts w:ascii="Book Antiqua" w:hAnsi="Book Antiqua"/>
        </w:rPr>
        <w:t>OGPe</w:t>
      </w:r>
      <w:proofErr w:type="spellEnd"/>
      <w:r w:rsidRPr="00FF6A07">
        <w:rPr>
          <w:rFonts w:ascii="Book Antiqua" w:hAnsi="Book Antiqua"/>
        </w:rPr>
        <w:t xml:space="preserve">, excepto según se dispone en este Artículo. La </w:t>
      </w:r>
      <w:proofErr w:type="spellStart"/>
      <w:r w:rsidRPr="00FF6A07">
        <w:rPr>
          <w:rFonts w:ascii="Book Antiqua" w:hAnsi="Book Antiqua"/>
        </w:rPr>
        <w:t>OGPe</w:t>
      </w:r>
      <w:proofErr w:type="spellEnd"/>
      <w:r w:rsidRPr="00FF6A07">
        <w:rPr>
          <w:rFonts w:ascii="Book Antiqua" w:hAnsi="Book Antiqua"/>
        </w:rPr>
        <w:t xml:space="preserve"> utilizará dichos fondos para la implantación y fiscalización de esta Ley, así como para ejercer todos los poderes y facultades que le confiere la mencionada Ley 161. El uno por ciento (1%) de las cantidades recaudadas por concepto del pago de derechos y la imposición de multas de conformidad con lo dispuesto en esta Ley, podrá ser utilizado por el Comité para sufragar los gastos </w:t>
      </w:r>
      <w:r w:rsidR="00D87656" w:rsidRPr="00FF6A07">
        <w:rPr>
          <w:rFonts w:ascii="Book Antiqua" w:hAnsi="Book Antiqua"/>
        </w:rPr>
        <w:t xml:space="preserve">relacionados con el desempeño de los deberes y responsabilidades que se le imponen en esta Ley. Sin embargo, la </w:t>
      </w:r>
      <w:proofErr w:type="spellStart"/>
      <w:r w:rsidR="00D87656" w:rsidRPr="00FF6A07">
        <w:rPr>
          <w:rFonts w:ascii="Book Antiqua" w:hAnsi="Book Antiqua"/>
        </w:rPr>
        <w:t>OGPe</w:t>
      </w:r>
      <w:proofErr w:type="spellEnd"/>
      <w:r w:rsidR="00D87656" w:rsidRPr="00FF6A07">
        <w:rPr>
          <w:rFonts w:ascii="Book Antiqua" w:hAnsi="Book Antiqua"/>
        </w:rPr>
        <w:t xml:space="preserve"> retendrá el treinta y cinco por ciento (35%) de los derechos cobrados conforme a las disposiciones de esta Ley, el cual será remitido a los municipios en los cuales ubiquen los rótulos y anuncios que generaron el cobro de dichos derechos. La Oficina de Gerencia de Permisos remitirá anualmente a dichos municipios las cantidades correspondientes conforme la certificación que emitirá esta agencia anualmente, sobre los derechos recibidos por la expedición de permisos y renovación de marbetes a rótulos y anuncios ubicados en cada municipio.</w:t>
      </w:r>
      <w:r w:rsidRPr="00FF6A07">
        <w:rPr>
          <w:rFonts w:ascii="Book Antiqua" w:hAnsi="Book Antiqua"/>
        </w:rPr>
        <w:t>”</w:t>
      </w:r>
    </w:p>
    <w:p w14:paraId="6A10848D" w14:textId="77777777" w:rsidR="00A6608B" w:rsidRPr="00FF6A07" w:rsidRDefault="00A6608B" w:rsidP="00A6608B">
      <w:pPr>
        <w:pStyle w:val="BodyText"/>
        <w:spacing w:after="0"/>
        <w:ind w:firstLine="720"/>
        <w:jc w:val="both"/>
        <w:rPr>
          <w:rFonts w:ascii="Book Antiqua" w:hAnsi="Book Antiqua"/>
        </w:rPr>
      </w:pPr>
    </w:p>
    <w:p w14:paraId="0FA2575E" w14:textId="22A1EA6A" w:rsidR="00435C92" w:rsidRPr="00FF6A07" w:rsidRDefault="00475FC3" w:rsidP="00A6608B">
      <w:pPr>
        <w:ind w:firstLine="720"/>
        <w:jc w:val="both"/>
        <w:rPr>
          <w:rFonts w:ascii="Book Antiqua" w:hAnsi="Book Antiqua"/>
          <w:lang w:val="es-PR"/>
        </w:rPr>
      </w:pPr>
      <w:r w:rsidRPr="00FF6A07">
        <w:rPr>
          <w:rFonts w:ascii="Book Antiqua" w:hAnsi="Book Antiqua"/>
          <w:lang w:val="es-PR"/>
        </w:rPr>
        <w:t xml:space="preserve">Sección 2.- Esta Ley comenzará a regir inmediatamente después de su aprobación. </w:t>
      </w:r>
    </w:p>
    <w:sectPr w:rsidR="00435C92" w:rsidRPr="00FF6A07" w:rsidSect="00A6608B">
      <w:headerReference w:type="default" r:id="rId7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3AF81" w14:textId="77777777" w:rsidR="002303B3" w:rsidRDefault="002303B3">
      <w:r>
        <w:separator/>
      </w:r>
    </w:p>
  </w:endnote>
  <w:endnote w:type="continuationSeparator" w:id="0">
    <w:p w14:paraId="49AD50AC" w14:textId="77777777" w:rsidR="002303B3" w:rsidRDefault="00230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266E5" w14:textId="77777777" w:rsidR="002303B3" w:rsidRDefault="002303B3">
      <w:r>
        <w:separator/>
      </w:r>
    </w:p>
  </w:footnote>
  <w:footnote w:type="continuationSeparator" w:id="0">
    <w:p w14:paraId="11512FA4" w14:textId="77777777" w:rsidR="002303B3" w:rsidRDefault="00230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55615" w14:textId="77777777" w:rsidR="001E1EC6" w:rsidRDefault="001E1EC6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32D53"/>
    <w:multiLevelType w:val="hybridMultilevel"/>
    <w:tmpl w:val="77B4CEC2"/>
    <w:lvl w:ilvl="0" w:tplc="65003DE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E43C8A"/>
    <w:multiLevelType w:val="hybridMultilevel"/>
    <w:tmpl w:val="2494A460"/>
    <w:lvl w:ilvl="0" w:tplc="095EC76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39651019">
    <w:abstractNumId w:val="0"/>
  </w:num>
  <w:num w:numId="2" w16cid:durableId="403533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FC3"/>
    <w:rsid w:val="00037D75"/>
    <w:rsid w:val="0010423A"/>
    <w:rsid w:val="001358DA"/>
    <w:rsid w:val="001E1EC6"/>
    <w:rsid w:val="002303B3"/>
    <w:rsid w:val="00261D4A"/>
    <w:rsid w:val="00267FD0"/>
    <w:rsid w:val="00272E57"/>
    <w:rsid w:val="002A1A35"/>
    <w:rsid w:val="00381488"/>
    <w:rsid w:val="003B0CC3"/>
    <w:rsid w:val="003F3004"/>
    <w:rsid w:val="00414BE4"/>
    <w:rsid w:val="00435C92"/>
    <w:rsid w:val="00475FC3"/>
    <w:rsid w:val="005B0A78"/>
    <w:rsid w:val="00656DA1"/>
    <w:rsid w:val="00671CFE"/>
    <w:rsid w:val="006B7CE1"/>
    <w:rsid w:val="006C60D4"/>
    <w:rsid w:val="006D084E"/>
    <w:rsid w:val="006E5DB6"/>
    <w:rsid w:val="00760695"/>
    <w:rsid w:val="007B6BD4"/>
    <w:rsid w:val="007E15A8"/>
    <w:rsid w:val="00813BF0"/>
    <w:rsid w:val="00854079"/>
    <w:rsid w:val="008744DB"/>
    <w:rsid w:val="00950F3A"/>
    <w:rsid w:val="009A27F9"/>
    <w:rsid w:val="00A30329"/>
    <w:rsid w:val="00A6608B"/>
    <w:rsid w:val="00C20DA0"/>
    <w:rsid w:val="00C951AF"/>
    <w:rsid w:val="00CB20E8"/>
    <w:rsid w:val="00D03F83"/>
    <w:rsid w:val="00D87656"/>
    <w:rsid w:val="00DB6910"/>
    <w:rsid w:val="00DC5250"/>
    <w:rsid w:val="00E65FFD"/>
    <w:rsid w:val="00E72F2C"/>
    <w:rsid w:val="00E76A7D"/>
    <w:rsid w:val="00F00FFE"/>
    <w:rsid w:val="00F3231A"/>
    <w:rsid w:val="00F91119"/>
    <w:rsid w:val="00FB161D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C5A7C"/>
  <w15:chartTrackingRefBased/>
  <w15:docId w15:val="{CEA02390-1691-4551-9190-058131C6F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FC3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5F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5F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5F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F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F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5FC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5FC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5FC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5FC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5F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5F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5F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5F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F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5F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5F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5F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5F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5FC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5F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5F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5F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5F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5F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5F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5F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5F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5F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5FC3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475FC3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475FC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75FC3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475FC3"/>
  </w:style>
  <w:style w:type="character" w:styleId="LineNumber">
    <w:name w:val="line number"/>
    <w:basedOn w:val="DefaultParagraphFont"/>
    <w:uiPriority w:val="99"/>
    <w:semiHidden/>
    <w:unhideWhenUsed/>
    <w:rsid w:val="00475FC3"/>
  </w:style>
  <w:style w:type="paragraph" w:styleId="BodyText">
    <w:name w:val="Body Text"/>
    <w:basedOn w:val="Normal"/>
    <w:link w:val="BodyTextChar"/>
    <w:rsid w:val="00475FC3"/>
    <w:pPr>
      <w:spacing w:after="120"/>
    </w:pPr>
    <w:rPr>
      <w:rFonts w:ascii="Arial" w:hAnsi="Arial" w:cs="Arial"/>
      <w:szCs w:val="24"/>
      <w:lang w:val="es-PR"/>
    </w:rPr>
  </w:style>
  <w:style w:type="character" w:customStyle="1" w:styleId="BodyTextChar">
    <w:name w:val="Body Text Char"/>
    <w:basedOn w:val="DefaultParagraphFont"/>
    <w:link w:val="BodyText"/>
    <w:rsid w:val="00475FC3"/>
    <w:rPr>
      <w:rFonts w:ascii="Arial" w:eastAsia="Times New Roman" w:hAnsi="Arial" w:cs="Arial"/>
      <w:kern w:val="0"/>
      <w:lang w:val="es-PR"/>
      <w14:ligatures w14:val="none"/>
    </w:rPr>
  </w:style>
  <w:style w:type="paragraph" w:styleId="BodyTextIndent">
    <w:name w:val="Body Text Indent"/>
    <w:basedOn w:val="Normal"/>
    <w:link w:val="BodyTextIndentChar"/>
    <w:rsid w:val="00475FC3"/>
    <w:pPr>
      <w:spacing w:after="120"/>
      <w:ind w:left="360"/>
    </w:pPr>
    <w:rPr>
      <w:szCs w:val="24"/>
      <w:lang w:val="es-PR"/>
    </w:rPr>
  </w:style>
  <w:style w:type="character" w:customStyle="1" w:styleId="BodyTextIndentChar">
    <w:name w:val="Body Text Indent Char"/>
    <w:basedOn w:val="DefaultParagraphFont"/>
    <w:link w:val="BodyTextIndent"/>
    <w:rsid w:val="00475FC3"/>
    <w:rPr>
      <w:rFonts w:ascii="Times New Roman" w:eastAsia="Times New Roman" w:hAnsi="Times New Roman" w:cs="Times New Roman"/>
      <w:kern w:val="0"/>
      <w:lang w:val="es-P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Kristal Rivera Sanchez</cp:lastModifiedBy>
  <cp:revision>2</cp:revision>
  <cp:lastPrinted>2026-04-20T19:13:00Z</cp:lastPrinted>
  <dcterms:created xsi:type="dcterms:W3CDTF">2026-04-22T16:58:00Z</dcterms:created>
  <dcterms:modified xsi:type="dcterms:W3CDTF">2026-04-22T16:58:00Z</dcterms:modified>
</cp:coreProperties>
</file>