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722565" w:rsidRDefault="00850770">
      <w:pPr>
        <w:jc w:val="center"/>
        <w:rPr>
          <w:rFonts w:ascii="Book Antiqua" w:eastAsia="Book Antiqua" w:hAnsi="Book Antiqua" w:cs="Book Antiqua"/>
          <w:bCs/>
          <w:color w:val="000000" w:themeColor="text1"/>
          <w:sz w:val="28"/>
          <w:szCs w:val="28"/>
          <w:lang w:val="es-PR"/>
        </w:rPr>
      </w:pPr>
      <w:r w:rsidRPr="00722565">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722565">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6EBD28EA" w:rsidR="00FF2214" w:rsidRPr="00F45F60" w:rsidRDefault="00722565" w:rsidP="00722565">
      <w:pPr>
        <w:rPr>
          <w:rFonts w:ascii="Book Antiqua" w:eastAsia="Book Antiqua" w:hAnsi="Book Antiqua" w:cs="Book Antiqua"/>
          <w:color w:val="000000" w:themeColor="text1"/>
          <w:lang w:val="es-PR"/>
        </w:rPr>
      </w:pPr>
      <w:r w:rsidRPr="00F45F60">
        <w:rPr>
          <w:rFonts w:ascii="Book Antiqua" w:eastAsia="Book Antiqua" w:hAnsi="Book Antiqua" w:cs="Book Antiqua"/>
          <w:color w:val="000000" w:themeColor="text1"/>
          <w:lang w:val="es-PR"/>
        </w:rPr>
        <w:t xml:space="preserve">20ma. </w:t>
      </w:r>
      <w:r w:rsidR="00850770" w:rsidRPr="00F45F60">
        <w:rPr>
          <w:rFonts w:ascii="Book Antiqua" w:eastAsia="Book Antiqua" w:hAnsi="Book Antiqua" w:cs="Book Antiqua"/>
          <w:color w:val="000000" w:themeColor="text1"/>
          <w:lang w:val="es-PR"/>
        </w:rPr>
        <w:t>Asamblea</w:t>
      </w:r>
      <w:r w:rsidR="00850770"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t xml:space="preserve">           1ra.</w:t>
      </w:r>
      <w:r w:rsidRPr="00F45F60">
        <w:rPr>
          <w:rFonts w:ascii="Book Antiqua" w:eastAsia="Book Antiqua" w:hAnsi="Book Antiqua" w:cs="Book Antiqua"/>
          <w:color w:val="000000" w:themeColor="text1"/>
          <w:vertAlign w:val="superscript"/>
          <w:lang w:val="es-PR"/>
        </w:rPr>
        <w:t xml:space="preserve"> </w:t>
      </w:r>
      <w:r w:rsidR="00850770" w:rsidRPr="00F45F60">
        <w:rPr>
          <w:rFonts w:ascii="Book Antiqua" w:eastAsia="Book Antiqua" w:hAnsi="Book Antiqua" w:cs="Book Antiqua"/>
          <w:color w:val="000000" w:themeColor="text1"/>
          <w:lang w:val="es-PR"/>
        </w:rPr>
        <w:t>Sesión</w:t>
      </w:r>
    </w:p>
    <w:p w14:paraId="79550659" w14:textId="5B052083" w:rsidR="00FF2214" w:rsidRPr="00F45F60" w:rsidRDefault="00850770" w:rsidP="00722565">
      <w:pPr>
        <w:rPr>
          <w:rFonts w:ascii="Book Antiqua" w:eastAsia="Book Antiqua" w:hAnsi="Book Antiqua" w:cs="Book Antiqua"/>
          <w:color w:val="000000" w:themeColor="text1"/>
          <w:lang w:val="es-PR"/>
        </w:rPr>
      </w:pPr>
      <w:r w:rsidRPr="00F45F60">
        <w:rPr>
          <w:rFonts w:ascii="Book Antiqua" w:eastAsia="Book Antiqua" w:hAnsi="Book Antiqua" w:cs="Book Antiqua"/>
          <w:color w:val="000000" w:themeColor="text1"/>
          <w:lang w:val="es-PR"/>
        </w:rPr>
        <w:tab/>
        <w:t>Legislativa</w:t>
      </w:r>
      <w:r w:rsidRPr="00F45F60">
        <w:rPr>
          <w:rFonts w:ascii="Book Antiqua" w:eastAsia="Book Antiqua" w:hAnsi="Book Antiqua" w:cs="Book Antiqua"/>
          <w:color w:val="000000" w:themeColor="text1"/>
          <w:lang w:val="es-PR"/>
        </w:rPr>
        <w:tab/>
      </w:r>
      <w:r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r>
      <w:r w:rsidR="00722565" w:rsidRPr="00F45F60">
        <w:rPr>
          <w:rFonts w:ascii="Book Antiqua" w:eastAsia="Book Antiqua" w:hAnsi="Book Antiqua" w:cs="Book Antiqua"/>
          <w:color w:val="000000" w:themeColor="text1"/>
          <w:lang w:val="es-PR"/>
        </w:rPr>
        <w:tab/>
        <w:t xml:space="preserve">      </w:t>
      </w:r>
      <w:r w:rsidRPr="00F45F60">
        <w:rPr>
          <w:rFonts w:ascii="Book Antiqua" w:eastAsia="Book Antiqua" w:hAnsi="Book Antiqua" w:cs="Book Antiqua"/>
          <w:color w:val="000000" w:themeColor="text1"/>
          <w:lang w:val="es-PR"/>
        </w:rPr>
        <w:t>Ordinaria</w:t>
      </w:r>
    </w:p>
    <w:p w14:paraId="7955065A" w14:textId="77777777" w:rsidR="00FF2214" w:rsidRPr="00F45F60"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17C9628E"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4342E2">
        <w:rPr>
          <w:rFonts w:ascii="Book Antiqua" w:hAnsi="Book Antiqua"/>
          <w:b/>
          <w:color w:val="000000" w:themeColor="text1"/>
          <w:sz w:val="52"/>
          <w:szCs w:val="52"/>
          <w:lang w:val="es-PR"/>
        </w:rPr>
        <w:t xml:space="preserve"> 44</w:t>
      </w:r>
      <w:r w:rsidR="00C002AA">
        <w:rPr>
          <w:rFonts w:ascii="Book Antiqua" w:hAnsi="Book Antiqua"/>
          <w:b/>
          <w:color w:val="000000" w:themeColor="text1"/>
          <w:sz w:val="52"/>
          <w:szCs w:val="52"/>
          <w:lang w:val="es-PR"/>
        </w:rPr>
        <w:t>1</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1D99F601" w:rsidR="00950505" w:rsidRPr="00930E48" w:rsidRDefault="004342E2"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24 </w:t>
      </w:r>
      <w:r w:rsidR="00722565">
        <w:rPr>
          <w:rFonts w:ascii="Book Antiqua" w:hAnsi="Book Antiqua"/>
          <w:color w:val="000000" w:themeColor="text1"/>
          <w:lang w:val="es-PR"/>
        </w:rPr>
        <w:t>DE MARZO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5BC1054B" w14:textId="77777777" w:rsidR="00A14D76" w:rsidRPr="00A14D76" w:rsidRDefault="00A14D76" w:rsidP="00A14D76">
      <w:pPr>
        <w:ind w:left="720" w:hanging="720"/>
        <w:jc w:val="both"/>
        <w:rPr>
          <w:rFonts w:ascii="Book Antiqua" w:hAnsi="Book Antiqua"/>
          <w:color w:val="000000" w:themeColor="text1"/>
          <w:lang w:val="es-ES"/>
        </w:rPr>
      </w:pPr>
      <w:r w:rsidRPr="00A14D76">
        <w:rPr>
          <w:rFonts w:ascii="Book Antiqua" w:hAnsi="Book Antiqua"/>
          <w:color w:val="000000" w:themeColor="text1"/>
          <w:lang w:val="es-PR"/>
        </w:rPr>
        <w:t xml:space="preserve">Presentado por </w:t>
      </w:r>
      <w:r w:rsidRPr="00A14D76">
        <w:rPr>
          <w:rFonts w:ascii="Book Antiqua" w:hAnsi="Book Antiqua"/>
          <w:color w:val="000000" w:themeColor="text1"/>
          <w:lang w:val="es-ES"/>
        </w:rPr>
        <w:t xml:space="preserve">el representante </w:t>
      </w:r>
      <w:r w:rsidRPr="00A14D76">
        <w:rPr>
          <w:rFonts w:ascii="Book Antiqua" w:hAnsi="Book Antiqua"/>
          <w:i/>
          <w:iCs/>
          <w:color w:val="000000" w:themeColor="text1"/>
          <w:lang w:val="es-PR"/>
        </w:rPr>
        <w:t>Méndez Núñez</w:t>
      </w:r>
      <w:r w:rsidRPr="00A14D76">
        <w:rPr>
          <w:rFonts w:ascii="Book Antiqua" w:hAnsi="Book Antiqua"/>
          <w:color w:val="000000" w:themeColor="text1"/>
          <w:lang w:val="es-PR"/>
        </w:rPr>
        <w:t xml:space="preserve">; </w:t>
      </w:r>
      <w:r w:rsidRPr="00A14D76">
        <w:rPr>
          <w:rFonts w:ascii="Book Antiqua" w:hAnsi="Book Antiqua"/>
          <w:color w:val="000000" w:themeColor="text1"/>
          <w:lang w:val="es-ES"/>
        </w:rPr>
        <w:t xml:space="preserve">la representante </w:t>
      </w:r>
      <w:r w:rsidRPr="00A14D76">
        <w:rPr>
          <w:rFonts w:ascii="Book Antiqua" w:hAnsi="Book Antiqua"/>
          <w:i/>
          <w:iCs/>
          <w:color w:val="000000" w:themeColor="text1"/>
          <w:lang w:val="es-ES"/>
        </w:rPr>
        <w:t>Lebrón Rodríguez</w:t>
      </w:r>
      <w:r w:rsidRPr="00A14D76">
        <w:rPr>
          <w:rFonts w:ascii="Book Antiqua" w:hAnsi="Book Antiqua"/>
          <w:color w:val="000000" w:themeColor="text1"/>
          <w:lang w:val="es-ES"/>
        </w:rPr>
        <w:t xml:space="preserve">; los representantes </w:t>
      </w:r>
      <w:r w:rsidRPr="00A14D76">
        <w:rPr>
          <w:rFonts w:ascii="Book Antiqua" w:hAnsi="Book Antiqua"/>
          <w:i/>
          <w:iCs/>
          <w:color w:val="000000" w:themeColor="text1"/>
          <w:lang w:val="es-ES"/>
        </w:rPr>
        <w:t>Peña Ramírez</w:t>
      </w:r>
      <w:r w:rsidRPr="00A14D76">
        <w:rPr>
          <w:rFonts w:ascii="Book Antiqua" w:hAnsi="Book Antiqua"/>
          <w:color w:val="000000" w:themeColor="text1"/>
          <w:lang w:val="es-ES"/>
        </w:rPr>
        <w:t xml:space="preserve">, </w:t>
      </w:r>
      <w:r w:rsidRPr="00A14D76">
        <w:rPr>
          <w:rFonts w:ascii="Book Antiqua" w:hAnsi="Book Antiqua"/>
          <w:i/>
          <w:iCs/>
          <w:color w:val="000000" w:themeColor="text1"/>
          <w:lang w:val="es-ES"/>
        </w:rPr>
        <w:t xml:space="preserve">Torres Zamora Román López, Aponte Hernández, Carlo Acosta, </w:t>
      </w:r>
      <w:proofErr w:type="spellStart"/>
      <w:r w:rsidRPr="00A14D76">
        <w:rPr>
          <w:rFonts w:ascii="Book Antiqua" w:hAnsi="Book Antiqua"/>
          <w:i/>
          <w:iCs/>
          <w:color w:val="000000" w:themeColor="text1"/>
          <w:lang w:val="es-ES"/>
        </w:rPr>
        <w:t>Charbonier</w:t>
      </w:r>
      <w:proofErr w:type="spellEnd"/>
      <w:r w:rsidRPr="00A14D76">
        <w:rPr>
          <w:rFonts w:ascii="Book Antiqua" w:hAnsi="Book Antiqua"/>
          <w:i/>
          <w:iCs/>
          <w:color w:val="000000" w:themeColor="text1"/>
          <w:lang w:val="es-ES"/>
        </w:rPr>
        <w:t xml:space="preserve"> Chinea, Colón Rodríguez</w:t>
      </w:r>
      <w:r w:rsidRPr="00A14D76">
        <w:rPr>
          <w:rFonts w:ascii="Book Antiqua" w:hAnsi="Book Antiqua"/>
          <w:color w:val="000000" w:themeColor="text1"/>
          <w:lang w:val="es-ES"/>
        </w:rPr>
        <w:t xml:space="preserve">; la representante </w:t>
      </w:r>
      <w:r w:rsidRPr="00A14D76">
        <w:rPr>
          <w:rFonts w:ascii="Book Antiqua" w:hAnsi="Book Antiqua"/>
          <w:i/>
          <w:iCs/>
          <w:color w:val="000000" w:themeColor="text1"/>
          <w:lang w:val="es-ES"/>
        </w:rPr>
        <w:t>del Valle Correa</w:t>
      </w:r>
      <w:r w:rsidRPr="00A14D76">
        <w:rPr>
          <w:rFonts w:ascii="Book Antiqua" w:hAnsi="Book Antiqua"/>
          <w:color w:val="000000" w:themeColor="text1"/>
          <w:lang w:val="es-ES"/>
        </w:rPr>
        <w:t xml:space="preserve">; los representantes </w:t>
      </w:r>
      <w:r w:rsidRPr="00A14D76">
        <w:rPr>
          <w:rFonts w:ascii="Book Antiqua" w:hAnsi="Book Antiqua"/>
          <w:i/>
          <w:iCs/>
          <w:color w:val="000000" w:themeColor="text1"/>
          <w:lang w:val="es-ES"/>
        </w:rPr>
        <w:t xml:space="preserve">Estévez Vélez, </w:t>
      </w:r>
      <w:proofErr w:type="spellStart"/>
      <w:r w:rsidRPr="00A14D76">
        <w:rPr>
          <w:rFonts w:ascii="Book Antiqua" w:hAnsi="Book Antiqua"/>
          <w:i/>
          <w:iCs/>
          <w:color w:val="000000" w:themeColor="text1"/>
          <w:lang w:val="es-ES"/>
        </w:rPr>
        <w:t>Franqui</w:t>
      </w:r>
      <w:proofErr w:type="spellEnd"/>
      <w:r w:rsidRPr="00A14D76">
        <w:rPr>
          <w:rFonts w:ascii="Book Antiqua" w:hAnsi="Book Antiqua"/>
          <w:i/>
          <w:iCs/>
          <w:color w:val="000000" w:themeColor="text1"/>
          <w:lang w:val="es-ES"/>
        </w:rPr>
        <w:t xml:space="preserve"> </w:t>
      </w:r>
      <w:proofErr w:type="spellStart"/>
      <w:r w:rsidRPr="00A14D76">
        <w:rPr>
          <w:rFonts w:ascii="Book Antiqua" w:hAnsi="Book Antiqua"/>
          <w:i/>
          <w:iCs/>
          <w:color w:val="000000" w:themeColor="text1"/>
          <w:lang w:val="es-ES"/>
        </w:rPr>
        <w:t>Atiles</w:t>
      </w:r>
      <w:proofErr w:type="spellEnd"/>
      <w:r w:rsidRPr="00A14D76">
        <w:rPr>
          <w:rFonts w:ascii="Book Antiqua" w:hAnsi="Book Antiqua"/>
          <w:color w:val="000000" w:themeColor="text1"/>
          <w:lang w:val="es-ES"/>
        </w:rPr>
        <w:t xml:space="preserve">; las representantes </w:t>
      </w:r>
      <w:r w:rsidRPr="00A14D76">
        <w:rPr>
          <w:rFonts w:ascii="Book Antiqua" w:hAnsi="Book Antiqua"/>
          <w:i/>
          <w:iCs/>
          <w:color w:val="000000" w:themeColor="text1"/>
          <w:lang w:val="es-ES"/>
        </w:rPr>
        <w:t xml:space="preserve">González Aguayo, González </w:t>
      </w:r>
      <w:proofErr w:type="spellStart"/>
      <w:r w:rsidRPr="00A14D76">
        <w:rPr>
          <w:rFonts w:ascii="Book Antiqua" w:hAnsi="Book Antiqua"/>
          <w:i/>
          <w:iCs/>
          <w:color w:val="000000" w:themeColor="text1"/>
          <w:lang w:val="es-ES"/>
        </w:rPr>
        <w:t>González</w:t>
      </w:r>
      <w:proofErr w:type="spellEnd"/>
      <w:r w:rsidRPr="00A14D76">
        <w:rPr>
          <w:rFonts w:ascii="Book Antiqua" w:hAnsi="Book Antiqua"/>
          <w:color w:val="000000" w:themeColor="text1"/>
          <w:lang w:val="es-ES"/>
        </w:rPr>
        <w:t xml:space="preserve">; los representantes </w:t>
      </w:r>
      <w:r w:rsidRPr="00A14D76">
        <w:rPr>
          <w:rFonts w:ascii="Book Antiqua" w:hAnsi="Book Antiqua"/>
          <w:i/>
          <w:iCs/>
          <w:color w:val="000000" w:themeColor="text1"/>
          <w:lang w:val="es-ES"/>
        </w:rPr>
        <w:t>Hernández Concepción, Jiménez Torres</w:t>
      </w:r>
      <w:r w:rsidRPr="00A14D76">
        <w:rPr>
          <w:rFonts w:ascii="Book Antiqua" w:hAnsi="Book Antiqua"/>
          <w:color w:val="000000" w:themeColor="text1"/>
          <w:lang w:val="es-ES"/>
        </w:rPr>
        <w:t xml:space="preserve">; las representantes </w:t>
      </w:r>
      <w:r w:rsidRPr="00A14D76">
        <w:rPr>
          <w:rFonts w:ascii="Book Antiqua" w:hAnsi="Book Antiqua"/>
          <w:i/>
          <w:iCs/>
          <w:color w:val="000000" w:themeColor="text1"/>
          <w:lang w:val="es-ES"/>
        </w:rPr>
        <w:t>Martínez Vázquez, Medina Calderón</w:t>
      </w:r>
      <w:r w:rsidRPr="00A14D76">
        <w:rPr>
          <w:rFonts w:ascii="Book Antiqua" w:hAnsi="Book Antiqua"/>
          <w:color w:val="000000" w:themeColor="text1"/>
          <w:lang w:val="es-ES"/>
        </w:rPr>
        <w:t xml:space="preserve">; los representantes </w:t>
      </w:r>
      <w:proofErr w:type="spellStart"/>
      <w:r w:rsidRPr="00A14D76">
        <w:rPr>
          <w:rFonts w:ascii="Book Antiqua" w:hAnsi="Book Antiqua"/>
          <w:i/>
          <w:iCs/>
          <w:color w:val="000000" w:themeColor="text1"/>
          <w:lang w:val="es-ES"/>
        </w:rPr>
        <w:t>Morey</w:t>
      </w:r>
      <w:proofErr w:type="spellEnd"/>
      <w:r w:rsidRPr="00A14D76">
        <w:rPr>
          <w:rFonts w:ascii="Book Antiqua" w:hAnsi="Book Antiqua"/>
          <w:i/>
          <w:iCs/>
          <w:color w:val="000000" w:themeColor="text1"/>
          <w:lang w:val="es-ES"/>
        </w:rPr>
        <w:t xml:space="preserve"> Noble, Muriel Sánchez, Navarro Suárez, Nieves Rosario, Ocasio Ramos, Pacheco Burgos, Parés Otero</w:t>
      </w:r>
      <w:r w:rsidRPr="00A14D76">
        <w:rPr>
          <w:rFonts w:ascii="Book Antiqua" w:hAnsi="Book Antiqua"/>
          <w:color w:val="000000" w:themeColor="text1"/>
          <w:lang w:val="es-ES"/>
        </w:rPr>
        <w:t xml:space="preserve">; la representante </w:t>
      </w:r>
      <w:r w:rsidRPr="00A14D76">
        <w:rPr>
          <w:rFonts w:ascii="Book Antiqua" w:hAnsi="Book Antiqua"/>
          <w:i/>
          <w:iCs/>
          <w:color w:val="000000" w:themeColor="text1"/>
          <w:lang w:val="es-ES"/>
        </w:rPr>
        <w:t>Peña Dávila</w:t>
      </w:r>
      <w:r w:rsidRPr="00A14D76">
        <w:rPr>
          <w:rFonts w:ascii="Book Antiqua" w:hAnsi="Book Antiqua"/>
          <w:color w:val="000000" w:themeColor="text1"/>
          <w:lang w:val="es-ES"/>
        </w:rPr>
        <w:t xml:space="preserve">; los representantes </w:t>
      </w:r>
      <w:r w:rsidRPr="00A14D76">
        <w:rPr>
          <w:rFonts w:ascii="Book Antiqua" w:hAnsi="Book Antiqua"/>
          <w:i/>
          <w:iCs/>
          <w:color w:val="000000" w:themeColor="text1"/>
          <w:lang w:val="es-ES"/>
        </w:rPr>
        <w:t>Pérez Cordero, Pérez Ortiz</w:t>
      </w:r>
      <w:r w:rsidRPr="00A14D76">
        <w:rPr>
          <w:rFonts w:ascii="Book Antiqua" w:hAnsi="Book Antiqua"/>
          <w:color w:val="000000" w:themeColor="text1"/>
          <w:lang w:val="es-ES"/>
        </w:rPr>
        <w:t xml:space="preserve">; las representantes </w:t>
      </w:r>
      <w:r w:rsidRPr="00A14D76">
        <w:rPr>
          <w:rFonts w:ascii="Book Antiqua" w:hAnsi="Book Antiqua"/>
          <w:i/>
          <w:iCs/>
          <w:color w:val="000000" w:themeColor="text1"/>
          <w:lang w:val="es-ES"/>
        </w:rPr>
        <w:t>Pérez Ramírez, Ramos Rivera</w:t>
      </w:r>
      <w:r w:rsidRPr="00A14D76">
        <w:rPr>
          <w:rFonts w:ascii="Book Antiqua" w:hAnsi="Book Antiqua"/>
          <w:color w:val="000000" w:themeColor="text1"/>
          <w:lang w:val="es-ES"/>
        </w:rPr>
        <w:t xml:space="preserve">; los representantes </w:t>
      </w:r>
      <w:r w:rsidRPr="00A14D76">
        <w:rPr>
          <w:rFonts w:ascii="Book Antiqua" w:hAnsi="Book Antiqua"/>
          <w:i/>
          <w:iCs/>
          <w:color w:val="000000" w:themeColor="text1"/>
          <w:lang w:val="es-ES"/>
        </w:rPr>
        <w:t xml:space="preserve">Robles Rivera, Rodríguez Aguiló, Rodríguez Torres, Roque Gracia, Sanabria Colón </w:t>
      </w:r>
      <w:r w:rsidRPr="00A14D76">
        <w:rPr>
          <w:rFonts w:ascii="Book Antiqua" w:hAnsi="Book Antiqua"/>
          <w:color w:val="000000" w:themeColor="text1"/>
          <w:lang w:val="es-ES"/>
        </w:rPr>
        <w:t>y</w:t>
      </w:r>
      <w:r w:rsidRPr="00A14D76">
        <w:rPr>
          <w:rFonts w:ascii="Book Antiqua" w:hAnsi="Book Antiqua"/>
          <w:i/>
          <w:iCs/>
          <w:color w:val="000000" w:themeColor="text1"/>
          <w:lang w:val="es-ES"/>
        </w:rPr>
        <w:t xml:space="preserve"> Santiago Guzmán</w:t>
      </w:r>
    </w:p>
    <w:p w14:paraId="706E7D8B" w14:textId="4311846D" w:rsidR="009A201B" w:rsidRPr="006C4E23" w:rsidRDefault="009A201B" w:rsidP="00F45F60">
      <w:pPr>
        <w:ind w:left="720" w:hanging="720"/>
        <w:jc w:val="both"/>
        <w:rPr>
          <w:rFonts w:ascii="Book Antiqua" w:eastAsia="Aptos" w:hAnsi="Book Antiqua"/>
          <w:i/>
          <w:iCs/>
          <w:kern w:val="2"/>
          <w:lang w:val="es-ES"/>
          <w14:ligatures w14:val="standardContextual"/>
        </w:rPr>
      </w:pPr>
    </w:p>
    <w:p w14:paraId="6E0B8939" w14:textId="1327D5C4" w:rsidR="00950505" w:rsidRPr="00930E48" w:rsidRDefault="00950505" w:rsidP="0072256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855FBB">
        <w:rPr>
          <w:rFonts w:ascii="Book Antiqua" w:hAnsi="Book Antiqua"/>
          <w:color w:val="000000" w:themeColor="text1"/>
          <w:lang w:val="es-PR"/>
        </w:rPr>
        <w:t xml:space="preserve"> las Comisiones de Gobierno; y de Asuntos de la Mujer</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211C4AC2" w14:textId="3686380D" w:rsidR="007278EF" w:rsidRPr="002F48BA" w:rsidRDefault="00850770" w:rsidP="00722565">
      <w:pPr>
        <w:ind w:left="720" w:hanging="72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7278EF" w:rsidRPr="009B2096">
        <w:rPr>
          <w:rFonts w:ascii="Book Antiqua" w:eastAsia="Book Antiqua" w:hAnsi="Book Antiqua" w:cs="Book Antiqua"/>
          <w:color w:val="000000" w:themeColor="text1"/>
          <w:lang w:val="es-PR"/>
        </w:rPr>
        <w:t xml:space="preserve">enmendar los Artículos 4 y 5 de la Ley Núm. 20-2001, </w:t>
      </w:r>
      <w:r w:rsidR="007278EF" w:rsidRPr="009F7145">
        <w:rPr>
          <w:rStyle w:val="hps"/>
          <w:rFonts w:ascii="Book Antiqua" w:hAnsi="Book Antiqua"/>
          <w:color w:val="000000"/>
          <w:lang w:val="es-ES"/>
        </w:rPr>
        <w:t>según enmendada</w:t>
      </w:r>
      <w:r w:rsidR="007278EF">
        <w:rPr>
          <w:rStyle w:val="hps"/>
          <w:rFonts w:ascii="Book Antiqua" w:hAnsi="Book Antiqua"/>
          <w:color w:val="000000"/>
          <w:lang w:val="es-ES"/>
        </w:rPr>
        <w:t xml:space="preserve">, conocida como </w:t>
      </w:r>
      <w:r w:rsidR="007278EF" w:rsidRPr="009F7145">
        <w:rPr>
          <w:rStyle w:val="hps"/>
          <w:rFonts w:ascii="Book Antiqua" w:hAnsi="Book Antiqua"/>
          <w:color w:val="000000"/>
          <w:lang w:val="es-ES"/>
        </w:rPr>
        <w:t>“Ley de la Oficina de la Procuradora de las Mujeres”</w:t>
      </w:r>
      <w:r w:rsidR="007278EF">
        <w:rPr>
          <w:rFonts w:ascii="Book Antiqua" w:hAnsi="Book Antiqua"/>
          <w:color w:val="000000"/>
          <w:lang w:val="es-ES"/>
        </w:rPr>
        <w:t xml:space="preserve">; </w:t>
      </w:r>
      <w:r w:rsidR="007278EF" w:rsidRPr="00913F61">
        <w:rPr>
          <w:rFonts w:ascii="Book Antiqua" w:hAnsi="Book Antiqua"/>
          <w:color w:val="000000"/>
          <w:lang w:val="es-ES"/>
        </w:rPr>
        <w:t>a los fines de</w:t>
      </w:r>
      <w:r w:rsidR="007278EF">
        <w:rPr>
          <w:rFonts w:ascii="Book Antiqua" w:hAnsi="Book Antiqua"/>
          <w:color w:val="000000"/>
          <w:lang w:val="es-ES"/>
        </w:rPr>
        <w:t xml:space="preserve"> establecer</w:t>
      </w:r>
      <w:r w:rsidR="007278EF" w:rsidRPr="00913F61">
        <w:rPr>
          <w:rFonts w:ascii="Book Antiqua" w:hAnsi="Book Antiqua"/>
          <w:color w:val="000000"/>
          <w:lang w:val="es-ES"/>
        </w:rPr>
        <w:t xml:space="preserve"> </w:t>
      </w:r>
      <w:r w:rsidR="0090016E">
        <w:rPr>
          <w:rFonts w:ascii="Book Antiqua" w:hAnsi="Book Antiqua"/>
          <w:color w:val="000000"/>
          <w:lang w:val="es-ES"/>
        </w:rPr>
        <w:t xml:space="preserve">el </w:t>
      </w:r>
      <w:r w:rsidR="007278EF" w:rsidRPr="00670C65">
        <w:rPr>
          <w:rFonts w:ascii="Book Antiqua" w:hAnsi="Book Antiqua"/>
          <w:color w:val="000000"/>
          <w:lang w:val="es-ES"/>
        </w:rPr>
        <w:t>marco</w:t>
      </w:r>
      <w:r w:rsidR="007278EF">
        <w:rPr>
          <w:rFonts w:ascii="Book Antiqua" w:hAnsi="Book Antiqua"/>
          <w:color w:val="000000"/>
          <w:lang w:val="es-ES"/>
        </w:rPr>
        <w:t xml:space="preserve"> </w:t>
      </w:r>
      <w:r w:rsidR="007278EF" w:rsidRPr="00670C65">
        <w:rPr>
          <w:rFonts w:ascii="Book Antiqua" w:hAnsi="Book Antiqua"/>
          <w:color w:val="000000"/>
          <w:lang w:val="es-ES"/>
        </w:rPr>
        <w:t xml:space="preserve">claro para el </w:t>
      </w:r>
      <w:r w:rsidR="007278EF">
        <w:rPr>
          <w:rFonts w:ascii="Book Antiqua" w:hAnsi="Book Antiqua"/>
          <w:color w:val="000000"/>
          <w:lang w:val="es-ES"/>
        </w:rPr>
        <w:t>manejo</w:t>
      </w:r>
      <w:r w:rsidR="007278EF" w:rsidRPr="00670C65">
        <w:rPr>
          <w:rFonts w:ascii="Book Antiqua" w:hAnsi="Book Antiqua"/>
          <w:color w:val="000000"/>
          <w:lang w:val="es-ES"/>
        </w:rPr>
        <w:t xml:space="preserve"> de vacantes permanentes en el cargo de Procuradora de las Mujeres</w:t>
      </w:r>
      <w:r w:rsidR="007278EF">
        <w:rPr>
          <w:rFonts w:ascii="Book Antiqua" w:hAnsi="Book Antiqua"/>
          <w:color w:val="000000"/>
          <w:lang w:val="es-ES"/>
        </w:rPr>
        <w:t xml:space="preserve">; </w:t>
      </w:r>
      <w:r w:rsidR="007278EF" w:rsidRPr="00913F61">
        <w:rPr>
          <w:rFonts w:ascii="Book Antiqua" w:hAnsi="Book Antiqua"/>
          <w:color w:val="000000"/>
          <w:lang w:val="es-ES"/>
        </w:rPr>
        <w:t>y para otros fines relacionados</w:t>
      </w:r>
      <w:r w:rsidR="007278EF">
        <w:rPr>
          <w:rFonts w:ascii="Book Antiqua" w:eastAsia="Book Antiqua" w:hAnsi="Book Antiqua" w:cs="Book Antiqua"/>
          <w:color w:val="000000" w:themeColor="text1"/>
          <w:lang w:val="es-PR"/>
        </w:rPr>
        <w:t xml:space="preserve">. </w:t>
      </w:r>
    </w:p>
    <w:p w14:paraId="0C97053E" w14:textId="556CAEFF" w:rsidR="00465256" w:rsidRPr="00930E48" w:rsidRDefault="00465256" w:rsidP="007278EF">
      <w:pPr>
        <w:ind w:left="540" w:hanging="540"/>
        <w:jc w:val="both"/>
        <w:rPr>
          <w:rFonts w:ascii="Book Antiqua" w:eastAsia="Aptos" w:hAnsi="Book Antiqua"/>
          <w:color w:val="000000" w:themeColor="text1"/>
          <w:kern w:val="2"/>
          <w:lang w:val="es-PR"/>
          <w14:ligatures w14:val="standardContextual"/>
        </w:rPr>
      </w:pPr>
    </w:p>
    <w:p w14:paraId="63AE53B1" w14:textId="3B22399B" w:rsidR="00010836" w:rsidRPr="00930E48" w:rsidRDefault="00850770" w:rsidP="00A770A7">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65A767DC" w14:textId="77777777" w:rsidR="00465256" w:rsidRPr="00930E48" w:rsidRDefault="00465256" w:rsidP="00A770A7">
      <w:pPr>
        <w:ind w:left="540" w:hanging="540"/>
        <w:jc w:val="center"/>
        <w:rPr>
          <w:rFonts w:ascii="Book Antiqua" w:eastAsia="Book Antiqua" w:hAnsi="Book Antiqua" w:cs="Book Antiqua"/>
          <w:bCs/>
          <w:color w:val="000000" w:themeColor="text1"/>
          <w:lang w:val="es-PR"/>
        </w:rPr>
      </w:pPr>
    </w:p>
    <w:p w14:paraId="321FCAC3"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r w:rsidRPr="00655A6E">
        <w:rPr>
          <w:rFonts w:ascii="Book Antiqua" w:hAnsi="Book Antiqua" w:cs="Arial"/>
          <w:color w:val="000000"/>
          <w:shd w:val="clear" w:color="auto" w:fill="FFFFFF"/>
          <w:lang w:val="es-ES"/>
        </w:rPr>
        <w:t xml:space="preserve">La Ley 20-2001, según enmendada, conocida como "Ley de la Oficina de la Procuradora de las Mujeres", establece el marco normativo que regula la creación, organización y funcionamiento de dicha Oficina, así como los procedimientos, deberes y facultades de la Procuradora de las Mujeres. Desde su creación, hace casi 24 años, se han presentado diversas vacantes e interinatos en el cargo de Procuradora, ya sea por razones particulares o debido a los mecanismos de pesos y contrapesos que rigen nuestro sistema democrático. Actualmente, la Ley 20-2001 establece que cuando el cargo de Procuradora quede vacante de forma permanente antes de expirar el término de su nombramiento, la </w:t>
      </w:r>
      <w:r w:rsidRPr="00655A6E">
        <w:rPr>
          <w:rFonts w:ascii="Book Antiqua" w:hAnsi="Book Antiqua" w:cs="Arial"/>
          <w:color w:val="000000"/>
          <w:shd w:val="clear" w:color="auto" w:fill="FFFFFF"/>
          <w:lang w:val="es-ES"/>
        </w:rPr>
        <w:lastRenderedPageBreak/>
        <w:t xml:space="preserve">persona que ocupe el cargo será nombrada para completar el término no cumplido de la Procuradora que ocasionó tal vacante. </w:t>
      </w:r>
    </w:p>
    <w:p w14:paraId="08B25F41"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p>
    <w:p w14:paraId="3DFCEDDF"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r w:rsidRPr="00655A6E">
        <w:rPr>
          <w:rFonts w:ascii="Book Antiqua" w:hAnsi="Book Antiqua" w:cs="Arial"/>
          <w:color w:val="000000"/>
          <w:shd w:val="clear" w:color="auto" w:fill="FFFFFF"/>
          <w:lang w:val="es-ES"/>
        </w:rPr>
        <w:t xml:space="preserve">Sin embargo, estos períodos en los que las nuevas Procuradoras deben completar el término de sus antecesoras han generado una falta de estabilidad que afecta la eficiencia y fluidez de los procesos. Esta falta de estabilidad, a su vez, ha comprometido la implementación efectiva de la política pública del Gobierno de Puerto Rico, dado que los proyectos y las iniciativas en curso se ven interrumpidos o retrasados por las transiciones constantes entre Procuradoras. </w:t>
      </w:r>
    </w:p>
    <w:p w14:paraId="2B3E52C3"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p>
    <w:p w14:paraId="10F9D903"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r w:rsidRPr="00655A6E">
        <w:rPr>
          <w:rFonts w:ascii="Book Antiqua" w:hAnsi="Book Antiqua" w:cs="Arial"/>
          <w:color w:val="000000"/>
          <w:shd w:val="clear" w:color="auto" w:fill="FFFFFF"/>
          <w:lang w:val="es-ES"/>
        </w:rPr>
        <w:t xml:space="preserve">Ante esta situación, </w:t>
      </w:r>
      <w:r>
        <w:rPr>
          <w:rFonts w:ascii="Book Antiqua" w:hAnsi="Book Antiqua" w:cs="Arial"/>
          <w:color w:val="000000"/>
          <w:shd w:val="clear" w:color="auto" w:fill="FFFFFF"/>
          <w:lang w:val="es-ES"/>
        </w:rPr>
        <w:t>es</w:t>
      </w:r>
      <w:r w:rsidRPr="00655A6E">
        <w:rPr>
          <w:rFonts w:ascii="Book Antiqua" w:hAnsi="Book Antiqua" w:cs="Arial"/>
          <w:color w:val="000000"/>
          <w:shd w:val="clear" w:color="auto" w:fill="FFFFFF"/>
          <w:lang w:val="es-ES"/>
        </w:rPr>
        <w:t xml:space="preserve"> necesario establecer un marco más claro y uniforme para el </w:t>
      </w:r>
      <w:r>
        <w:rPr>
          <w:rFonts w:ascii="Book Antiqua" w:hAnsi="Book Antiqua" w:cs="Arial"/>
          <w:color w:val="000000"/>
          <w:shd w:val="clear" w:color="auto" w:fill="FFFFFF"/>
          <w:lang w:val="es-ES"/>
        </w:rPr>
        <w:t>manejo</w:t>
      </w:r>
      <w:r w:rsidRPr="00655A6E">
        <w:rPr>
          <w:rFonts w:ascii="Book Antiqua" w:hAnsi="Book Antiqua" w:cs="Arial"/>
          <w:color w:val="000000"/>
          <w:shd w:val="clear" w:color="auto" w:fill="FFFFFF"/>
          <w:lang w:val="es-ES"/>
        </w:rPr>
        <w:t xml:space="preserve"> de las vacantes permanentes en el cargo de Procuradora, con el fin de permitir una ejecución más ágil y efectiva de los proyectos y procesos que se encuentran en curso en la Oficina de la Procuradora de las Mujeres. Esta medida garantiza que las iniciativas en curso se completen efectivamente, sin que estas se vean alteradas por las transiciones entre diferentes Procuradoras.</w:t>
      </w:r>
    </w:p>
    <w:p w14:paraId="5C06F738"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p>
    <w:p w14:paraId="124702DA"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r w:rsidRPr="00655A6E">
        <w:rPr>
          <w:rFonts w:ascii="Book Antiqua" w:hAnsi="Book Antiqua" w:cs="Arial"/>
          <w:color w:val="000000"/>
          <w:shd w:val="clear" w:color="auto" w:fill="FFFFFF"/>
          <w:lang w:val="es-ES"/>
        </w:rPr>
        <w:t>En este sentido, la medida establece que cualquier persona nombrada por el Gobernador para ocupar el cargo de Procuradora de las Mujeres, en sustitución de quien haya provocado una vacante en el puesto, una vez confirmada por el Senado, dicho nombramiento se considerará como un nuevo cargo con un término fijo de diez (10) años. Esta disposición respeta la facultad constitucional de nombramiento del Gobernador de Puerto Rico, conforme a lo dispuesto en las Secciones 4 y 5 del Artículo IV de la Constitución de Puerto Rico, que otorgan al Gobernador la autoridad para nombrar a los funcionarios del Ejecutivo, con el consejo y consentimiento del Senado. De este modo, el nombramiento de la Procuradora de las Mujeres, al ser confirmado por el Senado, será considerado un nuevo mandato, reforzando la estabilidad en el cargo y asegurando la correcta implementación de los procedimientos establecidos.</w:t>
      </w:r>
    </w:p>
    <w:p w14:paraId="49452110" w14:textId="77777777" w:rsidR="00A8303C" w:rsidRPr="00655A6E" w:rsidRDefault="00A8303C" w:rsidP="00722565">
      <w:pPr>
        <w:suppressLineNumbers/>
        <w:ind w:firstLine="720"/>
        <w:jc w:val="both"/>
        <w:rPr>
          <w:rFonts w:ascii="Book Antiqua" w:hAnsi="Book Antiqua" w:cs="Arial"/>
          <w:color w:val="000000"/>
          <w:shd w:val="clear" w:color="auto" w:fill="FFFFFF"/>
          <w:lang w:val="es-ES"/>
        </w:rPr>
      </w:pPr>
    </w:p>
    <w:p w14:paraId="7C1241AB" w14:textId="77777777" w:rsidR="00A8303C" w:rsidRDefault="00A8303C" w:rsidP="00722565">
      <w:pPr>
        <w:suppressLineNumbers/>
        <w:ind w:firstLine="720"/>
        <w:jc w:val="both"/>
        <w:rPr>
          <w:rFonts w:ascii="Book Antiqua" w:hAnsi="Book Antiqua" w:cs="Arial"/>
          <w:color w:val="000000"/>
          <w:shd w:val="clear" w:color="auto" w:fill="FFFFFF"/>
          <w:lang w:val="es-ES"/>
        </w:rPr>
      </w:pPr>
      <w:r w:rsidRPr="00655A6E">
        <w:rPr>
          <w:rFonts w:ascii="Book Antiqua" w:hAnsi="Book Antiqua" w:cs="Arial"/>
          <w:color w:val="000000"/>
          <w:shd w:val="clear" w:color="auto" w:fill="FFFFFF"/>
          <w:lang w:val="es-ES"/>
        </w:rPr>
        <w:t>Este enfoque no solo garantiza la estabilidad del cargo de Procuradora de las Mujeres, sino que también respeta los principios constitucionales relacionados con el nombramiento y la confirmación de funcionarios del Gobierno de Puerto Rico. En concordancia con la política pública de esta Administración, que busca eliminar barreras burocráticas innecesarias y fomentar un gobierno ágil y eficiente, se establece una disposición clara y uniforme respecto al término de duración para el cargo de Procuradora de las Mujeres. Esta medida es esencial para garantizar la estabilidad y continuidad de la Oficina, constituyéndose en la base fundamental para su adecuado funcionamiento</w:t>
      </w:r>
      <w:r w:rsidRPr="009D4605">
        <w:rPr>
          <w:rFonts w:ascii="Book Antiqua" w:hAnsi="Book Antiqua" w:cs="Arial"/>
          <w:color w:val="000000"/>
          <w:shd w:val="clear" w:color="auto" w:fill="FFFFFF"/>
          <w:lang w:val="es-ES"/>
        </w:rPr>
        <w:t>.</w:t>
      </w:r>
    </w:p>
    <w:p w14:paraId="0A93A90B" w14:textId="77777777" w:rsidR="00570F85" w:rsidRDefault="00570F85" w:rsidP="00722565">
      <w:pPr>
        <w:suppressLineNumbers/>
        <w:ind w:firstLine="720"/>
        <w:jc w:val="both"/>
        <w:rPr>
          <w:rFonts w:ascii="Book Antiqua" w:hAnsi="Book Antiqua" w:cs="Arial"/>
          <w:color w:val="000000"/>
          <w:shd w:val="clear" w:color="auto" w:fill="FFFFFF"/>
          <w:lang w:val="es-ES"/>
        </w:rPr>
      </w:pPr>
    </w:p>
    <w:p w14:paraId="7A6AEC2D" w14:textId="77777777" w:rsidR="00570F85" w:rsidRDefault="00570F85" w:rsidP="00722565">
      <w:pPr>
        <w:suppressLineNumbers/>
        <w:ind w:firstLine="720"/>
        <w:jc w:val="both"/>
        <w:rPr>
          <w:rFonts w:ascii="Book Antiqua" w:hAnsi="Book Antiqua" w:cs="Arial"/>
          <w:color w:val="000000"/>
          <w:shd w:val="clear" w:color="auto" w:fill="FFFFFF"/>
          <w:lang w:val="es-ES"/>
        </w:rPr>
      </w:pPr>
    </w:p>
    <w:p w14:paraId="00A31121" w14:textId="77777777" w:rsidR="00570F85" w:rsidRDefault="00570F85" w:rsidP="00722565">
      <w:pPr>
        <w:suppressLineNumbers/>
        <w:ind w:firstLine="720"/>
        <w:jc w:val="both"/>
        <w:rPr>
          <w:rFonts w:ascii="Book Antiqua" w:hAnsi="Book Antiqua" w:cs="Arial"/>
          <w:color w:val="000000"/>
          <w:shd w:val="clear" w:color="auto" w:fill="FFFFFF"/>
          <w:lang w:val="es-ES"/>
        </w:rPr>
      </w:pPr>
    </w:p>
    <w:p w14:paraId="6CECC973" w14:textId="77777777" w:rsidR="00570F85" w:rsidRPr="009D4605" w:rsidRDefault="00570F85" w:rsidP="00722565">
      <w:pPr>
        <w:suppressLineNumbers/>
        <w:ind w:firstLine="720"/>
        <w:jc w:val="both"/>
        <w:rPr>
          <w:rFonts w:ascii="Book Antiqua" w:hAnsi="Book Antiqua" w:cs="Arial"/>
          <w:color w:val="000000"/>
          <w:shd w:val="clear" w:color="auto" w:fill="FFFFFF"/>
          <w:lang w:val="es-ES"/>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lastRenderedPageBreak/>
        <w:t>DECRÉTASE POR LA ASAMBLEA LEGISLATIVA DE PUERTO RICO:</w:t>
      </w:r>
    </w:p>
    <w:p w14:paraId="768D121B" w14:textId="77777777" w:rsidR="00A8303C" w:rsidRPr="00E46DF9" w:rsidRDefault="00A8303C" w:rsidP="00A8303C">
      <w:pPr>
        <w:spacing w:line="480" w:lineRule="auto"/>
        <w:ind w:firstLine="708"/>
        <w:contextualSpacing/>
        <w:jc w:val="both"/>
        <w:rPr>
          <w:rStyle w:val="hps"/>
          <w:rFonts w:ascii="Book Antiqua" w:hAnsi="Book Antiqua"/>
          <w:color w:val="000000"/>
          <w:lang w:val="es-ES"/>
        </w:rPr>
      </w:pPr>
      <w:r w:rsidRPr="00E46DF9">
        <w:rPr>
          <w:rStyle w:val="hps"/>
          <w:rFonts w:ascii="Book Antiqua" w:hAnsi="Book Antiqua"/>
          <w:color w:val="000000"/>
          <w:lang w:val="es-ES"/>
        </w:rPr>
        <w:t>Sección 1.-</w:t>
      </w:r>
      <w:r>
        <w:rPr>
          <w:rFonts w:ascii="Book Antiqua" w:hAnsi="Book Antiqua" w:cs="Arial"/>
          <w:color w:val="000000"/>
          <w:shd w:val="clear" w:color="auto" w:fill="FFFFFF"/>
          <w:lang w:val="es-ES"/>
        </w:rPr>
        <w:t>Se enmienda el</w:t>
      </w:r>
      <w:r>
        <w:rPr>
          <w:rStyle w:val="hps"/>
          <w:rFonts w:ascii="Book Antiqua" w:hAnsi="Book Antiqua"/>
          <w:color w:val="000000"/>
          <w:lang w:val="es-ES"/>
        </w:rPr>
        <w:t xml:space="preserve"> Artículo 4 de la</w:t>
      </w:r>
      <w:r w:rsidRPr="00913F61">
        <w:rPr>
          <w:rFonts w:ascii="Book Antiqua" w:hAnsi="Book Antiqua" w:cs="Arial"/>
          <w:color w:val="000000"/>
          <w:shd w:val="clear" w:color="auto" w:fill="FFFFFF"/>
          <w:lang w:val="es-ES"/>
        </w:rPr>
        <w:t xml:space="preserve"> </w:t>
      </w:r>
      <w:r w:rsidRPr="00DA088F">
        <w:rPr>
          <w:rFonts w:ascii="Book Antiqua" w:hAnsi="Book Antiqua" w:cs="Arial"/>
          <w:color w:val="000000"/>
          <w:shd w:val="clear" w:color="auto" w:fill="FFFFFF"/>
          <w:lang w:val="es-ES"/>
        </w:rPr>
        <w:t xml:space="preserve">Ley Núm. </w:t>
      </w:r>
      <w:r>
        <w:rPr>
          <w:rFonts w:ascii="Book Antiqua" w:hAnsi="Book Antiqua" w:cs="Arial"/>
          <w:color w:val="000000"/>
          <w:shd w:val="clear" w:color="auto" w:fill="FFFFFF"/>
          <w:lang w:val="es-ES"/>
        </w:rPr>
        <w:t>20-2001, según enmendada, para que lea como sigue:</w:t>
      </w:r>
      <w:r w:rsidRPr="00E46DF9">
        <w:rPr>
          <w:rStyle w:val="hps"/>
          <w:rFonts w:ascii="Book Antiqua" w:hAnsi="Book Antiqua"/>
          <w:color w:val="000000"/>
          <w:lang w:val="es-ES"/>
        </w:rPr>
        <w:t xml:space="preserve"> </w:t>
      </w:r>
    </w:p>
    <w:p w14:paraId="1CFC9BEF" w14:textId="77777777" w:rsidR="00A8303C" w:rsidRPr="00687CB9" w:rsidRDefault="00A8303C" w:rsidP="00A8303C">
      <w:pPr>
        <w:spacing w:line="480" w:lineRule="auto"/>
        <w:ind w:firstLine="720"/>
        <w:contextualSpacing/>
        <w:jc w:val="both"/>
        <w:rPr>
          <w:rStyle w:val="hps"/>
          <w:rFonts w:ascii="Book Antiqua" w:hAnsi="Book Antiqua"/>
          <w:color w:val="000000"/>
          <w:lang w:val="es-ES"/>
        </w:rPr>
      </w:pPr>
      <w:r w:rsidRPr="00E46DF9">
        <w:rPr>
          <w:rStyle w:val="hps"/>
          <w:rFonts w:ascii="Book Antiqua" w:hAnsi="Book Antiqua"/>
          <w:color w:val="000000"/>
          <w:lang w:val="es-ES"/>
        </w:rPr>
        <w:t>“</w:t>
      </w:r>
      <w:r w:rsidRPr="00687CB9">
        <w:rPr>
          <w:rStyle w:val="hps"/>
          <w:rFonts w:ascii="Book Antiqua" w:hAnsi="Book Antiqua"/>
          <w:color w:val="000000"/>
          <w:lang w:val="es-ES"/>
        </w:rPr>
        <w:t xml:space="preserve">Artículo </w:t>
      </w:r>
      <w:r>
        <w:rPr>
          <w:rStyle w:val="hps"/>
          <w:rFonts w:ascii="Book Antiqua" w:hAnsi="Book Antiqua"/>
          <w:color w:val="000000"/>
          <w:lang w:val="es-ES"/>
        </w:rPr>
        <w:t>4</w:t>
      </w:r>
      <w:r w:rsidRPr="00687CB9">
        <w:rPr>
          <w:rStyle w:val="hps"/>
          <w:rFonts w:ascii="Book Antiqua" w:hAnsi="Book Antiqua"/>
          <w:color w:val="000000"/>
          <w:lang w:val="es-ES"/>
        </w:rPr>
        <w:t xml:space="preserve">. — </w:t>
      </w:r>
      <w:r>
        <w:rPr>
          <w:rStyle w:val="hps"/>
          <w:rFonts w:ascii="Book Antiqua" w:hAnsi="Book Antiqua"/>
          <w:color w:val="000000"/>
          <w:lang w:val="es-ES"/>
        </w:rPr>
        <w:t>Creación</w:t>
      </w:r>
      <w:r w:rsidRPr="00687CB9">
        <w:rPr>
          <w:rStyle w:val="hps"/>
          <w:rFonts w:ascii="Book Antiqua" w:hAnsi="Book Antiqua"/>
          <w:color w:val="000000"/>
          <w:lang w:val="es-ES"/>
        </w:rPr>
        <w:t xml:space="preserve">. </w:t>
      </w:r>
    </w:p>
    <w:p w14:paraId="21F6D8B2" w14:textId="77777777" w:rsidR="00A8303C" w:rsidRDefault="00A8303C" w:rsidP="00A8303C">
      <w:pPr>
        <w:spacing w:line="480" w:lineRule="auto"/>
        <w:ind w:left="708" w:firstLine="702"/>
        <w:contextualSpacing/>
        <w:jc w:val="both"/>
        <w:rPr>
          <w:rStyle w:val="hps"/>
          <w:rFonts w:ascii="Book Antiqua" w:hAnsi="Book Antiqua"/>
          <w:color w:val="000000"/>
          <w:lang w:val="es-ES"/>
        </w:rPr>
      </w:pPr>
      <w:r>
        <w:rPr>
          <w:rStyle w:val="hps"/>
          <w:rFonts w:ascii="Book Antiqua" w:hAnsi="Book Antiqua"/>
          <w:color w:val="000000"/>
          <w:lang w:val="es-ES"/>
        </w:rPr>
        <w:t>…</w:t>
      </w:r>
    </w:p>
    <w:p w14:paraId="15E3F956" w14:textId="77777777" w:rsidR="00A8303C" w:rsidRPr="00B2218A" w:rsidRDefault="00A8303C" w:rsidP="00A8303C">
      <w:pPr>
        <w:spacing w:line="480" w:lineRule="auto"/>
        <w:ind w:left="708" w:firstLine="702"/>
        <w:contextualSpacing/>
        <w:jc w:val="both"/>
        <w:rPr>
          <w:rStyle w:val="hps"/>
          <w:color w:val="000000"/>
          <w:lang w:val="es-ES"/>
        </w:rPr>
      </w:pPr>
      <w:r w:rsidRPr="00440697">
        <w:rPr>
          <w:rStyle w:val="hps"/>
          <w:rFonts w:ascii="Book Antiqua" w:hAnsi="Book Antiqua"/>
          <w:i/>
          <w:iCs/>
          <w:color w:val="000000"/>
          <w:lang w:val="es-ES"/>
        </w:rPr>
        <w:t>Cuando el cargo de Procuradora quede vacante de forma permanente antes de que expire el término de su nombramiento, la Gobernadora o el Gobernador, con el consejo y consentimiento del Senado, nombrará a su sucesora, quien ocupará el cargo por un nuevo término de diez (10) años, hasta que su sucesora sea nombrada y tome posesión del cargo, conforme a lo dispuesto en este Artíc</w:t>
      </w:r>
      <w:r w:rsidRPr="00B2218A">
        <w:rPr>
          <w:rStyle w:val="hps"/>
          <w:rFonts w:ascii="Book Antiqua" w:hAnsi="Book Antiqua"/>
          <w:i/>
          <w:iCs/>
          <w:color w:val="000000"/>
          <w:lang w:val="es-ES"/>
        </w:rPr>
        <w:t>ulo.</w:t>
      </w:r>
      <w:r w:rsidRPr="00B2218A">
        <w:rPr>
          <w:rStyle w:val="hps"/>
          <w:rFonts w:ascii="Book Antiqua" w:hAnsi="Book Antiqua"/>
          <w:color w:val="000000"/>
          <w:lang w:val="es-ES"/>
        </w:rPr>
        <w:t>”</w:t>
      </w:r>
    </w:p>
    <w:p w14:paraId="65E11575" w14:textId="77777777" w:rsidR="00A8303C" w:rsidRPr="00E46DF9" w:rsidRDefault="00A8303C" w:rsidP="00A8303C">
      <w:pPr>
        <w:spacing w:line="480" w:lineRule="auto"/>
        <w:ind w:firstLine="708"/>
        <w:contextualSpacing/>
        <w:jc w:val="both"/>
        <w:rPr>
          <w:rStyle w:val="hps"/>
          <w:rFonts w:ascii="Book Antiqua" w:hAnsi="Book Antiqua"/>
          <w:color w:val="000000"/>
          <w:lang w:val="es-ES"/>
        </w:rPr>
      </w:pPr>
      <w:r w:rsidRPr="00E46DF9">
        <w:rPr>
          <w:rStyle w:val="hps"/>
          <w:rFonts w:ascii="Book Antiqua" w:hAnsi="Book Antiqua"/>
          <w:color w:val="000000"/>
          <w:lang w:val="es-ES"/>
        </w:rPr>
        <w:t xml:space="preserve">Sección </w:t>
      </w:r>
      <w:r>
        <w:rPr>
          <w:rStyle w:val="hps"/>
          <w:rFonts w:ascii="Book Antiqua" w:hAnsi="Book Antiqua"/>
          <w:color w:val="000000"/>
          <w:lang w:val="es-ES"/>
        </w:rPr>
        <w:t>2</w:t>
      </w:r>
      <w:r w:rsidRPr="00E46DF9">
        <w:rPr>
          <w:rStyle w:val="hps"/>
          <w:rFonts w:ascii="Book Antiqua" w:hAnsi="Book Antiqua"/>
          <w:color w:val="000000"/>
          <w:lang w:val="es-ES"/>
        </w:rPr>
        <w:t>.-</w:t>
      </w:r>
      <w:r>
        <w:rPr>
          <w:rFonts w:ascii="Book Antiqua" w:hAnsi="Book Antiqua" w:cs="Arial"/>
          <w:color w:val="000000"/>
          <w:shd w:val="clear" w:color="auto" w:fill="FFFFFF"/>
          <w:lang w:val="es-ES"/>
        </w:rPr>
        <w:t>Se enmienda el</w:t>
      </w:r>
      <w:r>
        <w:rPr>
          <w:rStyle w:val="hps"/>
          <w:rFonts w:ascii="Book Antiqua" w:hAnsi="Book Antiqua"/>
          <w:color w:val="000000"/>
          <w:lang w:val="es-ES"/>
        </w:rPr>
        <w:t xml:space="preserve"> Artículo 5 de la</w:t>
      </w:r>
      <w:r w:rsidRPr="00913F61">
        <w:rPr>
          <w:rFonts w:ascii="Book Antiqua" w:hAnsi="Book Antiqua" w:cs="Arial"/>
          <w:color w:val="000000"/>
          <w:shd w:val="clear" w:color="auto" w:fill="FFFFFF"/>
          <w:lang w:val="es-ES"/>
        </w:rPr>
        <w:t xml:space="preserve"> </w:t>
      </w:r>
      <w:r w:rsidRPr="00DA088F">
        <w:rPr>
          <w:rFonts w:ascii="Book Antiqua" w:hAnsi="Book Antiqua" w:cs="Arial"/>
          <w:color w:val="000000"/>
          <w:shd w:val="clear" w:color="auto" w:fill="FFFFFF"/>
          <w:lang w:val="es-ES"/>
        </w:rPr>
        <w:t xml:space="preserve">Ley Núm. </w:t>
      </w:r>
      <w:r>
        <w:rPr>
          <w:rFonts w:ascii="Book Antiqua" w:hAnsi="Book Antiqua" w:cs="Arial"/>
          <w:color w:val="000000"/>
          <w:shd w:val="clear" w:color="auto" w:fill="FFFFFF"/>
          <w:lang w:val="es-ES"/>
        </w:rPr>
        <w:t>20-2001, según enmendada, para que lea como sigue:</w:t>
      </w:r>
      <w:r w:rsidRPr="00E46DF9">
        <w:rPr>
          <w:rStyle w:val="hps"/>
          <w:rFonts w:ascii="Book Antiqua" w:hAnsi="Book Antiqua"/>
          <w:color w:val="000000"/>
          <w:lang w:val="es-ES"/>
        </w:rPr>
        <w:t xml:space="preserve"> </w:t>
      </w:r>
    </w:p>
    <w:p w14:paraId="070112B5" w14:textId="77777777" w:rsidR="00A8303C" w:rsidRPr="00687CB9" w:rsidRDefault="00A8303C" w:rsidP="00A8303C">
      <w:pPr>
        <w:spacing w:line="480" w:lineRule="auto"/>
        <w:ind w:firstLine="720"/>
        <w:contextualSpacing/>
        <w:jc w:val="both"/>
        <w:rPr>
          <w:rStyle w:val="hps"/>
          <w:rFonts w:ascii="Book Antiqua" w:hAnsi="Book Antiqua"/>
          <w:color w:val="000000"/>
          <w:lang w:val="es-ES"/>
        </w:rPr>
      </w:pPr>
      <w:r w:rsidRPr="00E46DF9">
        <w:rPr>
          <w:rStyle w:val="hps"/>
          <w:rFonts w:ascii="Book Antiqua" w:hAnsi="Book Antiqua"/>
          <w:color w:val="000000"/>
          <w:lang w:val="es-ES"/>
        </w:rPr>
        <w:t>“</w:t>
      </w:r>
      <w:r w:rsidRPr="00687CB9">
        <w:rPr>
          <w:rStyle w:val="hps"/>
          <w:rFonts w:ascii="Book Antiqua" w:hAnsi="Book Antiqua"/>
          <w:color w:val="000000"/>
          <w:lang w:val="es-ES"/>
        </w:rPr>
        <w:t xml:space="preserve">Artículo </w:t>
      </w:r>
      <w:r>
        <w:rPr>
          <w:rStyle w:val="hps"/>
          <w:rFonts w:ascii="Book Antiqua" w:hAnsi="Book Antiqua"/>
          <w:color w:val="000000"/>
          <w:lang w:val="es-ES"/>
        </w:rPr>
        <w:t>5</w:t>
      </w:r>
      <w:r w:rsidRPr="00687CB9">
        <w:rPr>
          <w:rStyle w:val="hps"/>
          <w:rFonts w:ascii="Book Antiqua" w:hAnsi="Book Antiqua"/>
          <w:color w:val="000000"/>
          <w:lang w:val="es-ES"/>
        </w:rPr>
        <w:t xml:space="preserve">. — </w:t>
      </w:r>
      <w:r>
        <w:rPr>
          <w:rStyle w:val="hps"/>
          <w:rFonts w:ascii="Book Antiqua" w:hAnsi="Book Antiqua"/>
          <w:color w:val="000000"/>
          <w:lang w:val="es-ES"/>
        </w:rPr>
        <w:t>Procuradora Auxiliar</w:t>
      </w:r>
      <w:r w:rsidRPr="00687CB9">
        <w:rPr>
          <w:rStyle w:val="hps"/>
          <w:rFonts w:ascii="Book Antiqua" w:hAnsi="Book Antiqua"/>
          <w:color w:val="000000"/>
          <w:lang w:val="es-ES"/>
        </w:rPr>
        <w:t xml:space="preserve">. </w:t>
      </w:r>
    </w:p>
    <w:p w14:paraId="4F375E21" w14:textId="77777777" w:rsidR="00A8303C" w:rsidRPr="00B2218A" w:rsidRDefault="00A8303C" w:rsidP="00A8303C">
      <w:pPr>
        <w:spacing w:line="480" w:lineRule="auto"/>
        <w:ind w:left="708" w:firstLine="702"/>
        <w:contextualSpacing/>
        <w:jc w:val="both"/>
        <w:rPr>
          <w:rStyle w:val="hps"/>
          <w:rFonts w:ascii="Book Antiqua" w:hAnsi="Book Antiqua"/>
          <w:color w:val="000000"/>
          <w:lang w:val="es-ES"/>
        </w:rPr>
      </w:pPr>
      <w:r w:rsidRPr="00440697">
        <w:rPr>
          <w:rStyle w:val="hps"/>
          <w:rFonts w:ascii="Book Antiqua" w:hAnsi="Book Antiqua"/>
          <w:color w:val="000000"/>
          <w:lang w:val="es-ES"/>
        </w:rPr>
        <w:t>La Procuradora, previa consulta con la Gobernadora o el Gobernador, podrá nombrar una</w:t>
      </w:r>
      <w:r>
        <w:rPr>
          <w:rStyle w:val="hps"/>
          <w:rFonts w:ascii="Book Antiqua" w:hAnsi="Book Antiqua"/>
          <w:color w:val="000000"/>
          <w:lang w:val="es-ES"/>
        </w:rPr>
        <w:t xml:space="preserve"> </w:t>
      </w:r>
      <w:r w:rsidRPr="00440697">
        <w:rPr>
          <w:rStyle w:val="hps"/>
          <w:rFonts w:ascii="Book Antiqua" w:hAnsi="Book Antiqua"/>
          <w:color w:val="000000"/>
          <w:lang w:val="es-ES"/>
        </w:rPr>
        <w:t>Procuradora Auxiliar y delegarle cualesquiera de las funciones dispuestas en esta Ley, excepto la</w:t>
      </w:r>
      <w:r>
        <w:rPr>
          <w:rStyle w:val="hps"/>
          <w:rFonts w:ascii="Book Antiqua" w:hAnsi="Book Antiqua"/>
          <w:color w:val="000000"/>
          <w:lang w:val="es-ES"/>
        </w:rPr>
        <w:t xml:space="preserve"> </w:t>
      </w:r>
      <w:r w:rsidRPr="00440697">
        <w:rPr>
          <w:rStyle w:val="hps"/>
          <w:rFonts w:ascii="Book Antiqua" w:hAnsi="Book Antiqua"/>
          <w:color w:val="000000"/>
          <w:lang w:val="es-ES"/>
        </w:rPr>
        <w:t>de nombrar el personal y adoptar los reglamentos necesarios para cumplir con los propósitos de</w:t>
      </w:r>
      <w:r>
        <w:rPr>
          <w:rStyle w:val="hps"/>
          <w:rFonts w:ascii="Book Antiqua" w:hAnsi="Book Antiqua"/>
          <w:color w:val="000000"/>
          <w:lang w:val="es-ES"/>
        </w:rPr>
        <w:t xml:space="preserve"> </w:t>
      </w:r>
      <w:r w:rsidRPr="00440697">
        <w:rPr>
          <w:rStyle w:val="hps"/>
          <w:rFonts w:ascii="Book Antiqua" w:hAnsi="Book Antiqua"/>
          <w:color w:val="000000"/>
          <w:lang w:val="es-ES"/>
        </w:rPr>
        <w:t>esta Ley. La persona nombrada como Procuradora Auxiliar deberá reunir todos los requisitos que</w:t>
      </w:r>
      <w:r>
        <w:rPr>
          <w:rStyle w:val="hps"/>
          <w:rFonts w:ascii="Book Antiqua" w:hAnsi="Book Antiqua"/>
          <w:color w:val="000000"/>
          <w:lang w:val="es-ES"/>
        </w:rPr>
        <w:t xml:space="preserve"> </w:t>
      </w:r>
      <w:r w:rsidRPr="00440697">
        <w:rPr>
          <w:rStyle w:val="hps"/>
          <w:rFonts w:ascii="Book Antiqua" w:hAnsi="Book Antiqua"/>
          <w:color w:val="000000"/>
          <w:lang w:val="es-ES"/>
        </w:rPr>
        <w:t>exige esta Ley para el cargo de Procuradora y asumirá todas las funciones, deberes y facultades de</w:t>
      </w:r>
      <w:r>
        <w:rPr>
          <w:rStyle w:val="hps"/>
          <w:rFonts w:ascii="Book Antiqua" w:hAnsi="Book Antiqua"/>
          <w:color w:val="000000"/>
          <w:lang w:val="es-ES"/>
        </w:rPr>
        <w:t xml:space="preserve"> </w:t>
      </w:r>
      <w:r w:rsidRPr="00440697">
        <w:rPr>
          <w:rStyle w:val="hps"/>
          <w:rFonts w:ascii="Book Antiqua" w:hAnsi="Book Antiqua"/>
          <w:color w:val="000000"/>
          <w:lang w:val="es-ES"/>
        </w:rPr>
        <w:t>ésta en caso de enfermedad, incapacidad, ausencia temporal o cuando surja una vacante, hasta</w:t>
      </w:r>
      <w:r>
        <w:rPr>
          <w:rStyle w:val="hps"/>
          <w:rFonts w:ascii="Book Antiqua" w:hAnsi="Book Antiqua"/>
          <w:color w:val="000000"/>
          <w:lang w:val="es-ES"/>
        </w:rPr>
        <w:t xml:space="preserve"> </w:t>
      </w:r>
      <w:r w:rsidRPr="00440697">
        <w:rPr>
          <w:rStyle w:val="hps"/>
          <w:rFonts w:ascii="Book Antiqua" w:hAnsi="Book Antiqua"/>
          <w:color w:val="000000"/>
          <w:lang w:val="es-ES"/>
        </w:rPr>
        <w:t xml:space="preserve">tanto su sucesora sea designada y tome posesión del cargo. </w:t>
      </w:r>
      <w:r w:rsidRPr="00440697">
        <w:rPr>
          <w:rStyle w:val="hps"/>
          <w:rFonts w:ascii="Book Antiqua" w:hAnsi="Book Antiqua"/>
          <w:b/>
          <w:bCs/>
          <w:color w:val="000000"/>
          <w:lang w:val="es-ES"/>
        </w:rPr>
        <w:t xml:space="preserve">[Cuando el cargo de Procuradora quede vacante de forma permanente, </w:t>
      </w:r>
      <w:r w:rsidRPr="00440697">
        <w:rPr>
          <w:rStyle w:val="hps"/>
          <w:rFonts w:ascii="Book Antiqua" w:hAnsi="Book Antiqua"/>
          <w:b/>
          <w:bCs/>
          <w:color w:val="000000"/>
          <w:lang w:val="es-ES"/>
        </w:rPr>
        <w:lastRenderedPageBreak/>
        <w:t>antes de expirar el término de su nombramiento, la sucesora será nombrada por el término no cumplido de la que ocasione tal vacante.]</w:t>
      </w:r>
      <w:r>
        <w:rPr>
          <w:rStyle w:val="hps"/>
          <w:rFonts w:ascii="Book Antiqua" w:hAnsi="Book Antiqua"/>
          <w:color w:val="000000"/>
          <w:lang w:val="es-ES"/>
        </w:rPr>
        <w:t>”</w:t>
      </w:r>
    </w:p>
    <w:p w14:paraId="1A22F08E" w14:textId="77777777" w:rsidR="00A8303C" w:rsidRPr="00525F1B" w:rsidRDefault="00A8303C" w:rsidP="00A8303C">
      <w:pPr>
        <w:pStyle w:val="Textoindependiente"/>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3</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Derogación tácita. </w:t>
      </w:r>
    </w:p>
    <w:p w14:paraId="497345E3" w14:textId="77777777" w:rsidR="00A8303C" w:rsidRPr="00525F1B" w:rsidRDefault="00A8303C" w:rsidP="00A8303C">
      <w:pPr>
        <w:pStyle w:val="Textoindependiente"/>
        <w:spacing w:line="480" w:lineRule="auto"/>
        <w:ind w:firstLine="720"/>
        <w:rPr>
          <w:rFonts w:ascii="Book Antiqua" w:hAnsi="Book Antiqua"/>
          <w:color w:val="000000" w:themeColor="text1"/>
        </w:rPr>
      </w:pPr>
      <w:r w:rsidRPr="00525F1B">
        <w:rPr>
          <w:rFonts w:ascii="Book Antiqua" w:hAnsi="Book Antiqua"/>
          <w:color w:val="000000" w:themeColor="text1"/>
        </w:rPr>
        <w:t>Cualquier disposición de ley o reglamentación que sea incompatible con las disposiciones de esta Ley queda por la presente derogada hasta donde existiere tal incompatibilidad.</w:t>
      </w:r>
    </w:p>
    <w:p w14:paraId="664CE82F" w14:textId="77777777" w:rsidR="00A8303C" w:rsidRPr="00525F1B" w:rsidRDefault="00A8303C" w:rsidP="00A8303C">
      <w:pPr>
        <w:pStyle w:val="Textoindependiente"/>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4</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Separabilidad.</w:t>
      </w:r>
    </w:p>
    <w:p w14:paraId="2F74414C" w14:textId="77777777" w:rsidR="00A8303C" w:rsidRPr="00525F1B" w:rsidRDefault="00A8303C" w:rsidP="00A8303C">
      <w:pPr>
        <w:pStyle w:val="Textoindependiente"/>
        <w:spacing w:line="480" w:lineRule="auto"/>
        <w:ind w:firstLine="720"/>
        <w:rPr>
          <w:rFonts w:ascii="Book Antiqua" w:hAnsi="Book Antiqua"/>
          <w:color w:val="000000" w:themeColor="text1"/>
        </w:rPr>
      </w:pPr>
      <w:r w:rsidRPr="00525F1B">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19F9BB81" w14:textId="77777777" w:rsidR="00A8303C" w:rsidRPr="00525F1B" w:rsidRDefault="00A8303C" w:rsidP="00A8303C">
      <w:pPr>
        <w:pStyle w:val="Textoindependiente"/>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5</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79550695" w14:textId="5C64479F" w:rsidR="00FF2214" w:rsidRPr="00A770A7" w:rsidRDefault="00A8303C" w:rsidP="00A8303C">
      <w:pPr>
        <w:pStyle w:val="Textoindependiente"/>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r>
        <w:rPr>
          <w:rFonts w:ascii="Book Antiqua" w:hAnsi="Book Antiqua"/>
          <w:color w:val="000000" w:themeColor="text1"/>
          <w:lang w:val="es-ES"/>
        </w:rPr>
        <w:t>.</w:t>
      </w:r>
    </w:p>
    <w:sectPr w:rsidR="00FF2214" w:rsidRPr="00A770A7">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A3090BD1-E2AA-4E99-ABE2-C1812ABF2F49}"/>
    <w:embedBold r:id="rId2" w:fontKey="{4A5E80FF-3761-423A-8C49-FEAA0DAC0D44}"/>
    <w:embedItalic r:id="rId3" w:fontKey="{FB35EF59-381F-4241-969E-4B7561B56723}"/>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FDBC5D98-3E02-419D-946D-46829D451C8E}"/>
  </w:font>
  <w:font w:name="Georgia">
    <w:panose1 w:val="02040502050405020303"/>
    <w:charset w:val="00"/>
    <w:family w:val="roman"/>
    <w:pitch w:val="variable"/>
    <w:sig w:usb0="00000287" w:usb1="00000000" w:usb2="00000000" w:usb3="00000000" w:csb0="0000009F" w:csb1="00000000"/>
    <w:embedRegular r:id="rId5" w:fontKey="{2F17B413-0879-4B26-99BA-7872E30DEAB1}"/>
    <w:embedItalic r:id="rId6" w:fontKey="{D848DC4A-9BA7-437F-93CB-234AC8A356BF}"/>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DD08DFC6-AF6D-4366-BC1D-DA50FB96414D}"/>
    <w:embedItalic r:id="rId8" w:fontKey="{B81C875E-4637-4122-88FC-7B455A1BC93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9" w:fontKey="{F5C3E40E-CBDD-4143-95CB-FA9CB26FABC6}"/>
  </w:font>
  <w:font w:name="Times">
    <w:panose1 w:val="02020603050405020304"/>
    <w:charset w:val="00"/>
    <w:family w:val="roman"/>
    <w:pitch w:val="variable"/>
    <w:sig w:usb0="E0002EFF" w:usb1="C000785B" w:usb2="00000009" w:usb3="00000000" w:csb0="000001FF" w:csb1="00000000"/>
    <w:embedBold r:id="rId10" w:fontKey="{29674C54-848F-4971-B834-4E9E36BC5A1D}"/>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030CCA17-6909-4149-A28D-388B061969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559BE27" w:rsidR="00FF2214" w:rsidRDefault="00850770">
    <w:pPr>
      <w:tabs>
        <w:tab w:val="center" w:pos="4320"/>
        <w:tab w:val="right" w:pos="8640"/>
      </w:tabs>
      <w:jc w:val="right"/>
      <w:rPr>
        <w:color w:val="000000"/>
      </w:rPr>
    </w:pPr>
    <w:r>
      <w:rPr>
        <w:color w:val="000000"/>
      </w:rPr>
      <w:t>A-0</w:t>
    </w:r>
    <w:r w:rsidR="00465256">
      <w:rPr>
        <w:color w:val="000000"/>
      </w:rPr>
      <w:t>2</w:t>
    </w:r>
    <w:r w:rsidR="007278EF">
      <w:rPr>
        <w:color w:val="000000"/>
      </w:rPr>
      <w:t>5</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7"/>
  </w:num>
  <w:num w:numId="2" w16cid:durableId="1011832284">
    <w:abstractNumId w:val="3"/>
  </w:num>
  <w:num w:numId="3" w16cid:durableId="1943102285">
    <w:abstractNumId w:val="12"/>
  </w:num>
  <w:num w:numId="4" w16cid:durableId="1106316835">
    <w:abstractNumId w:val="10"/>
  </w:num>
  <w:num w:numId="5" w16cid:durableId="455106598">
    <w:abstractNumId w:val="9"/>
  </w:num>
  <w:num w:numId="6" w16cid:durableId="175340939">
    <w:abstractNumId w:val="1"/>
  </w:num>
  <w:num w:numId="7" w16cid:durableId="1854225982">
    <w:abstractNumId w:val="11"/>
  </w:num>
  <w:num w:numId="8" w16cid:durableId="1919754197">
    <w:abstractNumId w:val="0"/>
  </w:num>
  <w:num w:numId="9" w16cid:durableId="365562201">
    <w:abstractNumId w:val="2"/>
  </w:num>
  <w:num w:numId="10" w16cid:durableId="1904826230">
    <w:abstractNumId w:val="4"/>
  </w:num>
  <w:num w:numId="11" w16cid:durableId="118687224">
    <w:abstractNumId w:val="5"/>
  </w:num>
  <w:num w:numId="12" w16cid:durableId="508376565">
    <w:abstractNumId w:val="8"/>
  </w:num>
  <w:num w:numId="13" w16cid:durableId="2168192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8657D"/>
    <w:rsid w:val="00091F49"/>
    <w:rsid w:val="00093558"/>
    <w:rsid w:val="00094484"/>
    <w:rsid w:val="0009603C"/>
    <w:rsid w:val="000A1DC3"/>
    <w:rsid w:val="000A33B9"/>
    <w:rsid w:val="000B33EC"/>
    <w:rsid w:val="000B757B"/>
    <w:rsid w:val="000C0F6A"/>
    <w:rsid w:val="000C5223"/>
    <w:rsid w:val="000C58FF"/>
    <w:rsid w:val="000C68E5"/>
    <w:rsid w:val="000D2EB5"/>
    <w:rsid w:val="000D30A4"/>
    <w:rsid w:val="000E515E"/>
    <w:rsid w:val="000E6633"/>
    <w:rsid w:val="000F222B"/>
    <w:rsid w:val="000F2B0A"/>
    <w:rsid w:val="001122CE"/>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93F"/>
    <w:rsid w:val="002429DB"/>
    <w:rsid w:val="002435A4"/>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E7A"/>
    <w:rsid w:val="00342132"/>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42E2"/>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6B8B"/>
    <w:rsid w:val="004A763E"/>
    <w:rsid w:val="004B290C"/>
    <w:rsid w:val="004B357F"/>
    <w:rsid w:val="004C411D"/>
    <w:rsid w:val="004C41AE"/>
    <w:rsid w:val="004C42A5"/>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0F85"/>
    <w:rsid w:val="00573345"/>
    <w:rsid w:val="0057336F"/>
    <w:rsid w:val="00573C36"/>
    <w:rsid w:val="0057614A"/>
    <w:rsid w:val="00576725"/>
    <w:rsid w:val="00580739"/>
    <w:rsid w:val="00591957"/>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2565"/>
    <w:rsid w:val="007255E2"/>
    <w:rsid w:val="00725A20"/>
    <w:rsid w:val="007278EF"/>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09D7"/>
    <w:rsid w:val="00804D98"/>
    <w:rsid w:val="00805B64"/>
    <w:rsid w:val="00807CED"/>
    <w:rsid w:val="00812840"/>
    <w:rsid w:val="008316F2"/>
    <w:rsid w:val="00831773"/>
    <w:rsid w:val="008337A4"/>
    <w:rsid w:val="00834801"/>
    <w:rsid w:val="00836710"/>
    <w:rsid w:val="008402C1"/>
    <w:rsid w:val="008450D8"/>
    <w:rsid w:val="00850770"/>
    <w:rsid w:val="00855FBB"/>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016E"/>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A152E"/>
    <w:rsid w:val="009A201B"/>
    <w:rsid w:val="009B47BF"/>
    <w:rsid w:val="009D1C75"/>
    <w:rsid w:val="009D5726"/>
    <w:rsid w:val="009D61E3"/>
    <w:rsid w:val="009D7450"/>
    <w:rsid w:val="009D79EC"/>
    <w:rsid w:val="009E36AA"/>
    <w:rsid w:val="009F15AE"/>
    <w:rsid w:val="00A02203"/>
    <w:rsid w:val="00A04577"/>
    <w:rsid w:val="00A11BAB"/>
    <w:rsid w:val="00A14D76"/>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62528"/>
    <w:rsid w:val="00A67A3A"/>
    <w:rsid w:val="00A770A7"/>
    <w:rsid w:val="00A7759E"/>
    <w:rsid w:val="00A8093F"/>
    <w:rsid w:val="00A8303C"/>
    <w:rsid w:val="00A860DC"/>
    <w:rsid w:val="00A92D34"/>
    <w:rsid w:val="00A94A37"/>
    <w:rsid w:val="00A9567F"/>
    <w:rsid w:val="00AA1BAB"/>
    <w:rsid w:val="00AB417C"/>
    <w:rsid w:val="00AB6B2F"/>
    <w:rsid w:val="00AC7A4D"/>
    <w:rsid w:val="00AD173C"/>
    <w:rsid w:val="00AD1CE3"/>
    <w:rsid w:val="00AD2586"/>
    <w:rsid w:val="00AD3CF8"/>
    <w:rsid w:val="00AD3DE1"/>
    <w:rsid w:val="00AD473B"/>
    <w:rsid w:val="00AD4C7D"/>
    <w:rsid w:val="00AE1FE1"/>
    <w:rsid w:val="00AF19DC"/>
    <w:rsid w:val="00AF26DE"/>
    <w:rsid w:val="00B01686"/>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47281"/>
    <w:rsid w:val="00B51DBD"/>
    <w:rsid w:val="00B5375E"/>
    <w:rsid w:val="00B57F92"/>
    <w:rsid w:val="00B60014"/>
    <w:rsid w:val="00B70B63"/>
    <w:rsid w:val="00B72A6A"/>
    <w:rsid w:val="00B74EC0"/>
    <w:rsid w:val="00B81E44"/>
    <w:rsid w:val="00B84666"/>
    <w:rsid w:val="00B84B1D"/>
    <w:rsid w:val="00B87A1C"/>
    <w:rsid w:val="00B87D3C"/>
    <w:rsid w:val="00B950B6"/>
    <w:rsid w:val="00BA70CD"/>
    <w:rsid w:val="00BB3314"/>
    <w:rsid w:val="00BB3C4F"/>
    <w:rsid w:val="00BB48CC"/>
    <w:rsid w:val="00BB4F4D"/>
    <w:rsid w:val="00BC1AD6"/>
    <w:rsid w:val="00BD11DE"/>
    <w:rsid w:val="00BD4F99"/>
    <w:rsid w:val="00BE4BBF"/>
    <w:rsid w:val="00BE55AC"/>
    <w:rsid w:val="00BE7D02"/>
    <w:rsid w:val="00BF5A14"/>
    <w:rsid w:val="00BF5DE6"/>
    <w:rsid w:val="00C002AA"/>
    <w:rsid w:val="00C004A4"/>
    <w:rsid w:val="00C05E49"/>
    <w:rsid w:val="00C05E9D"/>
    <w:rsid w:val="00C13DC9"/>
    <w:rsid w:val="00C32AB8"/>
    <w:rsid w:val="00C32AF1"/>
    <w:rsid w:val="00C33CEB"/>
    <w:rsid w:val="00C361CD"/>
    <w:rsid w:val="00C57448"/>
    <w:rsid w:val="00C60BA9"/>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4D03"/>
    <w:rsid w:val="00CD7B56"/>
    <w:rsid w:val="00CE36C8"/>
    <w:rsid w:val="00CF3010"/>
    <w:rsid w:val="00CF4242"/>
    <w:rsid w:val="00CF70FE"/>
    <w:rsid w:val="00D00EE1"/>
    <w:rsid w:val="00D16DFB"/>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15EC"/>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45F60"/>
    <w:rsid w:val="00F519A3"/>
    <w:rsid w:val="00F55BC6"/>
    <w:rsid w:val="00F571EB"/>
    <w:rsid w:val="00F65464"/>
    <w:rsid w:val="00F70223"/>
    <w:rsid w:val="00F70BEF"/>
    <w:rsid w:val="00F70D38"/>
    <w:rsid w:val="00F739FE"/>
    <w:rsid w:val="00F80A1E"/>
    <w:rsid w:val="00F858BD"/>
    <w:rsid w:val="00F92522"/>
    <w:rsid w:val="00FA0CB1"/>
    <w:rsid w:val="00FA11F4"/>
    <w:rsid w:val="00FB470E"/>
    <w:rsid w:val="00FB77D5"/>
    <w:rsid w:val="00FD02DB"/>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n">
    <w:name w:val="Revision"/>
    <w:hidden/>
    <w:uiPriority w:val="99"/>
    <w:semiHidden/>
    <w:rsid w:val="00891773"/>
    <w:rPr>
      <w:sz w:val="24"/>
      <w:szCs w:val="24"/>
    </w:rPr>
  </w:style>
  <w:style w:type="paragraph" w:styleId="Textoindependiente">
    <w:name w:val="Body Text"/>
    <w:basedOn w:val="Normal"/>
    <w:link w:val="TextoindependienteCar"/>
    <w:qFormat/>
    <w:rsid w:val="009061B2"/>
    <w:pPr>
      <w:jc w:val="both"/>
    </w:pPr>
    <w:rPr>
      <w:lang w:val="es-PR"/>
    </w:rPr>
  </w:style>
  <w:style w:type="character" w:customStyle="1" w:styleId="TextoindependienteCar">
    <w:name w:val="Texto independiente Car"/>
    <w:basedOn w:val="Fuentedeprrafopredeter"/>
    <w:link w:val="Textoindependiente"/>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character" w:customStyle="1" w:styleId="hps">
    <w:name w:val="hps"/>
    <w:basedOn w:val="Fuentedeprrafopredeter"/>
    <w:rsid w:val="0072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601032230">
      <w:bodyDiv w:val="1"/>
      <w:marLeft w:val="0"/>
      <w:marRight w:val="0"/>
      <w:marTop w:val="0"/>
      <w:marBottom w:val="0"/>
      <w:divBdr>
        <w:top w:val="none" w:sz="0" w:space="0" w:color="auto"/>
        <w:left w:val="none" w:sz="0" w:space="0" w:color="auto"/>
        <w:bottom w:val="none" w:sz="0" w:space="0" w:color="auto"/>
        <w:right w:val="none" w:sz="0" w:space="0" w:color="auto"/>
      </w:divBdr>
    </w:div>
    <w:div w:id="684138152">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15963267">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68525008">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357853485">
      <w:bodyDiv w:val="1"/>
      <w:marLeft w:val="0"/>
      <w:marRight w:val="0"/>
      <w:marTop w:val="0"/>
      <w:marBottom w:val="0"/>
      <w:divBdr>
        <w:top w:val="none" w:sz="0" w:space="0" w:color="auto"/>
        <w:left w:val="none" w:sz="0" w:space="0" w:color="auto"/>
        <w:bottom w:val="none" w:sz="0" w:space="0" w:color="auto"/>
        <w:right w:val="none" w:sz="0" w:space="0" w:color="auto"/>
      </w:divBdr>
    </w:div>
    <w:div w:id="1614165759">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Rocío Alayón Morell</cp:lastModifiedBy>
  <cp:revision>9</cp:revision>
  <cp:lastPrinted>2025-03-25T14:42:00Z</cp:lastPrinted>
  <dcterms:created xsi:type="dcterms:W3CDTF">2025-03-24T19:26:00Z</dcterms:created>
  <dcterms:modified xsi:type="dcterms:W3CDTF">2025-03-25T14:43:00Z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