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46D9FF9"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Pr>
          <w:rFonts w:ascii="Book Antiqua" w:hAnsi="Book Antiqua"/>
          <w:lang w:val="es-ES_tradnl"/>
        </w:rPr>
        <w:t>1</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00F41F50"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444</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6366660C" w:rsidR="00056A35" w:rsidRDefault="00E74101" w:rsidP="0040644C">
      <w:pPr>
        <w:spacing w:after="0" w:line="240" w:lineRule="auto"/>
        <w:contextualSpacing/>
        <w:jc w:val="center"/>
        <w:rPr>
          <w:rFonts w:ascii="Book Antiqua" w:hAnsi="Book Antiqua"/>
          <w:caps/>
          <w:lang w:val="es-ES_tradnl"/>
        </w:rPr>
      </w:pPr>
      <w:r>
        <w:rPr>
          <w:rFonts w:ascii="Book Antiqua" w:hAnsi="Book Antiqua"/>
          <w:caps/>
          <w:lang w:val="es-ES_tradnl"/>
        </w:rPr>
        <w:t>20</w:t>
      </w:r>
      <w:r w:rsidR="0040644C">
        <w:rPr>
          <w:rFonts w:ascii="Book Antiqua" w:hAnsi="Book Antiqua"/>
          <w:caps/>
          <w:lang w:val="es-ES_tradnl"/>
        </w:rPr>
        <w:t xml:space="preserve"> </w:t>
      </w:r>
      <w:r w:rsidR="00056A35">
        <w:rPr>
          <w:rFonts w:ascii="Book Antiqua" w:hAnsi="Book Antiqua"/>
          <w:caps/>
          <w:lang w:val="es-ES_tradnl"/>
        </w:rPr>
        <w:t xml:space="preserve">DE </w:t>
      </w:r>
      <w:r w:rsidR="00E53BFD">
        <w:rPr>
          <w:rFonts w:ascii="Book Antiqua" w:hAnsi="Book Antiqua"/>
          <w:caps/>
          <w:lang w:val="es-ES_tradnl"/>
        </w:rPr>
        <w:t>JUNI</w:t>
      </w:r>
      <w:r w:rsidR="00056A35">
        <w:rPr>
          <w:rFonts w:ascii="Book Antiqua" w:hAnsi="Book Antiqua"/>
          <w:caps/>
          <w:lang w:val="es-ES_tradnl"/>
        </w:rPr>
        <w:t>o DE 202</w:t>
      </w:r>
      <w:r w:rsidR="00B52DEC">
        <w:rPr>
          <w:rFonts w:ascii="Book Antiqua" w:hAnsi="Book Antiqua"/>
          <w:caps/>
          <w:lang w:val="es-ES_tradnl"/>
        </w:rPr>
        <w:t>5</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178CA017" w:rsidR="00056A35" w:rsidRPr="002C6D7D" w:rsidRDefault="0040644C" w:rsidP="00CD0DE5">
      <w:pPr>
        <w:suppressAutoHyphens/>
        <w:spacing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de la Cámara </w:t>
      </w:r>
      <w:r w:rsidR="00E53BFD">
        <w:rPr>
          <w:rFonts w:ascii="Book Antiqua" w:hAnsi="Book Antiqua"/>
          <w:sz w:val="24"/>
          <w:szCs w:val="24"/>
          <w:lang w:val="es-ES_tradnl"/>
        </w:rPr>
        <w:t>444</w:t>
      </w:r>
      <w:r>
        <w:rPr>
          <w:rFonts w:ascii="Book Antiqua" w:hAnsi="Book Antiqua"/>
          <w:sz w:val="24"/>
          <w:szCs w:val="24"/>
          <w:lang w:val="es-ES_tradnl"/>
        </w:rPr>
        <w:t xml:space="preserve"> (“PC </w:t>
      </w:r>
      <w:r w:rsidR="00E53BFD">
        <w:rPr>
          <w:rFonts w:ascii="Book Antiqua" w:hAnsi="Book Antiqua"/>
          <w:sz w:val="24"/>
          <w:szCs w:val="24"/>
          <w:lang w:val="es-ES_tradnl"/>
        </w:rPr>
        <w:t>444</w:t>
      </w:r>
      <w:r>
        <w:rPr>
          <w:rFonts w:ascii="Book Antiqua" w:hAnsi="Book Antiqua"/>
          <w:sz w:val="24"/>
          <w:szCs w:val="24"/>
          <w:lang w:val="es-ES_tradnl"/>
        </w:rPr>
        <w:t xml:space="preserve">”), incorporando las enmiendas sugeridas al título y texto </w:t>
      </w:r>
      <w:proofErr w:type="spellStart"/>
      <w:r>
        <w:rPr>
          <w:rFonts w:ascii="Book Antiqua" w:hAnsi="Book Antiqua"/>
          <w:sz w:val="24"/>
          <w:szCs w:val="24"/>
          <w:lang w:val="es-ES_tradnl"/>
        </w:rPr>
        <w:t>decretativo</w:t>
      </w:r>
      <w:proofErr w:type="spellEnd"/>
      <w:r>
        <w:rPr>
          <w:rFonts w:ascii="Book Antiqua" w:hAnsi="Book Antiqua"/>
          <w:sz w:val="24"/>
          <w:szCs w:val="24"/>
          <w:lang w:val="es-ES_tradnl"/>
        </w:rPr>
        <w:t xml:space="preserve"> que se detallan en el </w:t>
      </w:r>
      <w:proofErr w:type="spellStart"/>
      <w:r>
        <w:rPr>
          <w:rFonts w:ascii="Book Antiqua" w:hAnsi="Book Antiqua"/>
          <w:sz w:val="24"/>
          <w:szCs w:val="24"/>
          <w:lang w:val="es-ES_tradnl"/>
        </w:rPr>
        <w:t>entirillado</w:t>
      </w:r>
      <w:proofErr w:type="spellEnd"/>
      <w:r>
        <w:rPr>
          <w:rFonts w:ascii="Book Antiqua" w:hAnsi="Book Antiqua"/>
          <w:sz w:val="24"/>
          <w:szCs w:val="24"/>
          <w:lang w:val="es-ES_tradnl"/>
        </w:rPr>
        <w:t xml:space="preserve"> electrónico que se acompaña.</w:t>
      </w:r>
    </w:p>
    <w:p w14:paraId="66A42A26" w14:textId="77777777" w:rsidR="006D309C" w:rsidRDefault="006D309C" w:rsidP="002C0C1B">
      <w:pPr>
        <w:jc w:val="center"/>
        <w:rPr>
          <w:rFonts w:ascii="Book Antiqua" w:hAnsi="Book Antiqua"/>
          <w:b/>
          <w:bCs/>
          <w:sz w:val="24"/>
          <w:szCs w:val="24"/>
          <w:lang w:val="es-ES_tradnl"/>
        </w:rPr>
      </w:pPr>
    </w:p>
    <w:p w14:paraId="51D30080" w14:textId="7D48A30D" w:rsidR="002C0C1B" w:rsidRPr="00495194" w:rsidRDefault="00495194" w:rsidP="002C0C1B">
      <w:pPr>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76FBEFEA" w14:textId="75320D25" w:rsidR="00E53BFD" w:rsidRPr="00341FAA" w:rsidRDefault="00E53BFD" w:rsidP="00CD0DE5">
      <w:pPr>
        <w:ind w:firstLine="720"/>
        <w:contextualSpacing/>
        <w:jc w:val="both"/>
        <w:rPr>
          <w:rFonts w:ascii="Book Antiqua" w:hAnsi="Book Antiqua"/>
          <w:sz w:val="24"/>
          <w:szCs w:val="24"/>
        </w:rPr>
      </w:pPr>
      <w:r w:rsidRPr="00341FAA">
        <w:rPr>
          <w:rFonts w:ascii="Book Antiqua" w:hAnsi="Book Antiqua"/>
          <w:sz w:val="24"/>
          <w:szCs w:val="24"/>
        </w:rPr>
        <w:t>La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 y proveer para que se disponga de recursos para estos programas.</w:t>
      </w:r>
    </w:p>
    <w:p w14:paraId="3A2FD96C" w14:textId="77777777" w:rsidR="00E53BFD" w:rsidRPr="00E53BFD" w:rsidRDefault="00E53BFD" w:rsidP="00E53BFD">
      <w:pPr>
        <w:spacing w:after="0" w:line="240" w:lineRule="auto"/>
        <w:contextualSpacing/>
        <w:jc w:val="both"/>
        <w:rPr>
          <w:rFonts w:ascii="Book Antiqua" w:hAnsi="Book Antiqua"/>
          <w:sz w:val="24"/>
          <w:szCs w:val="24"/>
        </w:rPr>
      </w:pPr>
    </w:p>
    <w:p w14:paraId="58B4CFFC"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2B9BE8E4" w14:textId="77777777" w:rsidR="00E53BFD" w:rsidRPr="00E53BFD" w:rsidRDefault="00E53BFD" w:rsidP="00E53BFD">
      <w:pPr>
        <w:spacing w:after="0" w:line="240" w:lineRule="auto"/>
        <w:contextualSpacing/>
        <w:jc w:val="both"/>
        <w:rPr>
          <w:rFonts w:ascii="Book Antiqua" w:hAnsi="Book Antiqua"/>
          <w:sz w:val="24"/>
          <w:szCs w:val="24"/>
        </w:rPr>
      </w:pPr>
    </w:p>
    <w:p w14:paraId="17422D5A"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Por su parte, la Ley Núm. 4 de 31 de julio de 1985, según enmendada, conocida como “Ley de la Corporación de las Artes Musicales”, dispuso para la creación de una corporación pública que funcione como una entidad separada del Gobierno de Puerto </w:t>
      </w:r>
      <w:r w:rsidRPr="00E53BFD">
        <w:rPr>
          <w:rFonts w:ascii="Book Antiqua" w:hAnsi="Book Antiqua"/>
          <w:sz w:val="24"/>
          <w:szCs w:val="24"/>
        </w:rPr>
        <w:lastRenderedPageBreak/>
        <w:t>Rico y de sus agencias y subdivisiones políticas. Asimismo, dicha Ley señala que ésta es dirigida por una Junta de Directores nombrada por el Gobernador(a) de Puerto Rico con el consejo y consentimiento del Senado de Puerto Rico. Cabe indicar que la Junta ejerce los poderes de la Corporación y puede adoptar reglamentos, normas y procedimientos para cumplir con sus propósitos. También, nombra, con la aprobación del Gobernador(a), un Director Ejecutivo, quien desempeña el cargo a voluntad de la Junta, y cuenta con los poderes, deberes y facultades que se le delegan por Ley.</w:t>
      </w:r>
    </w:p>
    <w:p w14:paraId="60D283D9" w14:textId="77777777" w:rsidR="00E53BFD" w:rsidRPr="00E53BFD" w:rsidRDefault="00E53BFD" w:rsidP="00E53BFD">
      <w:pPr>
        <w:spacing w:after="0" w:line="240" w:lineRule="auto"/>
        <w:contextualSpacing/>
        <w:jc w:val="both"/>
        <w:rPr>
          <w:rFonts w:ascii="Book Antiqua" w:hAnsi="Book Antiqua"/>
          <w:sz w:val="24"/>
          <w:szCs w:val="24"/>
        </w:rPr>
      </w:pPr>
    </w:p>
    <w:p w14:paraId="071917D8"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presupuestarios a la Oficina de Gerencia y Presupuesto. Estos planteamientos </w:t>
      </w:r>
      <w:proofErr w:type="spellStart"/>
      <w:r w:rsidRPr="00E53BFD">
        <w:rPr>
          <w:rFonts w:ascii="Book Antiqua" w:hAnsi="Book Antiqua"/>
          <w:sz w:val="24"/>
          <w:szCs w:val="24"/>
        </w:rPr>
        <w:t>planteamientos</w:t>
      </w:r>
      <w:proofErr w:type="spellEnd"/>
      <w:r w:rsidRPr="00E53BFD">
        <w:rPr>
          <w:rFonts w:ascii="Book Antiqua" w:hAnsi="Book Antiqua"/>
          <w:sz w:val="24"/>
          <w:szCs w:val="24"/>
        </w:rPr>
        <w:t xml:space="preserve"> persiguen obtener fondos adicionales, para cubrir gastos de nómina, gastos operacionales y los de la celebración de las distintas actividades que, por Ley, deben llevar a cabo, año tras año.</w:t>
      </w:r>
    </w:p>
    <w:p w14:paraId="68B45E2E" w14:textId="77777777" w:rsidR="00E53BFD" w:rsidRPr="00E53BFD" w:rsidRDefault="00E53BFD" w:rsidP="00E53BFD">
      <w:pPr>
        <w:spacing w:after="0" w:line="240" w:lineRule="auto"/>
        <w:contextualSpacing/>
        <w:jc w:val="both"/>
        <w:rPr>
          <w:rFonts w:ascii="Book Antiqua" w:hAnsi="Book Antiqua"/>
          <w:sz w:val="24"/>
          <w:szCs w:val="24"/>
        </w:rPr>
      </w:pPr>
    </w:p>
    <w:p w14:paraId="6A8E0B10"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Ahora bien, por la naturaleza de las actividades que realizan, sus responsabilidades y su carácter especializado, la Asamblea Legislativa de Puerto Rico entiende conveniente y necesario 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664B446B" w14:textId="77777777" w:rsidR="00E53BFD" w:rsidRPr="00E53BFD" w:rsidRDefault="00E53BFD" w:rsidP="00E53BFD">
      <w:pPr>
        <w:spacing w:after="0" w:line="240" w:lineRule="auto"/>
        <w:contextualSpacing/>
        <w:jc w:val="both"/>
        <w:rPr>
          <w:rFonts w:ascii="Book Antiqua" w:hAnsi="Book Antiqua"/>
          <w:sz w:val="24"/>
          <w:szCs w:val="24"/>
        </w:rPr>
      </w:pPr>
    </w:p>
    <w:p w14:paraId="708CB461"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que actualmente cuenta con un 98 por ciento de músicos puertorriqueños. </w:t>
      </w:r>
    </w:p>
    <w:p w14:paraId="60F0E293" w14:textId="77777777" w:rsidR="00E53BFD" w:rsidRPr="00E53BFD" w:rsidRDefault="00E53BFD" w:rsidP="00E53BFD">
      <w:pPr>
        <w:spacing w:after="0" w:line="240" w:lineRule="auto"/>
        <w:contextualSpacing/>
        <w:jc w:val="both"/>
        <w:rPr>
          <w:rFonts w:ascii="Book Antiqua" w:hAnsi="Book Antiqua"/>
          <w:sz w:val="24"/>
          <w:szCs w:val="24"/>
        </w:rPr>
      </w:pPr>
    </w:p>
    <w:p w14:paraId="14310CA1"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Es necesaria la perpetuidad de este legado, y por ello, la propuesta renovación de su estatuto legal permitirá que el mismo continúe, honrando la mejor música del mundo. Es meritorio que este cuerpo musical se le otorgue un reconocimiento como Patrimonio Cultural Inmaterial de Puerto Rico y se garantice su permanencia a través de esta Ley. Cabe mencionar que, el público puertorriqueño reconoce perennemente a esta institución </w:t>
      </w:r>
      <w:r w:rsidRPr="00E53BFD">
        <w:rPr>
          <w:rFonts w:ascii="Book Antiqua" w:hAnsi="Book Antiqua"/>
          <w:sz w:val="24"/>
          <w:szCs w:val="24"/>
        </w:rPr>
        <w:lastRenderedPageBreak/>
        <w:t>como Orquesta Sinfónica de Puerto Rico, por lo que se amerita asegurar a la institución, un derecho de marca acorde con las nuevas iniciativas de las industrias culturales.</w:t>
      </w:r>
    </w:p>
    <w:p w14:paraId="38BE2D31" w14:textId="77777777" w:rsidR="00E53BFD" w:rsidRPr="00E53BFD" w:rsidRDefault="00E53BFD" w:rsidP="00E53BFD">
      <w:pPr>
        <w:spacing w:after="0" w:line="240" w:lineRule="auto"/>
        <w:contextualSpacing/>
        <w:jc w:val="both"/>
        <w:rPr>
          <w:rFonts w:ascii="Book Antiqua" w:hAnsi="Book Antiqua"/>
          <w:sz w:val="24"/>
          <w:szCs w:val="24"/>
        </w:rPr>
      </w:pPr>
    </w:p>
    <w:p w14:paraId="72D88D2F"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E53BFD">
        <w:rPr>
          <w:rFonts w:ascii="Book Antiqua" w:hAnsi="Book Antiqua"/>
          <w:sz w:val="24"/>
          <w:szCs w:val="24"/>
          <w:lang w:val="es-419"/>
        </w:rPr>
        <w:t xml:space="preserve"> </w:t>
      </w:r>
      <w:r w:rsidRPr="00E53BFD">
        <w:rPr>
          <w:rFonts w:ascii="Book Antiqua" w:hAnsi="Book Antiqua"/>
          <w:sz w:val="24"/>
          <w:szCs w:val="24"/>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78AD42DA" w14:textId="77777777" w:rsidR="00E53BFD" w:rsidRPr="00E53BFD" w:rsidRDefault="00E53BFD" w:rsidP="00E53BFD">
      <w:pPr>
        <w:spacing w:after="0" w:line="240" w:lineRule="auto"/>
        <w:contextualSpacing/>
        <w:jc w:val="both"/>
        <w:rPr>
          <w:rFonts w:ascii="Book Antiqua" w:hAnsi="Book Antiqua"/>
          <w:sz w:val="24"/>
          <w:szCs w:val="24"/>
        </w:rPr>
      </w:pPr>
    </w:p>
    <w:p w14:paraId="55EC0ACC" w14:textId="29EA8BEC" w:rsidR="00EF50CA"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Así pues, y con el propósito de garantizar la adecuada operación de la corporación pública que con esta Ley se crea, se incluyen disposiciones dirigidos a ofrecer como una deducción por donativos sin sujeción a las limitaciones dispuestas en el Código de Rentas Internas de Puerto Rico, el cien (100%) por ciento de los auspicios, pagos o aportaciones de donativos hechos por individuos, corporaciones o sociedades a la misma. Esta medida tiene como fin permitir que la corporación sea una autosostenible, pudiendo cubrir sus gastos operacionales, los de toda su estructura administrativa, aquellos en los que incurra al cumplir o hacer valer las facultades que le fueran conferidas por la presente Ley, y las delegadas en virtud de otras leyes.</w:t>
      </w:r>
    </w:p>
    <w:p w14:paraId="02D7F414" w14:textId="77777777" w:rsidR="006D309C" w:rsidRDefault="006D309C" w:rsidP="00495194">
      <w:pPr>
        <w:spacing w:after="0" w:line="240" w:lineRule="auto"/>
        <w:contextualSpacing/>
        <w:jc w:val="both"/>
        <w:rPr>
          <w:rFonts w:ascii="Book Antiqua" w:hAnsi="Book Antiqua"/>
          <w:sz w:val="24"/>
          <w:szCs w:val="24"/>
        </w:rPr>
      </w:pPr>
    </w:p>
    <w:p w14:paraId="762C935C" w14:textId="07A4A17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A3E4AAC" w14:textId="00CAD1FC" w:rsidR="006D309C" w:rsidRDefault="005D04D3"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En aras de evaluar el P</w:t>
      </w:r>
      <w:r w:rsidR="00D01097">
        <w:rPr>
          <w:rFonts w:ascii="Book Antiqua" w:hAnsi="Book Antiqua"/>
          <w:sz w:val="24"/>
          <w:szCs w:val="24"/>
        </w:rPr>
        <w:t>C</w:t>
      </w:r>
      <w:r>
        <w:rPr>
          <w:rFonts w:ascii="Book Antiqua" w:hAnsi="Book Antiqua"/>
          <w:sz w:val="24"/>
          <w:szCs w:val="24"/>
        </w:rPr>
        <w:t xml:space="preserve"> 444, la Comisión de Turismo de la Cámara de Representantes tomó en consideración los siguientes memoriales que le fueron sometidos:</w:t>
      </w:r>
    </w:p>
    <w:p w14:paraId="037348EA" w14:textId="77777777" w:rsidR="006D309C" w:rsidRDefault="006D309C" w:rsidP="00495194">
      <w:pPr>
        <w:spacing w:after="0" w:line="240" w:lineRule="auto"/>
        <w:contextualSpacing/>
        <w:jc w:val="both"/>
        <w:rPr>
          <w:rFonts w:ascii="Book Antiqua" w:hAnsi="Book Antiqua"/>
          <w:sz w:val="24"/>
          <w:szCs w:val="24"/>
        </w:rPr>
      </w:pPr>
    </w:p>
    <w:p w14:paraId="6FF67E1D" w14:textId="75CFA61A"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Corporación de la Artes Musicales</w:t>
      </w:r>
    </w:p>
    <w:p w14:paraId="18404BAD" w14:textId="77777777" w:rsidR="006D309C" w:rsidRDefault="006D309C" w:rsidP="00495194">
      <w:pPr>
        <w:spacing w:after="0" w:line="240" w:lineRule="auto"/>
        <w:contextualSpacing/>
        <w:jc w:val="both"/>
        <w:rPr>
          <w:rFonts w:ascii="Book Antiqua" w:hAnsi="Book Antiqua"/>
          <w:sz w:val="24"/>
          <w:szCs w:val="24"/>
        </w:rPr>
      </w:pPr>
    </w:p>
    <w:p w14:paraId="4151129C" w14:textId="5F7633F0" w:rsidR="00203D28" w:rsidRPr="00203D28" w:rsidRDefault="00D01097" w:rsidP="00CD0DE5">
      <w:pPr>
        <w:spacing w:after="0" w:line="240" w:lineRule="auto"/>
        <w:ind w:firstLine="720"/>
        <w:contextualSpacing/>
        <w:jc w:val="both"/>
        <w:rPr>
          <w:rFonts w:ascii="Book Antiqua" w:hAnsi="Book Antiqua"/>
          <w:sz w:val="24"/>
          <w:szCs w:val="24"/>
          <w:lang w:val="es-ES"/>
        </w:rPr>
      </w:pPr>
      <w:r>
        <w:rPr>
          <w:rFonts w:ascii="Book Antiqua" w:hAnsi="Book Antiqua"/>
          <w:sz w:val="24"/>
          <w:szCs w:val="24"/>
        </w:rPr>
        <w:t>La Corporación de las Artes Musicales hace una exposición muy completa en torno a</w:t>
      </w:r>
      <w:r w:rsidR="00CD0DE5">
        <w:rPr>
          <w:rFonts w:ascii="Book Antiqua" w:hAnsi="Book Antiqua"/>
          <w:sz w:val="24"/>
          <w:szCs w:val="24"/>
        </w:rPr>
        <w:t xml:space="preserve"> la importancia de “</w:t>
      </w:r>
      <w:r w:rsidR="00203D28" w:rsidRPr="00203D28">
        <w:rPr>
          <w:rFonts w:ascii="Book Antiqua" w:hAnsi="Book Antiqua"/>
          <w:sz w:val="24"/>
          <w:szCs w:val="24"/>
          <w:lang w:val="es-ES"/>
        </w:rPr>
        <w:t>comprender que la cultura no es un gasto, sino una inversión en el futuro de Puerto Rico. Las artes enriquecen nuestras vidas, generan empleos, atraen turismo y contribuyen a la formación de ciudadanos críticos y creativos</w:t>
      </w:r>
      <w:r w:rsidR="00CD0DE5">
        <w:rPr>
          <w:rFonts w:ascii="Book Antiqua" w:hAnsi="Book Antiqua"/>
          <w:sz w:val="24"/>
          <w:szCs w:val="24"/>
          <w:lang w:val="es-ES"/>
        </w:rPr>
        <w:t>”</w:t>
      </w:r>
      <w:r w:rsidR="00203D28" w:rsidRPr="00203D28">
        <w:rPr>
          <w:rFonts w:ascii="Book Antiqua" w:hAnsi="Book Antiqua"/>
          <w:sz w:val="24"/>
          <w:szCs w:val="24"/>
          <w:lang w:val="es-ES"/>
        </w:rPr>
        <w:t>.</w:t>
      </w:r>
    </w:p>
    <w:p w14:paraId="5E43D106" w14:textId="77777777" w:rsidR="00203D28" w:rsidRPr="00203D28" w:rsidRDefault="00203D28" w:rsidP="00203D28">
      <w:pPr>
        <w:spacing w:after="0" w:line="240" w:lineRule="auto"/>
        <w:contextualSpacing/>
        <w:jc w:val="both"/>
        <w:rPr>
          <w:rFonts w:ascii="Book Antiqua" w:hAnsi="Book Antiqua"/>
          <w:sz w:val="24"/>
          <w:szCs w:val="24"/>
          <w:lang w:val="es-ES"/>
        </w:rPr>
      </w:pPr>
    </w:p>
    <w:p w14:paraId="61BB2F9B" w14:textId="77777777" w:rsidR="00CD0DE5" w:rsidRDefault="00CD0DE5" w:rsidP="00203D28">
      <w:pPr>
        <w:spacing w:after="0" w:line="240" w:lineRule="auto"/>
        <w:contextualSpacing/>
        <w:jc w:val="both"/>
        <w:rPr>
          <w:rFonts w:ascii="Book Antiqua" w:hAnsi="Book Antiqua"/>
          <w:sz w:val="24"/>
          <w:szCs w:val="24"/>
          <w:lang w:val="es-ES"/>
        </w:rPr>
      </w:pPr>
      <w:r>
        <w:rPr>
          <w:rFonts w:ascii="Book Antiqua" w:hAnsi="Book Antiqua"/>
          <w:sz w:val="24"/>
          <w:szCs w:val="24"/>
          <w:lang w:val="es-ES"/>
        </w:rPr>
        <w:t>Ellos identifican correctamente que el objetivo del PC 444 es</w:t>
      </w:r>
    </w:p>
    <w:p w14:paraId="54C760D3" w14:textId="77777777" w:rsidR="00CD0DE5" w:rsidRDefault="00CD0DE5" w:rsidP="00203D28">
      <w:pPr>
        <w:spacing w:after="0" w:line="240" w:lineRule="auto"/>
        <w:contextualSpacing/>
        <w:jc w:val="both"/>
        <w:rPr>
          <w:rFonts w:ascii="Book Antiqua" w:hAnsi="Book Antiqua"/>
          <w:sz w:val="24"/>
          <w:szCs w:val="24"/>
          <w:lang w:val="es-ES"/>
        </w:rPr>
      </w:pPr>
    </w:p>
    <w:p w14:paraId="6AB6B1A9" w14:textId="6687AE9B" w:rsidR="00203D28" w:rsidRPr="000D3B20" w:rsidRDefault="00CD0DE5" w:rsidP="000D3B20">
      <w:pPr>
        <w:spacing w:after="0" w:line="240" w:lineRule="auto"/>
        <w:ind w:left="720" w:right="720"/>
        <w:contextualSpacing/>
        <w:jc w:val="both"/>
        <w:rPr>
          <w:rFonts w:ascii="Book Antiqua" w:hAnsi="Book Antiqua"/>
          <w:sz w:val="20"/>
          <w:szCs w:val="20"/>
          <w:lang w:val="es-ES"/>
        </w:rPr>
      </w:pPr>
      <w:r w:rsidRPr="000D3B20">
        <w:rPr>
          <w:rFonts w:ascii="Book Antiqua" w:hAnsi="Book Antiqua"/>
          <w:sz w:val="20"/>
          <w:szCs w:val="20"/>
          <w:lang w:val="es-ES"/>
        </w:rPr>
        <w:t xml:space="preserve">hacer </w:t>
      </w:r>
      <w:r w:rsidR="00203D28" w:rsidRPr="000D3B20">
        <w:rPr>
          <w:rFonts w:ascii="Book Antiqua" w:hAnsi="Book Antiqua"/>
          <w:sz w:val="20"/>
          <w:szCs w:val="20"/>
          <w:lang w:val="es-ES"/>
        </w:rPr>
        <w:t>de nuestra Orquesta Sinfónica una autosustentable y económicamente viable. Serían algunas de las funciones principales de este nuevo organismo gubernamental, las siguientes:</w:t>
      </w:r>
    </w:p>
    <w:p w14:paraId="7DCAA277" w14:textId="77777777" w:rsidR="00203D28" w:rsidRPr="00203D28" w:rsidRDefault="00203D28" w:rsidP="00203D28">
      <w:pPr>
        <w:spacing w:after="0" w:line="240" w:lineRule="auto"/>
        <w:contextualSpacing/>
        <w:jc w:val="both"/>
        <w:rPr>
          <w:rFonts w:ascii="Book Antiqua" w:hAnsi="Book Antiqua"/>
          <w:sz w:val="24"/>
          <w:szCs w:val="24"/>
          <w:lang w:val="es-ES"/>
        </w:rPr>
      </w:pPr>
    </w:p>
    <w:p w14:paraId="61C7BC05"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lastRenderedPageBreak/>
        <w:t>Promover, planificar y coordinar los programas y operaciones de la Orquesta Sinfónica de Puerto Rico, incluyendo el Programa Educativo Conoce Tu Orquesta, el Programa Experiencia Sinfónica, los programas educativos-músicos-sociales, así como cualquier otro que se cree.</w:t>
      </w:r>
    </w:p>
    <w:p w14:paraId="4684F158"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Ser custodio y encargado de la conservación del acervo de la Orquesta Sinfónica de Puerto Rico, a través de la Biblioteca de la Orquesta </w:t>
      </w:r>
    </w:p>
    <w:p w14:paraId="752B9B8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Coordinar las actividades que propendan al desarrollo de la música y del arte escénico-musical que sean deseables para la propagación, dentro o fuera de Puerto Rico, de nuestra música y nuestro arte escénico-musical, sin excluir todas aquellas expresiones musicales de otros pueblos que han logrado patrimonio universal.</w:t>
      </w:r>
    </w:p>
    <w:p w14:paraId="24FA6CBA"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Ayudar al mejoramiento de los servicios de recreación y esparcimiento en el área de la representación musical que el Gobierno debe ofrecer.</w:t>
      </w:r>
    </w:p>
    <w:p w14:paraId="3629D797"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Desarrollar una planificación integral, para el desarrollo de las artes escénico-musicales en Puerto Rico, entendiéndose por artes escénico-musicales las producciones y espectáculos, tales como ópera, zarzuela, </w:t>
      </w:r>
      <w:proofErr w:type="gramStart"/>
      <w:r w:rsidRPr="000D3B20">
        <w:rPr>
          <w:rFonts w:ascii="Book Antiqua" w:hAnsi="Book Antiqua"/>
          <w:sz w:val="20"/>
          <w:szCs w:val="20"/>
          <w:lang w:val="es-ES"/>
        </w:rPr>
        <w:t>ballet</w:t>
      </w:r>
      <w:proofErr w:type="gramEnd"/>
      <w:r w:rsidRPr="000D3B20">
        <w:rPr>
          <w:rFonts w:ascii="Book Antiqua" w:hAnsi="Book Antiqua"/>
          <w:sz w:val="20"/>
          <w:szCs w:val="20"/>
          <w:lang w:val="es-ES"/>
        </w:rPr>
        <w:t>, bailes, música y otras variedades artísticas y darle la más amplia participación a nuestra clase artística e internacional.</w:t>
      </w:r>
    </w:p>
    <w:p w14:paraId="7E408249"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Promover y organizar los esfuerzos que fomenten la educación musical en Puerto Rico, en todos los niveles desde el elementales a los superiores.</w:t>
      </w:r>
    </w:p>
    <w:p w14:paraId="0BD320D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Crear estrategias y los mecanismos comerciales y financieros necesarios para el desarrollo y buen funcionamiento de la Corporación, con la intención futura de igualar fondos o autosostenerse. </w:t>
      </w:r>
    </w:p>
    <w:p w14:paraId="3D9F5E0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Establecer un programa permanente de becas especiales de estudio para el mejoramiento de los miembros de la Orquesta Sinfónica de Puerto Rico o para aquellos estudiantes talentosos que podrían ser miembros potenciales de la Orquesta Sinfónica de Puerto Rico, con el propósito de mejorar la calidad y excelencia del arte musical de la Orquesta Sinfónica y requerirle a los becados beneficiados la prestación del servicio público que se estime, según las normas y reglamentos que se adopten.</w:t>
      </w:r>
    </w:p>
    <w:p w14:paraId="25E6F36F"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Celebrar el Festival Casals, Inc., creado mediante la Resolución Núm. 740 de la Compañía de Fomento Industrial; y el Festival Interamericano, en el cual se integraron los programas del Festival Interamericano de Artes Musicales y el Festival de Orquestas Sinfónicas Juveniles de América.</w:t>
      </w:r>
    </w:p>
    <w:p w14:paraId="2815A857"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Administrar, organizar y operar la banda de conciertos estatal, originalmente creada mediante la Resolución Conjunta Núm. 68 de 29 de junio de 1966, según enmendada, la cual ameniza las ceremonias oficiales del Gobierno de Puerto Rico y sus instrumentalidades, así como ameniza conciertos, retretas y actos culturales en cualquier punto de Puerto Rico donde sus servicios fueren necesarios.</w:t>
      </w:r>
    </w:p>
    <w:p w14:paraId="61E7E23A"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Coordinar con el Departamento de Educación, colegios, institutos y universidades, públicas o privadas, para que ofrezcan cursos, seminarios, talleres y campañas educativas que propendan a la enseñanza y desarrollo del arte escénico-musical, como lo son: la ópera, opereta, zarzuela, </w:t>
      </w:r>
      <w:proofErr w:type="gramStart"/>
      <w:r w:rsidRPr="000D3B20">
        <w:rPr>
          <w:rFonts w:ascii="Book Antiqua" w:hAnsi="Book Antiqua"/>
          <w:sz w:val="20"/>
          <w:szCs w:val="20"/>
          <w:lang w:val="es-ES"/>
        </w:rPr>
        <w:t>ballet</w:t>
      </w:r>
      <w:proofErr w:type="gramEnd"/>
      <w:r w:rsidRPr="000D3B20">
        <w:rPr>
          <w:rFonts w:ascii="Book Antiqua" w:hAnsi="Book Antiqua"/>
          <w:sz w:val="20"/>
          <w:szCs w:val="20"/>
          <w:lang w:val="es-ES"/>
        </w:rPr>
        <w:t>, entre otros.</w:t>
      </w:r>
    </w:p>
    <w:p w14:paraId="2E673A89" w14:textId="679D0CE8" w:rsidR="006D309C" w:rsidRPr="00203D28" w:rsidRDefault="00203D28" w:rsidP="00203D28">
      <w:pPr>
        <w:numPr>
          <w:ilvl w:val="0"/>
          <w:numId w:val="1"/>
        </w:numPr>
        <w:spacing w:after="0" w:line="240" w:lineRule="auto"/>
        <w:ind w:left="1440" w:right="720"/>
        <w:contextualSpacing/>
        <w:jc w:val="both"/>
        <w:rPr>
          <w:rFonts w:ascii="Book Antiqua" w:hAnsi="Book Antiqua"/>
          <w:sz w:val="24"/>
          <w:szCs w:val="24"/>
          <w:lang w:val="es-ES"/>
        </w:rPr>
      </w:pPr>
      <w:r w:rsidRPr="000D3B20">
        <w:rPr>
          <w:rFonts w:ascii="Book Antiqua" w:hAnsi="Book Antiqua"/>
          <w:sz w:val="20"/>
          <w:szCs w:val="20"/>
          <w:lang w:val="es-ES"/>
        </w:rPr>
        <w:t>Administrar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Endowment</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Fund</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for</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Symphony</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Orchestra</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of</w:t>
      </w:r>
      <w:proofErr w:type="spellEnd"/>
      <w:r w:rsidRPr="000D3B20">
        <w:rPr>
          <w:rFonts w:ascii="Book Antiqua" w:hAnsi="Book Antiqua"/>
          <w:sz w:val="20"/>
          <w:szCs w:val="20"/>
          <w:lang w:val="es-ES"/>
        </w:rPr>
        <w:t xml:space="preserve"> Puerto Rico” o “Fondo Dotal para la Orquesta Sinfónica de Puerto Rico”, según constituido mediante escritura pública el 23 de agosto de 2013 (ENDOWMENT FUND AGRREMENT </w:t>
      </w:r>
      <w:proofErr w:type="spellStart"/>
      <w:r w:rsidRPr="000D3B20">
        <w:rPr>
          <w:rFonts w:ascii="Book Antiqua" w:hAnsi="Book Antiqua"/>
          <w:sz w:val="20"/>
          <w:szCs w:val="20"/>
          <w:lang w:val="es-ES"/>
        </w:rPr>
        <w:t>for</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Symphony</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Orchestra</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of</w:t>
      </w:r>
      <w:proofErr w:type="spellEnd"/>
      <w:r w:rsidRPr="000D3B20">
        <w:rPr>
          <w:rFonts w:ascii="Book Antiqua" w:hAnsi="Book Antiqua"/>
          <w:sz w:val="20"/>
          <w:szCs w:val="20"/>
          <w:lang w:val="es-ES"/>
        </w:rPr>
        <w:t xml:space="preserve"> Puerto Rico).</w:t>
      </w:r>
    </w:p>
    <w:p w14:paraId="465D93F7" w14:textId="77777777" w:rsidR="006D309C" w:rsidRDefault="006D309C" w:rsidP="00495194">
      <w:pPr>
        <w:spacing w:after="0" w:line="240" w:lineRule="auto"/>
        <w:contextualSpacing/>
        <w:jc w:val="both"/>
        <w:rPr>
          <w:rFonts w:ascii="Book Antiqua" w:hAnsi="Book Antiqua"/>
          <w:sz w:val="24"/>
          <w:szCs w:val="24"/>
        </w:rPr>
      </w:pPr>
    </w:p>
    <w:p w14:paraId="610BC00A" w14:textId="77777777" w:rsidR="00A958DC" w:rsidRDefault="000D3B20" w:rsidP="00495194">
      <w:pPr>
        <w:spacing w:after="0" w:line="240" w:lineRule="auto"/>
        <w:contextualSpacing/>
        <w:jc w:val="both"/>
        <w:rPr>
          <w:rFonts w:ascii="Book Antiqua" w:hAnsi="Book Antiqua"/>
          <w:sz w:val="24"/>
          <w:szCs w:val="24"/>
        </w:rPr>
      </w:pPr>
      <w:r>
        <w:rPr>
          <w:rFonts w:ascii="Book Antiqua" w:hAnsi="Book Antiqua"/>
          <w:sz w:val="24"/>
          <w:szCs w:val="24"/>
        </w:rPr>
        <w:t xml:space="preserve">Por último, respecto a aspectos </w:t>
      </w:r>
      <w:r w:rsidR="00A958DC">
        <w:rPr>
          <w:rFonts w:ascii="Book Antiqua" w:hAnsi="Book Antiqua"/>
          <w:sz w:val="24"/>
          <w:szCs w:val="24"/>
        </w:rPr>
        <w:t>referentes a</w:t>
      </w:r>
      <w:r>
        <w:rPr>
          <w:rFonts w:ascii="Book Antiqua" w:hAnsi="Book Antiqua"/>
          <w:sz w:val="24"/>
          <w:szCs w:val="24"/>
        </w:rPr>
        <w:t xml:space="preserve"> los recursos humanos</w:t>
      </w:r>
      <w:r w:rsidR="00A958DC">
        <w:rPr>
          <w:rFonts w:ascii="Book Antiqua" w:hAnsi="Book Antiqua"/>
          <w:sz w:val="24"/>
          <w:szCs w:val="24"/>
        </w:rPr>
        <w:t>, la ponencia expresa que</w:t>
      </w:r>
    </w:p>
    <w:p w14:paraId="16FE9CCA" w14:textId="4D7372E6" w:rsidR="00A958DC" w:rsidRPr="00A958DC" w:rsidRDefault="00A958DC" w:rsidP="00A958DC">
      <w:pPr>
        <w:spacing w:after="0" w:line="240" w:lineRule="auto"/>
        <w:ind w:left="720" w:right="720"/>
        <w:contextualSpacing/>
        <w:jc w:val="both"/>
        <w:rPr>
          <w:rFonts w:ascii="Book Antiqua" w:hAnsi="Book Antiqua"/>
          <w:sz w:val="20"/>
          <w:szCs w:val="20"/>
        </w:rPr>
      </w:pPr>
      <w:r w:rsidRPr="00A958DC">
        <w:rPr>
          <w:rFonts w:ascii="Book Antiqua" w:hAnsi="Book Antiqua"/>
          <w:sz w:val="20"/>
          <w:szCs w:val="20"/>
        </w:rPr>
        <w:lastRenderedPageBreak/>
        <w:t>esta Ley nos permitiría redistribuir eficientemente el personal administrativo, para cubrir funciones previamente duplicadas. Sobre esto, debemos enfatizar que, el Artículo 20 del P. de la C. 444, claramente establece que sus disposiciones no podrán ser utilizadas como fundamento para el despido de ningún empleado con un puesto regular.</w:t>
      </w:r>
    </w:p>
    <w:p w14:paraId="1429EA72" w14:textId="63B44D19" w:rsidR="000D3B20" w:rsidRDefault="000D3B20" w:rsidP="00495194">
      <w:pPr>
        <w:spacing w:after="0" w:line="240" w:lineRule="auto"/>
        <w:contextualSpacing/>
        <w:jc w:val="both"/>
        <w:rPr>
          <w:rFonts w:ascii="Book Antiqua" w:hAnsi="Book Antiqua"/>
          <w:sz w:val="24"/>
          <w:szCs w:val="24"/>
        </w:rPr>
      </w:pPr>
      <w:r>
        <w:rPr>
          <w:rFonts w:ascii="Book Antiqua" w:hAnsi="Book Antiqua"/>
          <w:sz w:val="24"/>
          <w:szCs w:val="24"/>
        </w:rPr>
        <w:t xml:space="preserve"> </w:t>
      </w:r>
    </w:p>
    <w:p w14:paraId="5D7ECF47" w14:textId="47D31AE0" w:rsidR="00203D28" w:rsidRDefault="00203D28"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Equipo Fiscal del Gobierno de Puerto Rico</w:t>
      </w:r>
    </w:p>
    <w:p w14:paraId="012A76A9" w14:textId="77777777" w:rsidR="00203D28" w:rsidRDefault="00203D28" w:rsidP="006D309C">
      <w:pPr>
        <w:spacing w:after="0" w:line="240" w:lineRule="auto"/>
        <w:contextualSpacing/>
        <w:jc w:val="center"/>
        <w:rPr>
          <w:rFonts w:ascii="Book Antiqua" w:hAnsi="Book Antiqua"/>
          <w:b/>
          <w:bCs/>
          <w:sz w:val="24"/>
          <w:szCs w:val="24"/>
        </w:rPr>
      </w:pPr>
    </w:p>
    <w:p w14:paraId="0CCDCA16" w14:textId="77777777" w:rsidR="00A958DC" w:rsidRDefault="00203D28" w:rsidP="00203D28">
      <w:pPr>
        <w:spacing w:after="0" w:line="240" w:lineRule="auto"/>
        <w:contextualSpacing/>
        <w:jc w:val="both"/>
        <w:rPr>
          <w:rFonts w:ascii="Book Antiqua" w:hAnsi="Book Antiqua"/>
          <w:sz w:val="24"/>
          <w:szCs w:val="24"/>
        </w:rPr>
      </w:pPr>
      <w:r>
        <w:rPr>
          <w:rFonts w:ascii="Book Antiqua" w:hAnsi="Book Antiqua"/>
          <w:sz w:val="24"/>
          <w:szCs w:val="24"/>
        </w:rPr>
        <w:t>El Equipo Fiscal del Gobierno de Puerto Rico está compuesto por el Departamento de Hacienda, la Oficina de Gerencia y Presupuesto y la Autoridad de Asesoría Financiera y Agencia Fiscal del Gobierno de Puerto Rico.</w:t>
      </w:r>
    </w:p>
    <w:p w14:paraId="04D9839A" w14:textId="77777777" w:rsidR="00A958DC" w:rsidRDefault="00A958DC" w:rsidP="00203D28">
      <w:pPr>
        <w:spacing w:after="0" w:line="240" w:lineRule="auto"/>
        <w:contextualSpacing/>
        <w:jc w:val="both"/>
        <w:rPr>
          <w:rFonts w:ascii="Book Antiqua" w:hAnsi="Book Antiqua"/>
          <w:sz w:val="24"/>
          <w:szCs w:val="24"/>
        </w:rPr>
      </w:pPr>
    </w:p>
    <w:p w14:paraId="68290250" w14:textId="77777777" w:rsidR="00203D28" w:rsidRDefault="00203D28" w:rsidP="00A958DC">
      <w:pPr>
        <w:spacing w:after="0" w:line="240" w:lineRule="auto"/>
        <w:contextualSpacing/>
        <w:rPr>
          <w:rFonts w:ascii="Book Antiqua" w:hAnsi="Book Antiqua"/>
          <w:b/>
          <w:bCs/>
          <w:sz w:val="24"/>
          <w:szCs w:val="24"/>
        </w:rPr>
      </w:pPr>
    </w:p>
    <w:p w14:paraId="3966EA82" w14:textId="64E2B43A"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DETERMINACIÓN DE IMPACTO ECONÓMICO</w:t>
      </w:r>
    </w:p>
    <w:p w14:paraId="275E5D85" w14:textId="77777777" w:rsidR="006D309C" w:rsidRDefault="006D309C" w:rsidP="00495194">
      <w:pPr>
        <w:spacing w:after="0" w:line="240" w:lineRule="auto"/>
        <w:contextualSpacing/>
        <w:jc w:val="both"/>
        <w:rPr>
          <w:rFonts w:ascii="Book Antiqua" w:hAnsi="Book Antiqua"/>
          <w:sz w:val="24"/>
          <w:szCs w:val="24"/>
        </w:rPr>
      </w:pPr>
    </w:p>
    <w:p w14:paraId="49772832" w14:textId="0132B286" w:rsidR="006D309C" w:rsidRDefault="005A64A9" w:rsidP="005A64A9">
      <w:pPr>
        <w:spacing w:after="0" w:line="240" w:lineRule="auto"/>
        <w:ind w:firstLine="720"/>
        <w:contextualSpacing/>
        <w:jc w:val="both"/>
        <w:rPr>
          <w:rFonts w:ascii="Book Antiqua" w:hAnsi="Book Antiqua"/>
          <w:sz w:val="24"/>
          <w:szCs w:val="24"/>
        </w:rPr>
      </w:pPr>
      <w:r>
        <w:rPr>
          <w:rFonts w:ascii="Book Antiqua" w:hAnsi="Book Antiqua"/>
          <w:sz w:val="24"/>
          <w:szCs w:val="24"/>
        </w:rPr>
        <w:t>Conforme al análisis y los hallazgos de la medida, la Comisión de Turismo considera que su aprobación NO tendrá un impacto fiscal significativo en los presupuestos de las agencias, departamentos, organismos, instrumentalidades o corporaciones públicas que requiera certificación de la Oficina de Gerencia y Presupuesto.</w:t>
      </w:r>
      <w:r w:rsidR="00A958DC">
        <w:rPr>
          <w:rFonts w:ascii="Book Antiqua" w:hAnsi="Book Antiqua"/>
          <w:sz w:val="24"/>
          <w:szCs w:val="24"/>
        </w:rPr>
        <w:t xml:space="preserve"> A esos efectos, ellos expresan que</w:t>
      </w:r>
    </w:p>
    <w:p w14:paraId="454AE737" w14:textId="77777777" w:rsidR="00A958DC" w:rsidRDefault="00A958DC" w:rsidP="00A958DC">
      <w:pPr>
        <w:spacing w:after="0" w:line="240" w:lineRule="auto"/>
        <w:contextualSpacing/>
        <w:jc w:val="both"/>
        <w:rPr>
          <w:rFonts w:ascii="Book Antiqua" w:hAnsi="Book Antiqua"/>
          <w:sz w:val="24"/>
          <w:szCs w:val="24"/>
        </w:rPr>
      </w:pPr>
    </w:p>
    <w:p w14:paraId="1E2FFFC5" w14:textId="5EC79F2A" w:rsidR="00A958DC" w:rsidRPr="00C3732A" w:rsidRDefault="00A958DC" w:rsidP="00C3732A">
      <w:pPr>
        <w:spacing w:after="0" w:line="240" w:lineRule="auto"/>
        <w:ind w:left="720" w:right="720"/>
        <w:contextualSpacing/>
        <w:jc w:val="both"/>
        <w:rPr>
          <w:rFonts w:ascii="Book Antiqua" w:hAnsi="Book Antiqua"/>
          <w:sz w:val="20"/>
          <w:szCs w:val="20"/>
        </w:rPr>
      </w:pPr>
      <w:r w:rsidRPr="00C3732A">
        <w:rPr>
          <w:rFonts w:ascii="Book Antiqua" w:hAnsi="Book Antiqua"/>
          <w:sz w:val="20"/>
          <w:szCs w:val="20"/>
        </w:rPr>
        <w:t>Desde una perspectiva presupuestaria, la medida ante nuestra consideración propone crear una corporación pública cuyos fondos se consignarán en el fondo general de la Resolución Conjunta del Presupuesto General de Gastos del Gobierno de Puerto Rico, de Asignaciones Especiales, del Fondo Rotatorio Cultural de Puerto Rico</w:t>
      </w:r>
      <w:r w:rsidR="00C3732A" w:rsidRPr="00C3732A">
        <w:rPr>
          <w:rFonts w:ascii="Book Antiqua" w:hAnsi="Book Antiqua"/>
          <w:sz w:val="20"/>
          <w:szCs w:val="20"/>
        </w:rPr>
        <w:t xml:space="preserve"> (creado bajo el Artículo 18 de la medida) o de cualquier otro ingreso percibido… A la luz de lo anterior, entendemos que la presente medida no representaría de su faz, un impacto adicional al presupuesto, ya que al consolidar las referidas entidades tiene un efecto fiscalmente neutro inmediato. Y, lo </w:t>
      </w:r>
      <w:proofErr w:type="gramStart"/>
      <w:r w:rsidR="00C3732A" w:rsidRPr="00C3732A">
        <w:rPr>
          <w:rFonts w:ascii="Book Antiqua" w:hAnsi="Book Antiqua"/>
          <w:sz w:val="20"/>
          <w:szCs w:val="20"/>
        </w:rPr>
        <w:t>que</w:t>
      </w:r>
      <w:proofErr w:type="gramEnd"/>
      <w:r w:rsidR="00C3732A" w:rsidRPr="00C3732A">
        <w:rPr>
          <w:rFonts w:ascii="Book Antiqua" w:hAnsi="Book Antiqua"/>
          <w:sz w:val="20"/>
          <w:szCs w:val="20"/>
        </w:rPr>
        <w:t xml:space="preserve"> es más, a futuro, la conclusión lógica es que la consolidación en la Corporación logre mayores eficiencias, evite duplicidad y provoque mayor eficiencia en el andamiaje administrativo con la simplificación de procesos que redundarán en el más adecuado uso de los fondos públicos.</w:t>
      </w:r>
    </w:p>
    <w:p w14:paraId="5AB72B12" w14:textId="77777777" w:rsidR="006D309C" w:rsidRDefault="006D309C" w:rsidP="00495194">
      <w:pPr>
        <w:spacing w:after="0" w:line="240" w:lineRule="auto"/>
        <w:contextualSpacing/>
        <w:jc w:val="both"/>
        <w:rPr>
          <w:rFonts w:ascii="Book Antiqua" w:hAnsi="Book Antiqua"/>
          <w:sz w:val="24"/>
          <w:szCs w:val="24"/>
        </w:rPr>
      </w:pPr>
    </w:p>
    <w:p w14:paraId="3F12891F" w14:textId="589EE8B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5A20AB13" w14:textId="77777777" w:rsidR="006D309C" w:rsidRDefault="006D309C" w:rsidP="00495194">
      <w:pPr>
        <w:spacing w:after="0" w:line="240" w:lineRule="auto"/>
        <w:contextualSpacing/>
        <w:jc w:val="both"/>
        <w:rPr>
          <w:rFonts w:ascii="Book Antiqua" w:hAnsi="Book Antiqua"/>
          <w:sz w:val="24"/>
          <w:szCs w:val="24"/>
        </w:rPr>
      </w:pPr>
    </w:p>
    <w:p w14:paraId="723C3D8D" w14:textId="1360FF5D" w:rsidR="00AA7F2D" w:rsidRPr="001C23A4" w:rsidRDefault="00C3732A" w:rsidP="001C23A4">
      <w:pPr>
        <w:spacing w:after="0" w:line="240" w:lineRule="auto"/>
        <w:ind w:firstLine="720"/>
        <w:contextualSpacing/>
        <w:jc w:val="both"/>
        <w:rPr>
          <w:rFonts w:ascii="Book Antiqua" w:hAnsi="Book Antiqua"/>
          <w:sz w:val="24"/>
          <w:szCs w:val="24"/>
          <w:lang w:val="es-ES"/>
        </w:rPr>
      </w:pPr>
      <w:r>
        <w:rPr>
          <w:rFonts w:ascii="Book Antiqua" w:hAnsi="Book Antiqua"/>
          <w:sz w:val="24"/>
          <w:szCs w:val="24"/>
          <w:lang w:val="es-ES"/>
        </w:rPr>
        <w:t>La Comisión de Turismo entiende que con</w:t>
      </w:r>
      <w:r w:rsidR="00AA7F2D" w:rsidRPr="00C3732A">
        <w:rPr>
          <w:rFonts w:ascii="Book Antiqua" w:hAnsi="Book Antiqua"/>
          <w:sz w:val="24"/>
          <w:szCs w:val="24"/>
          <w:lang w:val="es-ES"/>
        </w:rPr>
        <w:t xml:space="preserve"> la aprobación del </w:t>
      </w:r>
      <w:r>
        <w:rPr>
          <w:rFonts w:ascii="Book Antiqua" w:hAnsi="Book Antiqua"/>
          <w:sz w:val="24"/>
          <w:szCs w:val="24"/>
          <w:lang w:val="es-ES"/>
        </w:rPr>
        <w:t>PC 444 garantiza de la manera más eficiente la</w:t>
      </w:r>
      <w:r w:rsidR="00AA7F2D" w:rsidRPr="00C3732A">
        <w:rPr>
          <w:rFonts w:ascii="Book Antiqua" w:hAnsi="Book Antiqua"/>
          <w:sz w:val="24"/>
          <w:szCs w:val="24"/>
          <w:lang w:val="es-ES"/>
        </w:rPr>
        <w:t xml:space="preserve"> misión corporativa dirigida a promover</w:t>
      </w:r>
      <w:r w:rsidR="001C23A4">
        <w:rPr>
          <w:rFonts w:ascii="Book Antiqua" w:hAnsi="Book Antiqua"/>
          <w:sz w:val="24"/>
          <w:szCs w:val="24"/>
          <w:lang w:val="es-ES"/>
        </w:rPr>
        <w:t xml:space="preserve"> </w:t>
      </w:r>
      <w:r w:rsidR="001C23A4" w:rsidRPr="001C23A4">
        <w:rPr>
          <w:rFonts w:ascii="Book Antiqua" w:hAnsi="Book Antiqua"/>
          <w:sz w:val="24"/>
          <w:szCs w:val="24"/>
          <w:lang w:val="es-ES"/>
        </w:rPr>
        <w:t>quehacer cultural; a la agilización de los procesos dirigidos a fomentar el desarrollo y el enriquecimiento de la música y del arte escénico-musical en Puerto Rico</w:t>
      </w:r>
      <w:r w:rsidR="001C23A4">
        <w:rPr>
          <w:rFonts w:ascii="Book Antiqua" w:hAnsi="Book Antiqua"/>
          <w:sz w:val="24"/>
          <w:szCs w:val="24"/>
          <w:lang w:val="es-ES"/>
        </w:rPr>
        <w:t xml:space="preserve">. </w:t>
      </w:r>
      <w:r>
        <w:rPr>
          <w:rFonts w:ascii="Book Antiqua" w:hAnsi="Book Antiqua"/>
          <w:sz w:val="24"/>
          <w:szCs w:val="24"/>
          <w:lang w:val="es-ES"/>
        </w:rPr>
        <w:t xml:space="preserve">Además, resulta meritorio </w:t>
      </w:r>
      <w:proofErr w:type="gramStart"/>
      <w:r w:rsidR="001C23A4">
        <w:rPr>
          <w:rFonts w:ascii="Book Antiqua" w:hAnsi="Book Antiqua"/>
          <w:sz w:val="24"/>
          <w:szCs w:val="24"/>
          <w:lang w:val="es-ES"/>
        </w:rPr>
        <w:t>volver a reiterar</w:t>
      </w:r>
      <w:proofErr w:type="gramEnd"/>
      <w:r>
        <w:rPr>
          <w:rFonts w:ascii="Book Antiqua" w:hAnsi="Book Antiqua"/>
          <w:sz w:val="24"/>
          <w:szCs w:val="24"/>
          <w:lang w:val="es-ES"/>
        </w:rPr>
        <w:t xml:space="preserve"> que</w:t>
      </w:r>
      <w:r w:rsidR="00AA7F2D" w:rsidRPr="00C3732A">
        <w:rPr>
          <w:rFonts w:ascii="Book Antiqua" w:hAnsi="Book Antiqua"/>
          <w:sz w:val="24"/>
          <w:szCs w:val="24"/>
          <w:lang w:val="es-ES"/>
        </w:rPr>
        <w:t xml:space="preserve"> </w:t>
      </w:r>
      <w:r w:rsidR="001C23A4">
        <w:rPr>
          <w:rFonts w:ascii="Book Antiqua" w:hAnsi="Book Antiqua"/>
          <w:sz w:val="24"/>
          <w:szCs w:val="24"/>
          <w:lang w:val="es-ES"/>
        </w:rPr>
        <w:t>“</w:t>
      </w:r>
      <w:r w:rsidR="00AA7F2D" w:rsidRPr="00C3732A">
        <w:rPr>
          <w:rFonts w:ascii="Book Antiqua" w:hAnsi="Book Antiqua"/>
          <w:sz w:val="24"/>
          <w:szCs w:val="24"/>
          <w:lang w:val="es-ES"/>
        </w:rPr>
        <w:t>esta consolidación no implica despidos, sino una redistribución eficiente del recurso humano.</w:t>
      </w:r>
      <w:r w:rsidR="001C23A4">
        <w:rPr>
          <w:rFonts w:ascii="Book Antiqua" w:hAnsi="Book Antiqua"/>
          <w:sz w:val="24"/>
          <w:szCs w:val="24"/>
          <w:lang w:val="es-ES"/>
        </w:rPr>
        <w:t>”</w:t>
      </w:r>
      <w:r w:rsidR="00AA7F2D" w:rsidRPr="00C3732A">
        <w:rPr>
          <w:rFonts w:ascii="Book Antiqua" w:hAnsi="Book Antiqua"/>
          <w:sz w:val="24"/>
          <w:szCs w:val="24"/>
          <w:lang w:val="es-ES"/>
        </w:rPr>
        <w:t xml:space="preserve"> </w:t>
      </w:r>
      <w:r w:rsidR="001C23A4">
        <w:rPr>
          <w:rFonts w:ascii="Book Antiqua" w:hAnsi="Book Antiqua"/>
          <w:sz w:val="24"/>
          <w:szCs w:val="24"/>
          <w:lang w:val="es-ES"/>
        </w:rPr>
        <w:t>En otras palabras, se está estableciendo</w:t>
      </w:r>
      <w:r w:rsidR="00AA7F2D" w:rsidRPr="00C3732A">
        <w:rPr>
          <w:rFonts w:ascii="Book Antiqua" w:hAnsi="Book Antiqua"/>
          <w:sz w:val="24"/>
          <w:szCs w:val="24"/>
          <w:lang w:val="es-ES"/>
        </w:rPr>
        <w:t xml:space="preserve"> una </w:t>
      </w:r>
      <w:r w:rsidR="001C23A4">
        <w:rPr>
          <w:rFonts w:ascii="Book Antiqua" w:hAnsi="Book Antiqua"/>
          <w:sz w:val="24"/>
          <w:szCs w:val="24"/>
          <w:lang w:val="es-ES"/>
        </w:rPr>
        <w:t>Corporación que resulta ser</w:t>
      </w:r>
      <w:r w:rsidR="00AA7F2D" w:rsidRPr="00C3732A">
        <w:rPr>
          <w:rFonts w:ascii="Book Antiqua" w:hAnsi="Book Antiqua"/>
          <w:sz w:val="24"/>
          <w:szCs w:val="24"/>
          <w:lang w:val="es-ES"/>
        </w:rPr>
        <w:t xml:space="preserve"> más ágil</w:t>
      </w:r>
      <w:r w:rsidR="001C23A4">
        <w:rPr>
          <w:rFonts w:ascii="Book Antiqua" w:hAnsi="Book Antiqua"/>
          <w:sz w:val="24"/>
          <w:szCs w:val="24"/>
          <w:lang w:val="es-ES"/>
        </w:rPr>
        <w:t>, eficiente, menos burocrática</w:t>
      </w:r>
      <w:r w:rsidR="00AA7F2D" w:rsidRPr="00C3732A">
        <w:rPr>
          <w:rFonts w:ascii="Book Antiqua" w:hAnsi="Book Antiqua"/>
          <w:sz w:val="24"/>
          <w:szCs w:val="24"/>
          <w:lang w:val="es-ES"/>
        </w:rPr>
        <w:t xml:space="preserve"> y sostenible a largo plazo.</w:t>
      </w:r>
    </w:p>
    <w:p w14:paraId="0556A0F4" w14:textId="77777777" w:rsidR="001C23A4" w:rsidRDefault="001C23A4" w:rsidP="001C23A4">
      <w:pPr>
        <w:spacing w:after="0" w:line="240" w:lineRule="auto"/>
        <w:ind w:firstLine="720"/>
        <w:contextualSpacing/>
        <w:jc w:val="both"/>
        <w:rPr>
          <w:rFonts w:ascii="Book Antiqua" w:hAnsi="Book Antiqua"/>
          <w:sz w:val="24"/>
          <w:szCs w:val="24"/>
        </w:rPr>
      </w:pPr>
    </w:p>
    <w:p w14:paraId="3EB7AEF5" w14:textId="0C49C6A7"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Por lo antes expuesto, recomendamos la aprobación del PC 444, incorporando las enmiendas sugeridas al título y al texto </w:t>
      </w:r>
      <w:proofErr w:type="spellStart"/>
      <w:r>
        <w:rPr>
          <w:rFonts w:ascii="Book Antiqua" w:hAnsi="Book Antiqua"/>
          <w:sz w:val="24"/>
          <w:szCs w:val="24"/>
        </w:rPr>
        <w:t>decretativo</w:t>
      </w:r>
      <w:proofErr w:type="spellEnd"/>
      <w:r>
        <w:rPr>
          <w:rFonts w:ascii="Book Antiqua" w:hAnsi="Book Antiqua"/>
          <w:sz w:val="24"/>
          <w:szCs w:val="24"/>
        </w:rPr>
        <w:t xml:space="preserve"> que se detallan en el </w:t>
      </w:r>
      <w:proofErr w:type="spellStart"/>
      <w:r>
        <w:rPr>
          <w:rFonts w:ascii="Book Antiqua" w:hAnsi="Book Antiqua"/>
          <w:sz w:val="24"/>
          <w:szCs w:val="24"/>
        </w:rPr>
        <w:t>entirillado</w:t>
      </w:r>
      <w:proofErr w:type="spellEnd"/>
      <w:r>
        <w:rPr>
          <w:rFonts w:ascii="Book Antiqua" w:hAnsi="Book Antiqua"/>
          <w:sz w:val="24"/>
          <w:szCs w:val="24"/>
        </w:rPr>
        <w:t xml:space="preserve">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lastRenderedPageBreak/>
        <w:t>Respetuosamente sometido,</w:t>
      </w:r>
    </w:p>
    <w:p w14:paraId="0D5B1276" w14:textId="77777777" w:rsidR="006D309C" w:rsidRDefault="006D309C" w:rsidP="00495194">
      <w:pPr>
        <w:spacing w:after="0" w:line="240" w:lineRule="auto"/>
        <w:contextualSpacing/>
        <w:jc w:val="both"/>
        <w:rPr>
          <w:rFonts w:ascii="Book Antiqua" w:hAnsi="Book Antiqua"/>
          <w:sz w:val="24"/>
          <w:szCs w:val="24"/>
        </w:rPr>
      </w:pPr>
    </w:p>
    <w:p w14:paraId="1D94C7FD" w14:textId="77777777" w:rsidR="006D309C" w:rsidRDefault="006D309C" w:rsidP="00495194">
      <w:pPr>
        <w:spacing w:after="0" w:line="240" w:lineRule="auto"/>
        <w:contextualSpacing/>
        <w:jc w:val="both"/>
        <w:rPr>
          <w:rFonts w:ascii="Book Antiqua" w:hAnsi="Book Antiqua"/>
          <w:sz w:val="24"/>
          <w:szCs w:val="24"/>
        </w:rPr>
      </w:pPr>
    </w:p>
    <w:p w14:paraId="0CE648D8" w14:textId="77777777" w:rsidR="006D309C" w:rsidRDefault="006D309C"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proofErr w:type="spellStart"/>
      <w:r w:rsidRPr="006D309C">
        <w:rPr>
          <w:rFonts w:ascii="Book Antiqua" w:hAnsi="Book Antiqua"/>
          <w:b/>
          <w:bCs/>
          <w:sz w:val="24"/>
          <w:szCs w:val="24"/>
        </w:rPr>
        <w:t>Hon</w:t>
      </w:r>
      <w:proofErr w:type="spellEnd"/>
      <w:r w:rsidRPr="006D309C">
        <w:rPr>
          <w:rFonts w:ascii="Book Antiqua" w:hAnsi="Book Antiqua"/>
          <w:b/>
          <w:bCs/>
          <w:sz w:val="24"/>
          <w:szCs w:val="24"/>
        </w:rPr>
        <w:t>.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2D37F9">
      <w:foot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6A7F5" w14:textId="77777777" w:rsidR="002D37F9" w:rsidRDefault="002D37F9" w:rsidP="002D37F9">
      <w:pPr>
        <w:spacing w:after="0" w:line="240" w:lineRule="auto"/>
      </w:pPr>
      <w:r>
        <w:separator/>
      </w:r>
    </w:p>
  </w:endnote>
  <w:endnote w:type="continuationSeparator" w:id="0">
    <w:p w14:paraId="7FAB8C25" w14:textId="77777777" w:rsidR="002D37F9" w:rsidRDefault="002D37F9" w:rsidP="002D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4A5C" w14:textId="77777777" w:rsidR="002D37F9" w:rsidRDefault="002D37F9">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5EE58FC" w14:textId="77777777" w:rsidR="002D37F9" w:rsidRDefault="002D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F7A38" w14:textId="77777777" w:rsidR="002D37F9" w:rsidRDefault="002D37F9" w:rsidP="002D37F9">
      <w:pPr>
        <w:spacing w:after="0" w:line="240" w:lineRule="auto"/>
      </w:pPr>
      <w:r>
        <w:separator/>
      </w:r>
    </w:p>
  </w:footnote>
  <w:footnote w:type="continuationSeparator" w:id="0">
    <w:p w14:paraId="707D9CE7" w14:textId="77777777" w:rsidR="002D37F9" w:rsidRDefault="002D37F9" w:rsidP="002D3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41294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8E8"/>
    <w:rsid w:val="00075A34"/>
    <w:rsid w:val="00077474"/>
    <w:rsid w:val="0008043A"/>
    <w:rsid w:val="00086CC9"/>
    <w:rsid w:val="000A1B40"/>
    <w:rsid w:val="000A23E8"/>
    <w:rsid w:val="000A59A5"/>
    <w:rsid w:val="000A63B6"/>
    <w:rsid w:val="000C1E77"/>
    <w:rsid w:val="000D2C21"/>
    <w:rsid w:val="000D3B20"/>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23A4"/>
    <w:rsid w:val="001C2F8C"/>
    <w:rsid w:val="001C651A"/>
    <w:rsid w:val="001D24E3"/>
    <w:rsid w:val="001D27FC"/>
    <w:rsid w:val="001E0EB9"/>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808E7"/>
    <w:rsid w:val="002926A6"/>
    <w:rsid w:val="002A2062"/>
    <w:rsid w:val="002A6A4C"/>
    <w:rsid w:val="002B3A09"/>
    <w:rsid w:val="002B7E52"/>
    <w:rsid w:val="002C04ED"/>
    <w:rsid w:val="002C0C1B"/>
    <w:rsid w:val="002C0C92"/>
    <w:rsid w:val="002C0D2E"/>
    <w:rsid w:val="002C5AE9"/>
    <w:rsid w:val="002C6D7D"/>
    <w:rsid w:val="002D0B0D"/>
    <w:rsid w:val="002D29A4"/>
    <w:rsid w:val="002D37F9"/>
    <w:rsid w:val="002D69AA"/>
    <w:rsid w:val="002E2207"/>
    <w:rsid w:val="002F00C0"/>
    <w:rsid w:val="002F2D84"/>
    <w:rsid w:val="002F449D"/>
    <w:rsid w:val="003102A1"/>
    <w:rsid w:val="003123CB"/>
    <w:rsid w:val="00312434"/>
    <w:rsid w:val="00314FA0"/>
    <w:rsid w:val="00317FE7"/>
    <w:rsid w:val="00323B1F"/>
    <w:rsid w:val="003246B1"/>
    <w:rsid w:val="00331419"/>
    <w:rsid w:val="00333E57"/>
    <w:rsid w:val="00335BD7"/>
    <w:rsid w:val="00337A24"/>
    <w:rsid w:val="00341FAA"/>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A05C4"/>
    <w:rsid w:val="003B0BF5"/>
    <w:rsid w:val="003B34FF"/>
    <w:rsid w:val="003C1771"/>
    <w:rsid w:val="003E3F89"/>
    <w:rsid w:val="003F19EE"/>
    <w:rsid w:val="003F5977"/>
    <w:rsid w:val="0040074B"/>
    <w:rsid w:val="004008D2"/>
    <w:rsid w:val="0040129F"/>
    <w:rsid w:val="004028BC"/>
    <w:rsid w:val="00402DC0"/>
    <w:rsid w:val="0040644C"/>
    <w:rsid w:val="0041185A"/>
    <w:rsid w:val="0041353A"/>
    <w:rsid w:val="00417B43"/>
    <w:rsid w:val="004204B2"/>
    <w:rsid w:val="00421E82"/>
    <w:rsid w:val="00423CCD"/>
    <w:rsid w:val="00424649"/>
    <w:rsid w:val="004259B1"/>
    <w:rsid w:val="0043257E"/>
    <w:rsid w:val="004411EC"/>
    <w:rsid w:val="004459E9"/>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5194"/>
    <w:rsid w:val="004962A4"/>
    <w:rsid w:val="0049769B"/>
    <w:rsid w:val="00497FE7"/>
    <w:rsid w:val="004A54D9"/>
    <w:rsid w:val="004A55C0"/>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22EA"/>
    <w:rsid w:val="00553734"/>
    <w:rsid w:val="00553C69"/>
    <w:rsid w:val="00561EB1"/>
    <w:rsid w:val="005631F4"/>
    <w:rsid w:val="005756EA"/>
    <w:rsid w:val="00576380"/>
    <w:rsid w:val="0058073C"/>
    <w:rsid w:val="00582B08"/>
    <w:rsid w:val="005A0450"/>
    <w:rsid w:val="005A4F2D"/>
    <w:rsid w:val="005A64A9"/>
    <w:rsid w:val="005C4C8D"/>
    <w:rsid w:val="005C53BB"/>
    <w:rsid w:val="005D04D3"/>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175C"/>
    <w:rsid w:val="006C4D28"/>
    <w:rsid w:val="006C7668"/>
    <w:rsid w:val="006D309C"/>
    <w:rsid w:val="006D400F"/>
    <w:rsid w:val="006E17F9"/>
    <w:rsid w:val="006F5C8B"/>
    <w:rsid w:val="00701242"/>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B12FD"/>
    <w:rsid w:val="007B5CA8"/>
    <w:rsid w:val="007C2333"/>
    <w:rsid w:val="007D0EB5"/>
    <w:rsid w:val="007D3ACD"/>
    <w:rsid w:val="007D4CD5"/>
    <w:rsid w:val="007D612D"/>
    <w:rsid w:val="007D7D2D"/>
    <w:rsid w:val="007E3282"/>
    <w:rsid w:val="007F199F"/>
    <w:rsid w:val="007F4AC1"/>
    <w:rsid w:val="00810C02"/>
    <w:rsid w:val="00811CB2"/>
    <w:rsid w:val="00815FCE"/>
    <w:rsid w:val="008212F2"/>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0D57"/>
    <w:rsid w:val="008834E0"/>
    <w:rsid w:val="00897844"/>
    <w:rsid w:val="008B152B"/>
    <w:rsid w:val="008B79A6"/>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3687"/>
    <w:rsid w:val="00944376"/>
    <w:rsid w:val="00947326"/>
    <w:rsid w:val="00971CD2"/>
    <w:rsid w:val="0098167D"/>
    <w:rsid w:val="0099362A"/>
    <w:rsid w:val="00997248"/>
    <w:rsid w:val="009A43A7"/>
    <w:rsid w:val="009B3F69"/>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07286"/>
    <w:rsid w:val="00A20386"/>
    <w:rsid w:val="00A216AB"/>
    <w:rsid w:val="00A34E8F"/>
    <w:rsid w:val="00A4361A"/>
    <w:rsid w:val="00A565FB"/>
    <w:rsid w:val="00A60966"/>
    <w:rsid w:val="00A61746"/>
    <w:rsid w:val="00A651DB"/>
    <w:rsid w:val="00A66780"/>
    <w:rsid w:val="00A83962"/>
    <w:rsid w:val="00A8538F"/>
    <w:rsid w:val="00A86864"/>
    <w:rsid w:val="00A87297"/>
    <w:rsid w:val="00A87613"/>
    <w:rsid w:val="00A90A91"/>
    <w:rsid w:val="00A958DC"/>
    <w:rsid w:val="00AA6A88"/>
    <w:rsid w:val="00AA7F2D"/>
    <w:rsid w:val="00AA7F3B"/>
    <w:rsid w:val="00AA7F40"/>
    <w:rsid w:val="00AB4063"/>
    <w:rsid w:val="00AB6145"/>
    <w:rsid w:val="00AC21D9"/>
    <w:rsid w:val="00AC68C4"/>
    <w:rsid w:val="00AD0B4E"/>
    <w:rsid w:val="00AE134B"/>
    <w:rsid w:val="00AF2088"/>
    <w:rsid w:val="00AF6E70"/>
    <w:rsid w:val="00B06312"/>
    <w:rsid w:val="00B10C1B"/>
    <w:rsid w:val="00B16043"/>
    <w:rsid w:val="00B26F75"/>
    <w:rsid w:val="00B32ED3"/>
    <w:rsid w:val="00B35E23"/>
    <w:rsid w:val="00B418AA"/>
    <w:rsid w:val="00B479CE"/>
    <w:rsid w:val="00B52DEC"/>
    <w:rsid w:val="00B551CB"/>
    <w:rsid w:val="00B630E3"/>
    <w:rsid w:val="00B6552A"/>
    <w:rsid w:val="00B7456D"/>
    <w:rsid w:val="00B82890"/>
    <w:rsid w:val="00B95001"/>
    <w:rsid w:val="00B96451"/>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1B31"/>
    <w:rsid w:val="00BF6197"/>
    <w:rsid w:val="00C01830"/>
    <w:rsid w:val="00C12143"/>
    <w:rsid w:val="00C1592C"/>
    <w:rsid w:val="00C24320"/>
    <w:rsid w:val="00C24E1A"/>
    <w:rsid w:val="00C27C9F"/>
    <w:rsid w:val="00C35CF5"/>
    <w:rsid w:val="00C3732A"/>
    <w:rsid w:val="00C417E7"/>
    <w:rsid w:val="00C5244D"/>
    <w:rsid w:val="00C66706"/>
    <w:rsid w:val="00C7105C"/>
    <w:rsid w:val="00C760B4"/>
    <w:rsid w:val="00C83C95"/>
    <w:rsid w:val="00C8606D"/>
    <w:rsid w:val="00C908C3"/>
    <w:rsid w:val="00CA49B8"/>
    <w:rsid w:val="00CB50A9"/>
    <w:rsid w:val="00CB556D"/>
    <w:rsid w:val="00CB6DD5"/>
    <w:rsid w:val="00CC1119"/>
    <w:rsid w:val="00CC38F4"/>
    <w:rsid w:val="00CC7828"/>
    <w:rsid w:val="00CD0DE5"/>
    <w:rsid w:val="00CD1FFB"/>
    <w:rsid w:val="00CD202D"/>
    <w:rsid w:val="00CD2E6D"/>
    <w:rsid w:val="00CD3BEE"/>
    <w:rsid w:val="00CD5D0A"/>
    <w:rsid w:val="00CF2509"/>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5F72"/>
    <w:rsid w:val="00D974D4"/>
    <w:rsid w:val="00DA13F2"/>
    <w:rsid w:val="00DA43B6"/>
    <w:rsid w:val="00DA46BB"/>
    <w:rsid w:val="00DA723B"/>
    <w:rsid w:val="00DB02DF"/>
    <w:rsid w:val="00DB2FAC"/>
    <w:rsid w:val="00DC23B9"/>
    <w:rsid w:val="00DC6EB2"/>
    <w:rsid w:val="00DD6772"/>
    <w:rsid w:val="00DD77DB"/>
    <w:rsid w:val="00DE7D27"/>
    <w:rsid w:val="00DF55D3"/>
    <w:rsid w:val="00DF7A47"/>
    <w:rsid w:val="00E10187"/>
    <w:rsid w:val="00E11C5C"/>
    <w:rsid w:val="00E12432"/>
    <w:rsid w:val="00E2377C"/>
    <w:rsid w:val="00E30530"/>
    <w:rsid w:val="00E41352"/>
    <w:rsid w:val="00E41C5B"/>
    <w:rsid w:val="00E43829"/>
    <w:rsid w:val="00E443FD"/>
    <w:rsid w:val="00E44D83"/>
    <w:rsid w:val="00E45532"/>
    <w:rsid w:val="00E52432"/>
    <w:rsid w:val="00E53BFD"/>
    <w:rsid w:val="00E54927"/>
    <w:rsid w:val="00E6058B"/>
    <w:rsid w:val="00E67EE9"/>
    <w:rsid w:val="00E74101"/>
    <w:rsid w:val="00E82448"/>
    <w:rsid w:val="00E87F4A"/>
    <w:rsid w:val="00E93579"/>
    <w:rsid w:val="00EA4360"/>
    <w:rsid w:val="00EA678D"/>
    <w:rsid w:val="00EB0D5A"/>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307CB"/>
    <w:rsid w:val="00F30922"/>
    <w:rsid w:val="00F3246D"/>
    <w:rsid w:val="00F33441"/>
    <w:rsid w:val="00F3727E"/>
    <w:rsid w:val="00F40AB7"/>
    <w:rsid w:val="00F46A16"/>
    <w:rsid w:val="00F5555A"/>
    <w:rsid w:val="00F6602C"/>
    <w:rsid w:val="00F7541D"/>
    <w:rsid w:val="00F80184"/>
    <w:rsid w:val="00F86A08"/>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Header">
    <w:name w:val="header"/>
    <w:basedOn w:val="Normal"/>
    <w:link w:val="HeaderChar"/>
    <w:uiPriority w:val="99"/>
    <w:unhideWhenUsed/>
    <w:rsid w:val="002D3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7F9"/>
    <w:rPr>
      <w:lang w:val="es-PR"/>
    </w:rPr>
  </w:style>
  <w:style w:type="paragraph" w:styleId="Footer">
    <w:name w:val="footer"/>
    <w:basedOn w:val="Normal"/>
    <w:link w:val="FooterChar"/>
    <w:uiPriority w:val="99"/>
    <w:unhideWhenUsed/>
    <w:rsid w:val="002D3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7F9"/>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2034</Words>
  <Characters>11597</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dcterms:created xsi:type="dcterms:W3CDTF">2025-06-20T14:03:00Z</dcterms:created>
  <dcterms:modified xsi:type="dcterms:W3CDTF">2025-06-20T14:03:00Z</dcterms:modified>
</cp:coreProperties>
</file>