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C707BB" w:rsidRDefault="00850770">
      <w:pPr>
        <w:jc w:val="center"/>
        <w:rPr>
          <w:rFonts w:ascii="Book Antiqua" w:eastAsia="Book Antiqua" w:hAnsi="Book Antiqua" w:cs="Book Antiqua"/>
          <w:bCs/>
          <w:color w:val="000000" w:themeColor="text1"/>
          <w:sz w:val="28"/>
          <w:szCs w:val="28"/>
          <w:lang w:val="es-PR"/>
        </w:rPr>
      </w:pPr>
      <w:r w:rsidRPr="00C707BB">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C707BB">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398C069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DC1F2A">
        <w:rPr>
          <w:rFonts w:ascii="Book Antiqua" w:hAnsi="Book Antiqua"/>
          <w:b/>
          <w:color w:val="000000" w:themeColor="text1"/>
          <w:sz w:val="52"/>
          <w:szCs w:val="52"/>
          <w:lang w:val="es-PR"/>
        </w:rPr>
        <w:t xml:space="preserve"> 447</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23B95DA7" w:rsidR="00950505" w:rsidRPr="00930E48" w:rsidRDefault="00C707BB"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24 </w:t>
      </w:r>
      <w:r w:rsidRPr="00930E48">
        <w:rPr>
          <w:rFonts w:ascii="Book Antiqua" w:hAnsi="Book Antiqua"/>
          <w:color w:val="000000" w:themeColor="text1"/>
          <w:lang w:val="es-PR"/>
        </w:rPr>
        <w:t>DE MARZO 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2748EA1A"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5D1F2F4C"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440767">
        <w:rPr>
          <w:rFonts w:ascii="Book Antiqua" w:hAnsi="Book Antiqua"/>
          <w:color w:val="000000" w:themeColor="text1"/>
          <w:lang w:val="es-PR"/>
        </w:rPr>
        <w:t xml:space="preserve"> la Comisión de Gobierno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50B103F6" w14:textId="7108D53D" w:rsidR="00A5416B" w:rsidRPr="00E00BFE" w:rsidRDefault="00850770" w:rsidP="00C707BB">
      <w:pPr>
        <w:ind w:left="540" w:hanging="54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A5416B" w:rsidRPr="00E00BFE">
        <w:rPr>
          <w:rFonts w:ascii="Book Antiqua" w:eastAsia="Book Antiqua" w:hAnsi="Book Antiqua" w:cs="Book Antiqua"/>
          <w:color w:val="000000" w:themeColor="text1"/>
          <w:lang w:val="es-PR"/>
        </w:rPr>
        <w:t xml:space="preserve">enmendar los Artículos 3.5, 7.1, 7.2 y 7.3 de la Ley 2-2018, según enmendada, conocida como “Código Anticorrupción para el Nuevo Puerto Rico”, para fortalecer la capacidad de nuestro Gobierno </w:t>
      </w:r>
      <w:r w:rsidR="00A5416B">
        <w:rPr>
          <w:rFonts w:ascii="Book Antiqua" w:eastAsia="Book Antiqua" w:hAnsi="Book Antiqua" w:cs="Book Antiqua"/>
          <w:color w:val="000000" w:themeColor="text1"/>
          <w:lang w:val="es-PR"/>
        </w:rPr>
        <w:t>de</w:t>
      </w:r>
      <w:r w:rsidR="00A5416B" w:rsidRPr="00E00BFE">
        <w:rPr>
          <w:rFonts w:ascii="Book Antiqua" w:eastAsia="Book Antiqua" w:hAnsi="Book Antiqua" w:cs="Book Antiqua"/>
          <w:color w:val="000000" w:themeColor="text1"/>
          <w:lang w:val="es-PR"/>
        </w:rPr>
        <w:t xml:space="preserve"> lograr más fiscalización</w:t>
      </w:r>
      <w:r w:rsidR="00A5416B" w:rsidRPr="00E00BFE">
        <w:rPr>
          <w:rFonts w:ascii="Book Antiqua" w:eastAsia="Book Antiqua" w:hAnsi="Book Antiqua" w:cs="Book Antiqua"/>
          <w:color w:val="000000" w:themeColor="text1"/>
          <w:lang w:val="es-ES"/>
        </w:rPr>
        <w:t xml:space="preserve">, mejorar la comunicación </w:t>
      </w:r>
      <w:r w:rsidR="00A5416B">
        <w:rPr>
          <w:rFonts w:ascii="Book Antiqua" w:eastAsia="Book Antiqua" w:hAnsi="Book Antiqua" w:cs="Book Antiqua"/>
          <w:color w:val="000000" w:themeColor="text1"/>
          <w:lang w:val="es-ES"/>
        </w:rPr>
        <w:t>i</w:t>
      </w:r>
      <w:r w:rsidR="00A5416B" w:rsidRPr="00E00BFE">
        <w:rPr>
          <w:rFonts w:ascii="Book Antiqua" w:eastAsia="Book Antiqua" w:hAnsi="Book Antiqua" w:cs="Book Antiqua"/>
          <w:color w:val="000000" w:themeColor="text1"/>
          <w:lang w:val="es-ES"/>
        </w:rPr>
        <w:t xml:space="preserve">nter agencial y asegurar la implementación adecuada de las leyes en el procesamiento de casos de corrupción; </w:t>
      </w:r>
      <w:r w:rsidR="00A5416B" w:rsidRPr="00E00BFE">
        <w:rPr>
          <w:rFonts w:ascii="Book Antiqua" w:eastAsia="Book Antiqua" w:hAnsi="Book Antiqua" w:cs="Book Antiqua"/>
          <w:color w:val="000000" w:themeColor="text1"/>
          <w:lang w:val="es-PR"/>
        </w:rPr>
        <w:t>para establecer la facultad de reglamentación sobre estas nuevas disposiciones; y para otros fines relacionados.</w:t>
      </w:r>
    </w:p>
    <w:p w14:paraId="726F9974" w14:textId="31F1C9DD" w:rsidR="000B77A8" w:rsidRPr="00930E48" w:rsidRDefault="000B77A8" w:rsidP="00C707BB">
      <w:pPr>
        <w:pStyle w:val="NormalWeb"/>
        <w:spacing w:before="0" w:beforeAutospacing="0" w:after="0" w:afterAutospacing="0"/>
        <w:ind w:left="708" w:hanging="708"/>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C707BB">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5E71D0FC" w14:textId="77777777" w:rsidR="00A5416B" w:rsidRDefault="00A5416B" w:rsidP="00C707BB">
      <w:pPr>
        <w:jc w:val="both"/>
        <w:rPr>
          <w:rFonts w:ascii="Book Antiqua" w:eastAsia="Book Antiqua" w:hAnsi="Book Antiqua" w:cs="Book Antiqua"/>
          <w:bCs/>
          <w:color w:val="000000" w:themeColor="text1"/>
          <w:lang w:val="es-PR"/>
        </w:rPr>
      </w:pPr>
    </w:p>
    <w:p w14:paraId="7AB682D1" w14:textId="4FC54841" w:rsidR="00A5416B" w:rsidRPr="00E00BFE" w:rsidRDefault="00A5416B" w:rsidP="00C707BB">
      <w:pPr>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 xml:space="preserve">Desde el 2018 Puerto Rico declaró que su política pública es lograr la más completa erradicación de la corrupción en nuestro Gobierno, que tantos costos en términos de recursos económicos y de tiempo nos ha facturado. Queremos lograr que las personas que vienen al servicio público, incluyendo los contratistas que ofrecen servicios -desde el sector privado- honren el juramento de seguir al pie de la letra, todas las normas de sana administración pública de nuestro Gobierno. </w:t>
      </w:r>
    </w:p>
    <w:p w14:paraId="46C59844" w14:textId="7EE0F639" w:rsidR="00A5416B" w:rsidRPr="00E00BFE" w:rsidRDefault="00A5416B" w:rsidP="00C707BB">
      <w:pPr>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lastRenderedPageBreak/>
        <w:t xml:space="preserve">Sin embargo, como todos conocemos que a pesar de estas prohibiciones y las consecuencias que han sufrido funcionarios públicos – electos y designados- así como personas privadas (naturales y jurídicas), luego de que se les ha demostrado más allá de duda razonable su participación conspiración y otros delitos con fondos públicos (estatales y federales), algunas personas todavía se atreven a incurrir en actos de corrupción. </w:t>
      </w:r>
    </w:p>
    <w:p w14:paraId="3758A93B" w14:textId="77777777" w:rsidR="00A5416B" w:rsidRDefault="00A5416B" w:rsidP="00C707BB">
      <w:pPr>
        <w:jc w:val="both"/>
        <w:rPr>
          <w:rFonts w:ascii="Book Antiqua" w:eastAsia="Book Antiqua" w:hAnsi="Book Antiqua" w:cs="Book Antiqua"/>
          <w:color w:val="000000" w:themeColor="text1"/>
          <w:lang w:val="es-PR"/>
        </w:rPr>
      </w:pPr>
    </w:p>
    <w:p w14:paraId="256F4AC9" w14:textId="7E2D9FCE" w:rsidR="00A5416B" w:rsidRPr="00E00BFE" w:rsidRDefault="00A5416B" w:rsidP="00C707BB">
      <w:pPr>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PR"/>
        </w:rPr>
        <w:t xml:space="preserve">Por lo tanto, es la intención específica de las enmiendas que se incluyen en esta legislación, sirvan para desarrollar </w:t>
      </w:r>
      <w:r w:rsidRPr="00E00BFE">
        <w:rPr>
          <w:rFonts w:ascii="Book Antiqua" w:eastAsia="Book Antiqua" w:hAnsi="Book Antiqua" w:cs="Book Antiqua"/>
          <w:color w:val="000000" w:themeColor="text1"/>
          <w:lang w:val="es-ES"/>
        </w:rPr>
        <w:t>mejores formas de fiscalización, más comunicación inter agencial, evitar duplicidad de esfuerzos y asegurar la implementación adecuada de las leyes en el procesamiento criminal y administrativo de casos de corrupción gubernamental.</w:t>
      </w:r>
    </w:p>
    <w:p w14:paraId="3994D1F1" w14:textId="77777777" w:rsidR="00A5416B" w:rsidRPr="00E00BFE" w:rsidRDefault="00A5416B" w:rsidP="00C707BB">
      <w:pPr>
        <w:rPr>
          <w:rFonts w:ascii="Book Antiqua" w:eastAsia="Book Antiqua" w:hAnsi="Book Antiqua" w:cs="Book Antiqua"/>
          <w:color w:val="000000" w:themeColor="text1"/>
          <w:lang w:val="es-PR"/>
        </w:rPr>
      </w:pPr>
    </w:p>
    <w:p w14:paraId="7955066D" w14:textId="77777777" w:rsidR="00FF2214" w:rsidRPr="00930E48" w:rsidRDefault="00850770" w:rsidP="00C707BB">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1B4030A1"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 xml:space="preserve">Sección 1.-Se enmienda el Artículo 3.5 de la Ley 2-2018, según enmendada, para que se lea como sigue: </w:t>
      </w:r>
    </w:p>
    <w:p w14:paraId="08964EAF"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PR"/>
        </w:rPr>
        <w:t>“</w:t>
      </w:r>
      <w:r w:rsidRPr="00E00BFE">
        <w:rPr>
          <w:rFonts w:ascii="Book Antiqua" w:eastAsia="Book Antiqua" w:hAnsi="Book Antiqua" w:cs="Book Antiqua"/>
          <w:color w:val="000000" w:themeColor="text1"/>
          <w:lang w:val="es-ES"/>
        </w:rPr>
        <w:t xml:space="preserve">Artículo 3.5. — Procedimiento. </w:t>
      </w:r>
    </w:p>
    <w:p w14:paraId="095539EA"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ES"/>
        </w:rPr>
        <w:t xml:space="preserve">Le corresponde a cada agencia ejecutiva del Gobierno de Puerto Rico velar por el cumplimiento de lo dispuesto en el Código de Ética que aquí se establece. Conforme a tal obligación, las agencias ejecutivas del Gobierno de Puerto Rico poseen la facultad de llevar a cabo investigaciones para determinar si algún contratista, suplidor o solicitante de incentivos económicos ha actuado en violación al presente Código de Ética. Dicha facultad investigativa será ejercida por cualquier funcionario designado por la agencia a tales fines, según se establezca en la reglamentación que cada agencia apruebe para implementar las disposiciones de esta Ley. </w:t>
      </w:r>
      <w:r w:rsidRPr="00E00BFE">
        <w:rPr>
          <w:rFonts w:ascii="Book Antiqua" w:eastAsia="Book Antiqua" w:hAnsi="Book Antiqua" w:cs="Book Antiqua"/>
          <w:i/>
          <w:iCs/>
          <w:color w:val="000000" w:themeColor="text1"/>
          <w:lang w:val="es-ES"/>
        </w:rPr>
        <w:t xml:space="preserve">Esta facultad investigativa no podrá ser interpretada como un menoscabo de las facultades colectivas que se le otorgan o pudieran otorgar a dichas agencias o funcionarios, si estos son o fueran parte del “Grupo para la Prevención y Erradicación de la Corrupción”, y cualquier otra disposición de la Ley 2-2018, según enmendada, </w:t>
      </w:r>
      <w:r w:rsidRPr="00E00BFE">
        <w:rPr>
          <w:rFonts w:ascii="Book Antiqua" w:eastAsia="Book Antiqua" w:hAnsi="Book Antiqua" w:cs="Book Antiqua"/>
          <w:i/>
          <w:iCs/>
          <w:color w:val="000000" w:themeColor="text1"/>
          <w:lang w:val="es-ES"/>
        </w:rPr>
        <w:lastRenderedPageBreak/>
        <w:t>pues ambos estatutos deben interpretarse en armonía con la política pública anticorrupción del Gobierno de Puerto Rico.</w:t>
      </w:r>
      <w:r w:rsidRPr="00E00BFE">
        <w:rPr>
          <w:rFonts w:ascii="Book Antiqua" w:eastAsia="Book Antiqua" w:hAnsi="Book Antiqua" w:cs="Book Antiqua"/>
          <w:color w:val="000000" w:themeColor="text1"/>
          <w:highlight w:val="white"/>
          <w:lang w:val="es-PR"/>
        </w:rPr>
        <w:t>”</w:t>
      </w:r>
    </w:p>
    <w:p w14:paraId="259B6B2D"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Sección 2.-</w:t>
      </w:r>
      <w:r w:rsidRPr="00E00BFE">
        <w:rPr>
          <w:color w:val="000000" w:themeColor="text1"/>
          <w:lang w:val="es-PR"/>
        </w:rPr>
        <w:t xml:space="preserve"> </w:t>
      </w:r>
      <w:r w:rsidRPr="00E00BFE">
        <w:rPr>
          <w:rFonts w:ascii="Book Antiqua" w:eastAsia="Book Antiqua" w:hAnsi="Book Antiqua" w:cs="Book Antiqua"/>
          <w:color w:val="000000" w:themeColor="text1"/>
          <w:lang w:val="es-PR"/>
        </w:rPr>
        <w:t>Se enmienda el Artículo 7.1 de la Ley 2-2018, según enmendada, para que se lea como sigue:</w:t>
      </w:r>
    </w:p>
    <w:p w14:paraId="566B546B"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PR"/>
        </w:rPr>
        <w:t>“</w:t>
      </w:r>
      <w:r w:rsidRPr="00E00BFE">
        <w:rPr>
          <w:rFonts w:ascii="Book Antiqua" w:eastAsia="Book Antiqua" w:hAnsi="Book Antiqua" w:cs="Book Antiqua"/>
          <w:color w:val="000000" w:themeColor="text1"/>
          <w:lang w:val="es-ES"/>
        </w:rPr>
        <w:t xml:space="preserve">Artículo 7.1 — Creación y Composición. </w:t>
      </w:r>
    </w:p>
    <w:p w14:paraId="6E927A1D"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A los fines de lograr una continua cooperación de todas las agencias con participación en la lucha contra la corrupción, se crea el “Grupo para la Prevención y Erradicación de la Corrupción”. Este Grupo estará compuesto por los siguientes miembros: </w:t>
      </w:r>
    </w:p>
    <w:p w14:paraId="0463A44C"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(a) El(la) Director(a) de la Oficina de Ética Gubernamental, </w:t>
      </w:r>
      <w:r w:rsidRPr="00E00BFE">
        <w:rPr>
          <w:rFonts w:ascii="Book Antiqua" w:eastAsia="Book Antiqua" w:hAnsi="Book Antiqua" w:cs="Book Antiqua"/>
          <w:b/>
          <w:bCs/>
          <w:color w:val="000000" w:themeColor="text1"/>
          <w:lang w:val="es-ES"/>
        </w:rPr>
        <w:t>[que]</w:t>
      </w:r>
      <w:r w:rsidRPr="00E00BFE">
        <w:rPr>
          <w:rFonts w:ascii="Book Antiqua" w:eastAsia="Book Antiqua" w:hAnsi="Book Antiqua" w:cs="Book Antiqua"/>
          <w:color w:val="000000" w:themeColor="text1"/>
          <w:lang w:val="es-ES"/>
        </w:rPr>
        <w:t xml:space="preserve"> </w:t>
      </w:r>
      <w:r w:rsidRPr="00E00BFE">
        <w:rPr>
          <w:rFonts w:ascii="Book Antiqua" w:eastAsia="Book Antiqua" w:hAnsi="Book Antiqua" w:cs="Book Antiqua"/>
          <w:i/>
          <w:iCs/>
          <w:color w:val="000000" w:themeColor="text1"/>
          <w:lang w:val="es-ES"/>
        </w:rPr>
        <w:t xml:space="preserve">quien </w:t>
      </w:r>
      <w:r w:rsidRPr="00E00BFE">
        <w:rPr>
          <w:rFonts w:ascii="Book Antiqua" w:eastAsia="Book Antiqua" w:hAnsi="Book Antiqua" w:cs="Book Antiqua"/>
          <w:color w:val="000000" w:themeColor="text1"/>
          <w:lang w:val="es-ES"/>
        </w:rPr>
        <w:t>lo presidirá;</w:t>
      </w:r>
    </w:p>
    <w:p w14:paraId="7DA2B187"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(b) El(la) Contralor(a) del Gobierno de Puerto Rico; </w:t>
      </w:r>
    </w:p>
    <w:p w14:paraId="6581718A"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(c) El Presidente o la Presidenta del Panel sobre el Fiscal Especial Independiente; </w:t>
      </w:r>
    </w:p>
    <w:p w14:paraId="31EDB1BF"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(d) El(la) Secretario(a) del Departamento de Justicia del Gobierno de Puerto Rico; </w:t>
      </w:r>
    </w:p>
    <w:p w14:paraId="06C8B479"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(e) El(la) Secretario(a) del Departamento de Hacienda del Gobierno de Puerto Rico; </w:t>
      </w:r>
    </w:p>
    <w:p w14:paraId="5CC02F64"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(f) El(la) Inspector(a) General del Gobierno de Puerto Rico; </w:t>
      </w:r>
    </w:p>
    <w:p w14:paraId="53E6FA53"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(g) El (la) Comisionado(a) del Negociado de la Policía de Puerto Rico; y </w:t>
      </w:r>
    </w:p>
    <w:p w14:paraId="5F1E2AAD"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(h) Cualquier otro miembro que sea invitado por el (la) presidente(a). </w:t>
      </w:r>
    </w:p>
    <w:p w14:paraId="23581799"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El Grupo invitará a participar de sus reuniones al fiscal a cargo de la oficina de Puerto Rico del Departamento de Justicia Federal y al agente especial a cargo de la oficina de Puerto Rico del Negociado Federal de Investigaciones (FBI por sus siglas en inglés). </w:t>
      </w:r>
    </w:p>
    <w:p w14:paraId="058E1FE1"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ES"/>
        </w:rPr>
        <w:lastRenderedPageBreak/>
        <w:t xml:space="preserve">El Grupo acordará las normas para su funcionamiento interno incluyendo la frecuencia de sus reuniones, </w:t>
      </w:r>
      <w:r w:rsidRPr="00E00BFE">
        <w:rPr>
          <w:rFonts w:ascii="Book Antiqua" w:eastAsia="Book Antiqua" w:hAnsi="Book Antiqua" w:cs="Book Antiqua"/>
          <w:i/>
          <w:iCs/>
          <w:color w:val="000000" w:themeColor="text1"/>
          <w:lang w:val="es-ES"/>
        </w:rPr>
        <w:t>incluyendo cualquier norma procesal requerida para poder coordinar adecuadamente las mejores formas de fiscalización, comunicación inter agencial, evitar duplicidad de esfuerzos y asegurar la implementación adecuada de la política pública anticorrupción del Gobierno de Puerto Rico</w:t>
      </w:r>
      <w:r w:rsidRPr="00E00BFE">
        <w:rPr>
          <w:rFonts w:ascii="Book Antiqua" w:eastAsia="Book Antiqua" w:hAnsi="Book Antiqua" w:cs="Book Antiqua"/>
          <w:color w:val="000000" w:themeColor="text1"/>
          <w:lang w:val="es-ES"/>
        </w:rPr>
        <w:t>.</w:t>
      </w:r>
      <w:r w:rsidRPr="00E00BFE">
        <w:rPr>
          <w:rFonts w:ascii="Book Antiqua" w:eastAsia="Book Antiqua" w:hAnsi="Book Antiqua" w:cs="Book Antiqua"/>
          <w:iCs/>
          <w:color w:val="000000" w:themeColor="text1"/>
          <w:lang w:val="es-PR"/>
        </w:rPr>
        <w:t>”</w:t>
      </w:r>
    </w:p>
    <w:p w14:paraId="38699F4E"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Sección 3.-</w:t>
      </w:r>
      <w:r w:rsidRPr="00E00BFE">
        <w:rPr>
          <w:color w:val="000000" w:themeColor="text1"/>
          <w:lang w:val="es-PR"/>
        </w:rPr>
        <w:t xml:space="preserve"> </w:t>
      </w:r>
      <w:r w:rsidRPr="00E00BFE">
        <w:rPr>
          <w:rFonts w:ascii="Book Antiqua" w:eastAsia="Book Antiqua" w:hAnsi="Book Antiqua" w:cs="Book Antiqua"/>
          <w:color w:val="000000" w:themeColor="text1"/>
          <w:lang w:val="es-PR"/>
        </w:rPr>
        <w:t>Se enmienda el Artículo 7.2. de la Ley 2-2018, según enmendada, para que se lea como sigue:</w:t>
      </w:r>
    </w:p>
    <w:p w14:paraId="47113F63"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PR"/>
        </w:rPr>
        <w:t>“</w:t>
      </w:r>
      <w:r w:rsidRPr="00E00BFE">
        <w:rPr>
          <w:rFonts w:ascii="Book Antiqua" w:eastAsia="Book Antiqua" w:hAnsi="Book Antiqua" w:cs="Book Antiqua"/>
          <w:color w:val="000000" w:themeColor="text1"/>
          <w:lang w:val="es-ES"/>
        </w:rPr>
        <w:t>Artículo 7.2. — Funciones del Grupo.</w:t>
      </w:r>
    </w:p>
    <w:p w14:paraId="7BB9A0D0"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El “Grupo para la Prevención y Erradicación de la Corrupción” tendrá las siguientes funciones: </w:t>
      </w:r>
    </w:p>
    <w:p w14:paraId="1B5B4254"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(a) Asegurar una adecuada</w:t>
      </w:r>
      <w:r w:rsidRPr="00E00BFE">
        <w:rPr>
          <w:rFonts w:ascii="Book Antiqua" w:eastAsia="Book Antiqua" w:hAnsi="Book Antiqua" w:cs="Book Antiqua"/>
          <w:i/>
          <w:iCs/>
          <w:color w:val="000000" w:themeColor="text1"/>
          <w:lang w:val="es-ES"/>
        </w:rPr>
        <w:t>, coordinación,</w:t>
      </w:r>
      <w:r w:rsidRPr="00E00BFE">
        <w:rPr>
          <w:rFonts w:ascii="Book Antiqua" w:eastAsia="Book Antiqua" w:hAnsi="Book Antiqua" w:cs="Book Antiqua"/>
          <w:color w:val="000000" w:themeColor="text1"/>
          <w:lang w:val="es-ES"/>
        </w:rPr>
        <w:t xml:space="preserve"> comunicación y cooperación </w:t>
      </w:r>
      <w:proofErr w:type="spellStart"/>
      <w:r w:rsidRPr="00E00BFE">
        <w:rPr>
          <w:rFonts w:ascii="Book Antiqua" w:eastAsia="Book Antiqua" w:hAnsi="Book Antiqua" w:cs="Book Antiqua"/>
          <w:color w:val="000000" w:themeColor="text1"/>
          <w:lang w:val="es-ES"/>
        </w:rPr>
        <w:t>interagencial</w:t>
      </w:r>
      <w:proofErr w:type="spellEnd"/>
      <w:r w:rsidRPr="00E00BFE">
        <w:rPr>
          <w:rFonts w:ascii="Book Antiqua" w:eastAsia="Book Antiqua" w:hAnsi="Book Antiqua" w:cs="Book Antiqua"/>
          <w:color w:val="000000" w:themeColor="text1"/>
          <w:lang w:val="es-ES"/>
        </w:rPr>
        <w:t xml:space="preserve"> en todos los esfuerzos anticorrupción</w:t>
      </w:r>
      <w:r w:rsidRPr="00E00BFE">
        <w:rPr>
          <w:rFonts w:ascii="Book Antiqua" w:eastAsia="Book Antiqua" w:hAnsi="Book Antiqua" w:cs="Book Antiqua"/>
          <w:i/>
          <w:iCs/>
          <w:color w:val="000000" w:themeColor="text1"/>
          <w:lang w:val="es-ES"/>
        </w:rPr>
        <w:t>;</w:t>
      </w:r>
      <w:r w:rsidRPr="00E00BFE">
        <w:rPr>
          <w:rFonts w:ascii="Book Antiqua" w:eastAsia="Book Antiqua" w:hAnsi="Book Antiqua" w:cs="Book Antiqua"/>
          <w:color w:val="000000" w:themeColor="text1"/>
          <w:lang w:val="es-ES"/>
        </w:rPr>
        <w:t xml:space="preserve"> </w:t>
      </w:r>
    </w:p>
    <w:p w14:paraId="170C403F"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(b) colaborar con la Oficina de Ética Gubernamental en todo esfuerzo dirigido a prevenir y erradicar la corrupción; </w:t>
      </w:r>
    </w:p>
    <w:p w14:paraId="4C097F69"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(c) mejorar la habilidad del gobierno para recibir información sobre posibles actos de corrupción; y</w:t>
      </w:r>
    </w:p>
    <w:p w14:paraId="2369C6C6"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ES"/>
        </w:rPr>
        <w:t xml:space="preserve">(d) fortalecer los procesos </w:t>
      </w:r>
      <w:r w:rsidRPr="00E00BFE">
        <w:rPr>
          <w:rFonts w:ascii="Book Antiqua" w:eastAsia="Book Antiqua" w:hAnsi="Book Antiqua" w:cs="Book Antiqua"/>
          <w:i/>
          <w:iCs/>
          <w:color w:val="000000" w:themeColor="text1"/>
          <w:lang w:val="es-ES"/>
        </w:rPr>
        <w:t>criminales y administrativos</w:t>
      </w:r>
      <w:r w:rsidRPr="00E00BFE">
        <w:rPr>
          <w:rFonts w:ascii="Book Antiqua" w:eastAsia="Book Antiqua" w:hAnsi="Book Antiqua" w:cs="Book Antiqua"/>
          <w:color w:val="000000" w:themeColor="text1"/>
          <w:lang w:val="es-ES"/>
        </w:rPr>
        <w:t xml:space="preserve"> para</w:t>
      </w:r>
      <w:r w:rsidRPr="00E00BFE">
        <w:rPr>
          <w:rFonts w:ascii="Book Antiqua" w:eastAsia="Book Antiqua" w:hAnsi="Book Antiqua" w:cs="Book Antiqua"/>
          <w:i/>
          <w:iCs/>
          <w:color w:val="000000" w:themeColor="text1"/>
          <w:lang w:val="es-ES"/>
        </w:rPr>
        <w:t xml:space="preserve">, evitar tanto la duplicidad de esfuerzos gubernamentales, como </w:t>
      </w:r>
      <w:r w:rsidRPr="00E00BFE">
        <w:rPr>
          <w:rFonts w:ascii="Book Antiqua" w:eastAsia="Book Antiqua" w:hAnsi="Book Antiqua" w:cs="Book Antiqua"/>
          <w:color w:val="000000" w:themeColor="text1"/>
          <w:lang w:val="es-ES"/>
        </w:rPr>
        <w:t>la impunidad</w:t>
      </w:r>
      <w:r w:rsidRPr="00E00BFE">
        <w:rPr>
          <w:rFonts w:ascii="Book Antiqua" w:eastAsia="Book Antiqua" w:hAnsi="Book Antiqua" w:cs="Book Antiqua"/>
          <w:i/>
          <w:iCs/>
          <w:color w:val="000000" w:themeColor="text1"/>
          <w:lang w:val="es-ES"/>
        </w:rPr>
        <w:t xml:space="preserve"> a personas que cometen actos de corrupción</w:t>
      </w:r>
      <w:r w:rsidRPr="00E00BFE">
        <w:rPr>
          <w:rFonts w:ascii="Book Antiqua" w:eastAsia="Book Antiqua" w:hAnsi="Book Antiqua" w:cs="Book Antiqua"/>
          <w:i/>
          <w:color w:val="000000" w:themeColor="text1"/>
          <w:lang w:val="es-PR"/>
        </w:rPr>
        <w:t>.</w:t>
      </w:r>
      <w:r w:rsidRPr="00E00BFE">
        <w:rPr>
          <w:rFonts w:ascii="Book Antiqua" w:eastAsia="Book Antiqua" w:hAnsi="Book Antiqua" w:cs="Book Antiqua"/>
          <w:iCs/>
          <w:color w:val="000000" w:themeColor="text1"/>
          <w:lang w:val="es-PR"/>
        </w:rPr>
        <w:t>”</w:t>
      </w:r>
    </w:p>
    <w:p w14:paraId="2BFB556D"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Sección 4.- Se enmienda el Artículo 7.3 de la Ley 2-2018 según enmendada, para que se lea como sigue:</w:t>
      </w:r>
    </w:p>
    <w:p w14:paraId="6408F29D"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t xml:space="preserve">“Artículo 7.3. — Cooperación </w:t>
      </w:r>
      <w:proofErr w:type="spellStart"/>
      <w:r w:rsidRPr="00E00BFE">
        <w:rPr>
          <w:rFonts w:ascii="Book Antiqua" w:eastAsia="Book Antiqua" w:hAnsi="Book Antiqua" w:cs="Book Antiqua"/>
          <w:color w:val="000000" w:themeColor="text1"/>
          <w:lang w:val="es-ES"/>
        </w:rPr>
        <w:t>Interagencial</w:t>
      </w:r>
      <w:proofErr w:type="spellEnd"/>
      <w:r w:rsidRPr="00E00BFE">
        <w:rPr>
          <w:rFonts w:ascii="Book Antiqua" w:eastAsia="Book Antiqua" w:hAnsi="Book Antiqua" w:cs="Book Antiqua"/>
          <w:color w:val="000000" w:themeColor="text1"/>
          <w:lang w:val="es-ES"/>
        </w:rPr>
        <w:t>.</w:t>
      </w:r>
    </w:p>
    <w:p w14:paraId="46505DD5" w14:textId="1CB36C89" w:rsidR="00A5416B" w:rsidRPr="00E00BFE" w:rsidRDefault="00A5416B" w:rsidP="00A5416B">
      <w:pPr>
        <w:spacing w:line="480" w:lineRule="auto"/>
        <w:ind w:firstLine="720"/>
        <w:jc w:val="both"/>
        <w:rPr>
          <w:rFonts w:ascii="Book Antiqua" w:eastAsia="Book Antiqua" w:hAnsi="Book Antiqua" w:cs="Book Antiqua"/>
          <w:color w:val="000000" w:themeColor="text1"/>
          <w:lang w:val="es-ES"/>
        </w:rPr>
      </w:pPr>
      <w:r w:rsidRPr="00E00BFE">
        <w:rPr>
          <w:rFonts w:ascii="Book Antiqua" w:eastAsia="Book Antiqua" w:hAnsi="Book Antiqua" w:cs="Book Antiqua"/>
          <w:color w:val="000000" w:themeColor="text1"/>
          <w:lang w:val="es-ES"/>
        </w:rPr>
        <w:lastRenderedPageBreak/>
        <w:t xml:space="preserve">Se instruye a los funcionarios públicos que componen el </w:t>
      </w:r>
      <w:r w:rsidRPr="00E00BFE">
        <w:rPr>
          <w:rFonts w:ascii="Book Antiqua" w:eastAsia="Book Antiqua" w:hAnsi="Book Antiqua" w:cs="Book Antiqua"/>
          <w:i/>
          <w:iCs/>
          <w:color w:val="000000" w:themeColor="text1"/>
          <w:lang w:val="es-ES"/>
        </w:rPr>
        <w:t>“</w:t>
      </w:r>
      <w:r w:rsidRPr="00E00BFE">
        <w:rPr>
          <w:rFonts w:ascii="Book Antiqua" w:eastAsia="Book Antiqua" w:hAnsi="Book Antiqua" w:cs="Book Antiqua"/>
          <w:color w:val="000000" w:themeColor="text1"/>
          <w:lang w:val="es-ES"/>
        </w:rPr>
        <w:t xml:space="preserve">Grupo </w:t>
      </w:r>
      <w:r w:rsidRPr="00E00BFE">
        <w:rPr>
          <w:rFonts w:ascii="Book Antiqua" w:eastAsia="Book Antiqua" w:hAnsi="Book Antiqua" w:cs="Book Antiqua"/>
          <w:i/>
          <w:iCs/>
          <w:color w:val="000000" w:themeColor="text1"/>
          <w:lang w:val="es-ES"/>
        </w:rPr>
        <w:t>para la Prevención y Erradicación de la Corrupción”</w:t>
      </w:r>
      <w:r w:rsidRPr="00E00BFE">
        <w:rPr>
          <w:rFonts w:ascii="Book Antiqua" w:eastAsia="Book Antiqua" w:hAnsi="Book Antiqua" w:cs="Book Antiqua"/>
          <w:color w:val="000000" w:themeColor="text1"/>
          <w:lang w:val="es-ES"/>
        </w:rPr>
        <w:t xml:space="preserve"> </w:t>
      </w:r>
      <w:r w:rsidRPr="00E00BFE">
        <w:rPr>
          <w:rFonts w:ascii="Book Antiqua" w:eastAsia="Book Antiqua" w:hAnsi="Book Antiqua" w:cs="Book Antiqua"/>
          <w:b/>
          <w:bCs/>
          <w:color w:val="000000" w:themeColor="text1"/>
          <w:lang w:val="es-ES"/>
        </w:rPr>
        <w:t>[a facilitar]</w:t>
      </w:r>
      <w:r w:rsidRPr="00E00BFE">
        <w:rPr>
          <w:rFonts w:ascii="Book Antiqua" w:eastAsia="Book Antiqua" w:hAnsi="Book Antiqua" w:cs="Book Antiqua"/>
          <w:color w:val="000000" w:themeColor="text1"/>
          <w:lang w:val="es-ES"/>
        </w:rPr>
        <w:t xml:space="preserve"> </w:t>
      </w:r>
      <w:r w:rsidRPr="00E00BFE">
        <w:rPr>
          <w:rFonts w:ascii="Book Antiqua" w:eastAsia="Book Antiqua" w:hAnsi="Book Antiqua" w:cs="Book Antiqua"/>
          <w:i/>
          <w:iCs/>
          <w:color w:val="000000" w:themeColor="text1"/>
          <w:lang w:val="es-ES"/>
        </w:rPr>
        <w:t xml:space="preserve">fomentar y lograr </w:t>
      </w:r>
      <w:r w:rsidRPr="00E00BFE">
        <w:rPr>
          <w:rFonts w:ascii="Book Antiqua" w:eastAsia="Book Antiqua" w:hAnsi="Book Antiqua" w:cs="Book Antiqua"/>
          <w:color w:val="000000" w:themeColor="text1"/>
          <w:lang w:val="es-ES"/>
        </w:rPr>
        <w:t xml:space="preserve">la más amplia cooperación </w:t>
      </w:r>
      <w:proofErr w:type="spellStart"/>
      <w:r w:rsidRPr="00E00BFE">
        <w:rPr>
          <w:rFonts w:ascii="Book Antiqua" w:eastAsia="Book Antiqua" w:hAnsi="Book Antiqua" w:cs="Book Antiqua"/>
          <w:color w:val="000000" w:themeColor="text1"/>
          <w:lang w:val="es-ES"/>
        </w:rPr>
        <w:t>interagencial</w:t>
      </w:r>
      <w:proofErr w:type="spellEnd"/>
      <w:r w:rsidRPr="00E00BFE">
        <w:rPr>
          <w:rFonts w:ascii="Book Antiqua" w:eastAsia="Book Antiqua" w:hAnsi="Book Antiqua" w:cs="Book Antiqua"/>
          <w:color w:val="000000" w:themeColor="text1"/>
          <w:lang w:val="es-ES"/>
        </w:rPr>
        <w:t xml:space="preserve"> para adelantar la política pública delineada en este Código. No obstante, nada de lo aquí dispuesto debe interpretarse como que autoriza la divulgación de información confidencial que pueda interferir con procesos en curso o afectar investigaciones pendientes</w:t>
      </w:r>
      <w:r w:rsidRPr="00E00BFE">
        <w:rPr>
          <w:rFonts w:ascii="Book Antiqua" w:eastAsia="Book Antiqua" w:hAnsi="Book Antiqua" w:cs="Book Antiqua"/>
          <w:i/>
          <w:iCs/>
          <w:color w:val="000000" w:themeColor="text1"/>
          <w:lang w:val="es-ES"/>
        </w:rPr>
        <w:t xml:space="preserve"> o futuras</w:t>
      </w:r>
      <w:r w:rsidRPr="00E00BFE">
        <w:rPr>
          <w:rFonts w:ascii="Book Antiqua" w:eastAsia="Book Antiqua" w:hAnsi="Book Antiqua" w:cs="Book Antiqua"/>
          <w:color w:val="000000" w:themeColor="text1"/>
          <w:lang w:val="es-ES"/>
        </w:rPr>
        <w:t xml:space="preserve">. </w:t>
      </w:r>
      <w:r w:rsidRPr="00E00BFE">
        <w:rPr>
          <w:rFonts w:ascii="Book Antiqua" w:eastAsia="Book Antiqua" w:hAnsi="Book Antiqua" w:cs="Book Antiqua"/>
          <w:i/>
          <w:iCs/>
          <w:color w:val="000000" w:themeColor="text1"/>
          <w:lang w:val="es-ES"/>
        </w:rPr>
        <w:t>Todo lo anterior, se ejecutará de una manera eficiente para que, por un lado, se evite la duplicidad de esfuerzos, mientras también se permiten y fomentan procesos criminales y administrativos que permitan erradicar la corrupción en Puerto Rico.</w:t>
      </w:r>
      <w:r w:rsidRPr="00E00BFE">
        <w:rPr>
          <w:rFonts w:ascii="Book Antiqua" w:eastAsia="Book Antiqua" w:hAnsi="Book Antiqua" w:cs="Book Antiqua"/>
          <w:color w:val="000000" w:themeColor="text1"/>
          <w:lang w:val="es-ES"/>
        </w:rPr>
        <w:t>”</w:t>
      </w:r>
    </w:p>
    <w:p w14:paraId="142C8455" w14:textId="77777777" w:rsidR="00A5416B" w:rsidRPr="00A5416B" w:rsidRDefault="00A5416B" w:rsidP="00A5416B">
      <w:pPr>
        <w:spacing w:line="480" w:lineRule="auto"/>
        <w:ind w:left="720"/>
        <w:jc w:val="both"/>
        <w:rPr>
          <w:rFonts w:ascii="Book Antiqua" w:eastAsia="Book Antiqua" w:hAnsi="Book Antiqua" w:cs="Book Antiqua"/>
          <w:color w:val="000000" w:themeColor="text1"/>
          <w:lang w:val="es-PR"/>
        </w:rPr>
      </w:pPr>
      <w:r w:rsidRPr="00A5416B">
        <w:rPr>
          <w:rFonts w:ascii="Book Antiqua" w:eastAsia="Book Antiqua" w:hAnsi="Book Antiqua" w:cs="Book Antiqua"/>
          <w:color w:val="000000" w:themeColor="text1"/>
          <w:lang w:val="es-PR"/>
        </w:rPr>
        <w:t xml:space="preserve">Sección 5.- Reglamentación.  </w:t>
      </w:r>
    </w:p>
    <w:p w14:paraId="0ADD5D17"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 xml:space="preserve">Toda agencia, comisión, corporación o instrumentalidad pública departamento, municipio, negociado, oficina, o subdivisión política o jurídica de cualquiera de las tres ramas del gobierno de Puerto Rico, que venga obligada a cumplir con las disposiciones de la Ley Núm. 2-2018, según enmendada, realizará los cambios que sea necesarios en sus cartas circulares, reglas, reglamentos, normas y procedimientos para cumplir con lo dispuesto en la presente Ley. Toda norma administrativa que sea necesaria para poder implantar las disposiciones de la presente Ley será promulgada sin sujeción a las disposiciones de la Ley 38-2017, según enmendada, conocida como “Ley de Procedimiento Administrativo Uniforme del Gobierno de Puerto Rico”. </w:t>
      </w:r>
    </w:p>
    <w:p w14:paraId="6948F546" w14:textId="77777777" w:rsidR="00A5416B" w:rsidRPr="00E00BFE" w:rsidRDefault="00A5416B" w:rsidP="00A5416B">
      <w:pPr>
        <w:spacing w:line="480" w:lineRule="auto"/>
        <w:ind w:firstLine="720"/>
        <w:jc w:val="both"/>
        <w:rPr>
          <w:rFonts w:ascii="Book Antiqua" w:eastAsia="Book Antiqua" w:hAnsi="Book Antiqua" w:cs="Book Antiqua"/>
          <w:color w:val="000000" w:themeColor="text1"/>
          <w:lang w:val="es-PR"/>
        </w:rPr>
      </w:pPr>
      <w:r w:rsidRPr="00E00BFE">
        <w:rPr>
          <w:rFonts w:ascii="Book Antiqua" w:eastAsia="Book Antiqua" w:hAnsi="Book Antiqua" w:cs="Book Antiqua"/>
          <w:color w:val="000000" w:themeColor="text1"/>
          <w:lang w:val="es-PR"/>
        </w:rPr>
        <w:t xml:space="preserve">Sección 6.- Vigencia. </w:t>
      </w:r>
    </w:p>
    <w:p w14:paraId="79550695" w14:textId="5911481F" w:rsidR="00FF2214" w:rsidRPr="00A5416B" w:rsidRDefault="00A5416B" w:rsidP="00A5416B">
      <w:pPr>
        <w:spacing w:line="480" w:lineRule="auto"/>
        <w:ind w:firstLine="720"/>
        <w:jc w:val="both"/>
        <w:rPr>
          <w:color w:val="000000" w:themeColor="text1"/>
          <w:lang w:val="es-PR"/>
        </w:rPr>
      </w:pPr>
      <w:r w:rsidRPr="00E00BFE">
        <w:rPr>
          <w:rFonts w:ascii="Book Antiqua" w:eastAsia="Book Antiqua" w:hAnsi="Book Antiqua" w:cs="Book Antiqua"/>
          <w:color w:val="000000" w:themeColor="text1"/>
          <w:lang w:val="es-PR"/>
        </w:rPr>
        <w:t>Esta Ley entrará en vigor inmediatamente después de su aprobación.</w:t>
      </w:r>
    </w:p>
    <w:sectPr w:rsidR="00FF2214" w:rsidRPr="00A5416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429A8" w14:textId="77777777" w:rsidR="00DF47CC" w:rsidRDefault="00DF47CC">
      <w:r>
        <w:separator/>
      </w:r>
    </w:p>
  </w:endnote>
  <w:endnote w:type="continuationSeparator" w:id="0">
    <w:p w14:paraId="3AB285D8" w14:textId="77777777" w:rsidR="00DF47CC" w:rsidRDefault="00DF47CC">
      <w:r>
        <w:continuationSeparator/>
      </w:r>
    </w:p>
  </w:endnote>
  <w:endnote w:type="continuationNotice" w:id="1">
    <w:p w14:paraId="4E3CECDA" w14:textId="77777777" w:rsidR="00DF47CC" w:rsidRDefault="00DF4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33984464-311C-4E38-9727-FE255C85C708}"/>
    <w:embedBold r:id="rId2" w:fontKey="{487E7A7E-39D9-43B9-AC96-01E8DB23CFEB}"/>
    <w:embedItalic r:id="rId3" w:fontKey="{E03C2542-4A44-4A7E-A690-E1DD093B2D1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4D513F2-D14E-42B7-B461-637004F0CEF8}"/>
  </w:font>
  <w:font w:name="Georgia">
    <w:panose1 w:val="02040502050405020303"/>
    <w:charset w:val="00"/>
    <w:family w:val="roman"/>
    <w:pitch w:val="variable"/>
    <w:sig w:usb0="00000287" w:usb1="00000000" w:usb2="00000000" w:usb3="00000000" w:csb0="0000009F" w:csb1="00000000"/>
    <w:embedRegular r:id="rId5" w:fontKey="{E0AC1201-E96C-41E2-978C-1846D4959A89}"/>
    <w:embedItalic r:id="rId6" w:fontKey="{AEC0AEBF-1443-4F9B-AD3E-8F8D8895B8F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DA199993-9F47-4603-B258-8703469E3863}"/>
    <w:embedItalic r:id="rId8" w:fontKey="{89CB5F7D-6D50-417E-95DF-AB4770D8C41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5DA1A9EE-E641-4F37-A555-6DED0D0B0341}"/>
  </w:font>
  <w:font w:name="Calibri">
    <w:panose1 w:val="020F0502020204030204"/>
    <w:charset w:val="00"/>
    <w:family w:val="swiss"/>
    <w:pitch w:val="variable"/>
    <w:sig w:usb0="E4002EFF" w:usb1="C000247B" w:usb2="00000009" w:usb3="00000000" w:csb0="000001FF" w:csb1="00000000"/>
    <w:embedRegular r:id="rId10" w:fontKey="{37AF8B85-7572-45A4-9FE6-3BF189DE096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53203" w14:textId="77777777" w:rsidR="00DF47CC" w:rsidRDefault="00DF47CC">
      <w:r>
        <w:separator/>
      </w:r>
    </w:p>
  </w:footnote>
  <w:footnote w:type="continuationSeparator" w:id="0">
    <w:p w14:paraId="32780409" w14:textId="77777777" w:rsidR="00DF47CC" w:rsidRDefault="00DF47CC">
      <w:r>
        <w:continuationSeparator/>
      </w:r>
    </w:p>
  </w:footnote>
  <w:footnote w:type="continuationNotice" w:id="1">
    <w:p w14:paraId="40C9FC8D" w14:textId="77777777" w:rsidR="00DF47CC" w:rsidRDefault="00DF47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27988DC0" w:rsidR="00FF2214" w:rsidRDefault="00850770">
    <w:pPr>
      <w:tabs>
        <w:tab w:val="center" w:pos="4320"/>
        <w:tab w:val="right" w:pos="8640"/>
      </w:tabs>
      <w:jc w:val="right"/>
      <w:rPr>
        <w:color w:val="000000"/>
      </w:rPr>
    </w:pPr>
    <w:r>
      <w:rPr>
        <w:color w:val="000000"/>
      </w:rPr>
      <w:t>A-0</w:t>
    </w:r>
    <w:r w:rsidR="00CC16C2">
      <w:rPr>
        <w:color w:val="000000"/>
      </w:rPr>
      <w:t>31</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9"/>
  </w:num>
  <w:num w:numId="2" w16cid:durableId="1011832284">
    <w:abstractNumId w:val="4"/>
  </w:num>
  <w:num w:numId="3" w16cid:durableId="1943102285">
    <w:abstractNumId w:val="16"/>
  </w:num>
  <w:num w:numId="4" w16cid:durableId="1106316835">
    <w:abstractNumId w:val="12"/>
  </w:num>
  <w:num w:numId="5" w16cid:durableId="455106598">
    <w:abstractNumId w:val="11"/>
  </w:num>
  <w:num w:numId="6" w16cid:durableId="175340939">
    <w:abstractNumId w:val="1"/>
  </w:num>
  <w:num w:numId="7" w16cid:durableId="1854225982">
    <w:abstractNumId w:val="13"/>
  </w:num>
  <w:num w:numId="8" w16cid:durableId="1919754197">
    <w:abstractNumId w:val="0"/>
  </w:num>
  <w:num w:numId="9" w16cid:durableId="365562201">
    <w:abstractNumId w:val="3"/>
  </w:num>
  <w:num w:numId="10" w16cid:durableId="1904826230">
    <w:abstractNumId w:val="5"/>
  </w:num>
  <w:num w:numId="11" w16cid:durableId="118687224">
    <w:abstractNumId w:val="6"/>
  </w:num>
  <w:num w:numId="12" w16cid:durableId="508376565">
    <w:abstractNumId w:val="10"/>
  </w:num>
  <w:num w:numId="13" w16cid:durableId="216819222">
    <w:abstractNumId w:val="8"/>
  </w:num>
  <w:num w:numId="14" w16cid:durableId="517544549">
    <w:abstractNumId w:val="14"/>
  </w:num>
  <w:num w:numId="15" w16cid:durableId="478498451">
    <w:abstractNumId w:val="7"/>
  </w:num>
  <w:num w:numId="16" w16cid:durableId="46998239">
    <w:abstractNumId w:val="15"/>
  </w:num>
  <w:num w:numId="17" w16cid:durableId="275597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31D9"/>
    <w:rsid w:val="000E515E"/>
    <w:rsid w:val="000E6633"/>
    <w:rsid w:val="000F222B"/>
    <w:rsid w:val="000F2B0A"/>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67"/>
    <w:rsid w:val="00444257"/>
    <w:rsid w:val="00450682"/>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2DE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7D02"/>
    <w:rsid w:val="00BF5A14"/>
    <w:rsid w:val="00BF5DE6"/>
    <w:rsid w:val="00C004A4"/>
    <w:rsid w:val="00C05E49"/>
    <w:rsid w:val="00C05E9D"/>
    <w:rsid w:val="00C13DC9"/>
    <w:rsid w:val="00C32AB8"/>
    <w:rsid w:val="00C32AF1"/>
    <w:rsid w:val="00C33CEB"/>
    <w:rsid w:val="00C361CD"/>
    <w:rsid w:val="00C57448"/>
    <w:rsid w:val="00C635EB"/>
    <w:rsid w:val="00C707B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C1F2A"/>
    <w:rsid w:val="00DD225A"/>
    <w:rsid w:val="00DD4EC2"/>
    <w:rsid w:val="00DD633A"/>
    <w:rsid w:val="00DE4C0D"/>
    <w:rsid w:val="00DF47CC"/>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1256</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Bárbara Sierra Nieves</cp:lastModifiedBy>
  <cp:revision>4</cp:revision>
  <cp:lastPrinted>2025-01-22T19:05:00Z</cp:lastPrinted>
  <dcterms:created xsi:type="dcterms:W3CDTF">2025-03-24T19:50:00Z</dcterms:created>
  <dcterms:modified xsi:type="dcterms:W3CDTF">2025-03-25T14:04:00Z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