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D350B" w14:textId="77777777" w:rsidR="002847D1" w:rsidRPr="00683AD9" w:rsidRDefault="002847D1" w:rsidP="002847D1">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Pr="00683AD9">
        <w:rPr>
          <w:rFonts w:ascii="Book Antiqua" w:eastAsia="Times New Roman" w:hAnsi="Book Antiqua"/>
          <w:sz w:val="28"/>
          <w:szCs w:val="28"/>
          <w:lang w:val="es-ES_tradnl"/>
        </w:rPr>
        <w:t xml:space="preserve"> DE PUERTO RICO</w:t>
      </w:r>
    </w:p>
    <w:p w14:paraId="33A8BCDD" w14:textId="77777777" w:rsidR="002847D1" w:rsidRPr="00683AD9" w:rsidRDefault="002847D1" w:rsidP="002847D1">
      <w:pPr>
        <w:jc w:val="center"/>
        <w:rPr>
          <w:rFonts w:ascii="Book Antiqua" w:eastAsia="Times New Roman" w:hAnsi="Book Antiqua"/>
          <w:sz w:val="28"/>
          <w:szCs w:val="28"/>
          <w:lang w:val="es-ES_tradnl"/>
        </w:rPr>
      </w:pPr>
    </w:p>
    <w:p w14:paraId="6B624A44" w14:textId="77777777" w:rsidR="002847D1" w:rsidRPr="00683AD9" w:rsidRDefault="002847D1" w:rsidP="002847D1">
      <w:pPr>
        <w:jc w:val="both"/>
        <w:rPr>
          <w:rFonts w:ascii="Book Antiqua" w:eastAsia="Times New Roman" w:hAnsi="Book Antiqua"/>
          <w:lang w:val="es-ES_tradnl"/>
        </w:rPr>
      </w:pPr>
      <w:r>
        <w:rPr>
          <w:rFonts w:ascii="Book Antiqua" w:eastAsia="Times New Roman" w:hAnsi="Book Antiqua"/>
          <w:lang w:val="es-ES_tradnl"/>
        </w:rPr>
        <w:t>20m</w:t>
      </w:r>
      <w:r w:rsidRPr="00683AD9">
        <w:rPr>
          <w:rFonts w:ascii="Book Antiqua" w:eastAsia="Times New Roman" w:hAnsi="Book Antiqua"/>
          <w:lang w:val="es-ES_tradnl"/>
        </w:rPr>
        <w:t xml:space="preserve">a. Asamblea                                                                                   </w:t>
      </w:r>
      <w:r w:rsidRPr="00683AD9">
        <w:rPr>
          <w:rFonts w:ascii="Book Antiqua" w:eastAsia="Times New Roman" w:hAnsi="Book Antiqua"/>
          <w:lang w:val="es-ES_tradnl"/>
        </w:rPr>
        <w:tab/>
        <w:t xml:space="preserve">           </w:t>
      </w:r>
      <w:r>
        <w:rPr>
          <w:rFonts w:ascii="Book Antiqua" w:eastAsia="Times New Roman" w:hAnsi="Book Antiqua"/>
          <w:lang w:val="es-ES_tradnl"/>
        </w:rPr>
        <w:t>1ra</w:t>
      </w:r>
      <w:r w:rsidRPr="00683AD9">
        <w:rPr>
          <w:rFonts w:ascii="Book Antiqua" w:eastAsia="Times New Roman" w:hAnsi="Book Antiqua"/>
          <w:lang w:val="es-ES_tradnl"/>
        </w:rPr>
        <w:t xml:space="preserve">. Sesión </w:t>
      </w:r>
    </w:p>
    <w:p w14:paraId="34C806B1" w14:textId="77777777" w:rsidR="002847D1" w:rsidRPr="00683AD9" w:rsidRDefault="002847D1" w:rsidP="002847D1">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78B59508" w14:textId="77777777" w:rsidR="002847D1" w:rsidRPr="00683AD9" w:rsidRDefault="002847D1" w:rsidP="002847D1">
      <w:pPr>
        <w:rPr>
          <w:rFonts w:ascii="Book Antiqua" w:eastAsia="Times New Roman" w:hAnsi="Book Antiqua"/>
          <w:lang w:val="es-ES_tradnl"/>
        </w:rPr>
      </w:pPr>
    </w:p>
    <w:p w14:paraId="692340DA" w14:textId="77777777" w:rsidR="002847D1" w:rsidRPr="00683AD9" w:rsidRDefault="002847D1" w:rsidP="002847D1">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087BC93C" w14:textId="77777777" w:rsidR="002847D1" w:rsidRPr="00683AD9" w:rsidRDefault="002847D1" w:rsidP="002847D1">
      <w:pPr>
        <w:jc w:val="center"/>
        <w:rPr>
          <w:rFonts w:ascii="Book Antiqua" w:eastAsia="Times New Roman" w:hAnsi="Book Antiqua"/>
          <w:szCs w:val="24"/>
          <w:lang w:val="es-ES_tradnl"/>
        </w:rPr>
      </w:pPr>
    </w:p>
    <w:p w14:paraId="0FE3B4B4" w14:textId="215339FF" w:rsidR="002847D1" w:rsidRPr="00683AD9" w:rsidRDefault="002847D1" w:rsidP="002847D1">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4C034A">
        <w:rPr>
          <w:rFonts w:ascii="Book Antiqua" w:eastAsia="Times New Roman" w:hAnsi="Book Antiqua"/>
          <w:b/>
          <w:sz w:val="52"/>
          <w:szCs w:val="52"/>
          <w:lang w:val="es-ES_tradnl"/>
        </w:rPr>
        <w:t>215</w:t>
      </w:r>
    </w:p>
    <w:p w14:paraId="2D980FD2" w14:textId="77777777" w:rsidR="002847D1" w:rsidRPr="00683AD9" w:rsidRDefault="002847D1" w:rsidP="002847D1">
      <w:pPr>
        <w:jc w:val="center"/>
        <w:rPr>
          <w:rFonts w:ascii="Book Antiqua" w:eastAsia="Times New Roman" w:hAnsi="Book Antiqua"/>
          <w:szCs w:val="24"/>
          <w:lang w:val="es-ES_tradnl"/>
        </w:rPr>
      </w:pPr>
    </w:p>
    <w:p w14:paraId="3DA3A822" w14:textId="763A075C" w:rsidR="002847D1" w:rsidRPr="00683AD9" w:rsidRDefault="00943285" w:rsidP="002847D1">
      <w:pPr>
        <w:jc w:val="center"/>
        <w:rPr>
          <w:rFonts w:ascii="Book Antiqua" w:eastAsia="Times New Roman" w:hAnsi="Book Antiqua"/>
          <w:lang w:val="es-ES_tradnl"/>
        </w:rPr>
      </w:pPr>
      <w:r>
        <w:rPr>
          <w:rFonts w:ascii="Book Antiqua" w:eastAsia="Times New Roman" w:hAnsi="Book Antiqua"/>
          <w:lang w:val="es-ES_tradnl"/>
        </w:rPr>
        <w:t>2</w:t>
      </w:r>
      <w:r w:rsidR="004C034A">
        <w:rPr>
          <w:rFonts w:ascii="Book Antiqua" w:eastAsia="Times New Roman" w:hAnsi="Book Antiqua"/>
          <w:lang w:val="es-ES_tradnl"/>
        </w:rPr>
        <w:t>4</w:t>
      </w:r>
      <w:r w:rsidR="002847D1">
        <w:rPr>
          <w:rFonts w:ascii="Book Antiqua" w:eastAsia="Times New Roman" w:hAnsi="Book Antiqua"/>
          <w:lang w:val="es-ES_tradnl"/>
        </w:rPr>
        <w:t xml:space="preserve"> </w:t>
      </w:r>
      <w:r w:rsidR="002847D1" w:rsidRPr="00683AD9">
        <w:rPr>
          <w:rFonts w:ascii="Book Antiqua" w:eastAsia="Times New Roman" w:hAnsi="Book Antiqua"/>
          <w:lang w:val="es-ES_tradnl"/>
        </w:rPr>
        <w:t xml:space="preserve">DE </w:t>
      </w:r>
      <w:r w:rsidR="00FC3E1D">
        <w:rPr>
          <w:rFonts w:ascii="Book Antiqua" w:eastAsia="Times New Roman" w:hAnsi="Book Antiqua"/>
          <w:lang w:val="es-ES_tradnl"/>
        </w:rPr>
        <w:t>MARZO</w:t>
      </w:r>
      <w:r w:rsidR="002847D1" w:rsidRPr="00683AD9">
        <w:rPr>
          <w:rFonts w:ascii="Book Antiqua" w:eastAsia="Times New Roman" w:hAnsi="Book Antiqua"/>
          <w:lang w:val="es-ES_tradnl"/>
        </w:rPr>
        <w:t xml:space="preserve"> DE </w:t>
      </w:r>
      <w:r>
        <w:rPr>
          <w:rFonts w:ascii="Book Antiqua" w:eastAsia="Times New Roman" w:hAnsi="Book Antiqua"/>
          <w:lang w:val="es-ES_tradnl"/>
        </w:rPr>
        <w:t>2025</w:t>
      </w:r>
    </w:p>
    <w:p w14:paraId="4A75E6B5" w14:textId="77777777" w:rsidR="002847D1" w:rsidRPr="00683AD9" w:rsidRDefault="002847D1" w:rsidP="002847D1">
      <w:pPr>
        <w:jc w:val="center"/>
        <w:rPr>
          <w:rFonts w:ascii="Book Antiqua" w:eastAsia="Times New Roman" w:hAnsi="Book Antiqua"/>
          <w:lang w:val="es-ES_tradnl"/>
        </w:rPr>
      </w:pPr>
    </w:p>
    <w:p w14:paraId="28209D19" w14:textId="77777777" w:rsidR="002847D1" w:rsidRDefault="002847D1" w:rsidP="002847D1">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Pr>
          <w:rFonts w:ascii="Book Antiqua" w:eastAsia="Times New Roman" w:hAnsi="Book Antiqua"/>
          <w:lang w:val="es-ES_tradnl"/>
        </w:rPr>
        <w:t xml:space="preserve"> la</w:t>
      </w:r>
      <w:r w:rsidRPr="00683AD9">
        <w:rPr>
          <w:rFonts w:ascii="Book Antiqua" w:eastAsia="Times New Roman" w:hAnsi="Book Antiqua"/>
          <w:lang w:val="es-ES_tradnl"/>
        </w:rPr>
        <w:t xml:space="preserve"> representante</w:t>
      </w:r>
      <w:r>
        <w:rPr>
          <w:rFonts w:ascii="Book Antiqua" w:eastAsia="Times New Roman" w:hAnsi="Book Antiqua"/>
          <w:lang w:val="es-ES_tradnl"/>
        </w:rPr>
        <w:t xml:space="preserve"> </w:t>
      </w:r>
      <w:r>
        <w:rPr>
          <w:rFonts w:ascii="Book Antiqua" w:eastAsia="Times New Roman" w:hAnsi="Book Antiqua"/>
          <w:i/>
          <w:lang w:val="es-ES_tradnl"/>
        </w:rPr>
        <w:t xml:space="preserve">Rodríguez Torres </w:t>
      </w:r>
    </w:p>
    <w:p w14:paraId="06379EC7" w14:textId="77777777" w:rsidR="002847D1" w:rsidRDefault="002847D1" w:rsidP="002847D1">
      <w:pPr>
        <w:jc w:val="center"/>
        <w:rPr>
          <w:rFonts w:ascii="Book Antiqua" w:eastAsia="Times New Roman" w:hAnsi="Book Antiqua"/>
          <w:i/>
          <w:lang w:val="es-ES_tradnl"/>
        </w:rPr>
      </w:pPr>
    </w:p>
    <w:p w14:paraId="1ED2F1D7" w14:textId="6EA0F5A1" w:rsidR="002847D1" w:rsidRPr="00C21AF8" w:rsidRDefault="002847D1" w:rsidP="002847D1">
      <w:pPr>
        <w:jc w:val="center"/>
        <w:rPr>
          <w:rFonts w:ascii="Book Antiqua" w:eastAsia="Times New Roman" w:hAnsi="Book Antiqua"/>
          <w:iCs/>
          <w:lang w:val="es-ES_tradnl"/>
        </w:rPr>
      </w:pPr>
      <w:r>
        <w:rPr>
          <w:rFonts w:ascii="Book Antiqua" w:eastAsia="Times New Roman" w:hAnsi="Book Antiqua"/>
          <w:iCs/>
          <w:lang w:val="es-ES_tradnl"/>
        </w:rPr>
        <w:t>Referid</w:t>
      </w:r>
      <w:r w:rsidR="001A097B">
        <w:rPr>
          <w:rFonts w:ascii="Book Antiqua" w:eastAsia="Times New Roman" w:hAnsi="Book Antiqua"/>
          <w:iCs/>
          <w:lang w:val="es-ES_tradnl"/>
        </w:rPr>
        <w:t>a</w:t>
      </w:r>
      <w:r>
        <w:rPr>
          <w:rFonts w:ascii="Book Antiqua" w:eastAsia="Times New Roman" w:hAnsi="Book Antiqua"/>
          <w:iCs/>
          <w:lang w:val="es-ES_tradnl"/>
        </w:rPr>
        <w:t xml:space="preserve"> a la Comisión de</w:t>
      </w:r>
      <w:r w:rsidR="004623E6">
        <w:rPr>
          <w:rFonts w:ascii="Book Antiqua" w:eastAsia="Times New Roman" w:hAnsi="Book Antiqua"/>
          <w:iCs/>
          <w:lang w:val="es-ES_tradnl"/>
        </w:rPr>
        <w:t xml:space="preserve"> </w:t>
      </w:r>
      <w:r w:rsidR="001A097B">
        <w:rPr>
          <w:rFonts w:ascii="Book Antiqua" w:eastAsia="Times New Roman" w:hAnsi="Book Antiqua"/>
          <w:iCs/>
          <w:lang w:val="es-ES_tradnl"/>
        </w:rPr>
        <w:t>Asuntos Internos</w:t>
      </w:r>
    </w:p>
    <w:p w14:paraId="1D948BC4" w14:textId="77777777" w:rsidR="002847D1" w:rsidRPr="00683AD9" w:rsidRDefault="002847D1" w:rsidP="002847D1">
      <w:pPr>
        <w:rPr>
          <w:rFonts w:ascii="Book Antiqua" w:eastAsia="Times New Roman" w:hAnsi="Book Antiqua"/>
          <w:lang w:val="es-ES_tradnl"/>
        </w:rPr>
      </w:pPr>
    </w:p>
    <w:p w14:paraId="66C29CB1" w14:textId="77777777" w:rsidR="002847D1" w:rsidRPr="00683AD9" w:rsidRDefault="002847D1" w:rsidP="002847D1">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53021EDF" w14:textId="77777777" w:rsidR="002847D1" w:rsidRPr="00683AD9" w:rsidRDefault="002847D1" w:rsidP="002847D1">
      <w:pPr>
        <w:jc w:val="both"/>
        <w:rPr>
          <w:rFonts w:ascii="Book Antiqua" w:hAnsi="Book Antiqua"/>
          <w:lang w:val="es-ES_tradnl"/>
        </w:rPr>
      </w:pPr>
    </w:p>
    <w:p w14:paraId="1367326C" w14:textId="03BDF92A" w:rsidR="002847D1" w:rsidRPr="00964B95" w:rsidRDefault="004623E6" w:rsidP="001A097B">
      <w:pPr>
        <w:ind w:left="600" w:hanging="600"/>
        <w:jc w:val="both"/>
        <w:rPr>
          <w:rFonts w:ascii="Book Antiqua" w:hAnsi="Book Antiqua"/>
          <w:lang w:val="es-PR"/>
        </w:rPr>
      </w:pPr>
      <w:r w:rsidRPr="004623E6">
        <w:rPr>
          <w:rFonts w:ascii="Book Antiqua" w:hAnsi="Book Antiqua"/>
          <w:lang w:val="es-PR"/>
        </w:rPr>
        <w:t xml:space="preserve">Para ordenar a la </w:t>
      </w:r>
      <w:r w:rsidR="00943285">
        <w:rPr>
          <w:rFonts w:ascii="Book Antiqua" w:hAnsi="Book Antiqua"/>
          <w:lang w:val="es-PR"/>
        </w:rPr>
        <w:t>Comisión de Asuntos de la Juventud</w:t>
      </w:r>
      <w:r w:rsidRPr="004623E6">
        <w:rPr>
          <w:rFonts w:ascii="Book Antiqua" w:hAnsi="Book Antiqua"/>
          <w:lang w:val="es-PR"/>
        </w:rPr>
        <w:t xml:space="preserve"> a realizar una investigación exhaustiva sobre la implementación, cumplimiento, impactos, resultados, planes, proyecciones y necesidades en relación con la Ley Núm. 503 de 29 de septiembre de 2004, según enmendada, conocida como "Ley para Crear la Cumbre Anual de la Juventud Puertorriqueña (CAJUP)", a los fines de evaluar el cumplimiento de sus objetivos, la efectividad de la coordinación </w:t>
      </w:r>
      <w:proofErr w:type="spellStart"/>
      <w:r w:rsidRPr="004623E6">
        <w:rPr>
          <w:rFonts w:ascii="Book Antiqua" w:hAnsi="Book Antiqua"/>
          <w:lang w:val="es-PR"/>
        </w:rPr>
        <w:t>interagencial</w:t>
      </w:r>
      <w:proofErr w:type="spellEnd"/>
      <w:r w:rsidRPr="004623E6">
        <w:rPr>
          <w:rFonts w:ascii="Book Antiqua" w:hAnsi="Book Antiqua"/>
          <w:lang w:val="es-PR"/>
        </w:rPr>
        <w:t>, la disponibilidad de recursos destinados a su ejecución y su impacto en la formulación de políticas públicas dirigidas a la juventud</w:t>
      </w:r>
      <w:r w:rsidR="002847D1" w:rsidRPr="00964B95">
        <w:rPr>
          <w:rFonts w:ascii="Book Antiqua" w:hAnsi="Book Antiqua"/>
          <w:lang w:val="es-PR"/>
        </w:rPr>
        <w:t xml:space="preserve">. </w:t>
      </w:r>
    </w:p>
    <w:p w14:paraId="790611CD" w14:textId="77777777" w:rsidR="002847D1" w:rsidRPr="00683AD9" w:rsidRDefault="002847D1" w:rsidP="001A097B">
      <w:pPr>
        <w:ind w:left="360" w:hanging="360"/>
        <w:jc w:val="both"/>
        <w:rPr>
          <w:rFonts w:ascii="Book Antiqua" w:hAnsi="Book Antiqua"/>
          <w:szCs w:val="24"/>
          <w:lang w:val="es-PR"/>
        </w:rPr>
      </w:pPr>
    </w:p>
    <w:p w14:paraId="78E5EAFE" w14:textId="77777777" w:rsidR="002847D1" w:rsidRPr="00683AD9" w:rsidRDefault="002847D1" w:rsidP="001A097B">
      <w:pPr>
        <w:jc w:val="center"/>
        <w:rPr>
          <w:rFonts w:ascii="Book Antiqua" w:hAnsi="Book Antiqua"/>
          <w:szCs w:val="24"/>
          <w:lang w:val="es-ES_tradnl"/>
        </w:rPr>
      </w:pPr>
      <w:r w:rsidRPr="00683AD9">
        <w:rPr>
          <w:rFonts w:ascii="Book Antiqua" w:hAnsi="Book Antiqua"/>
          <w:szCs w:val="24"/>
          <w:lang w:val="es-ES_tradnl"/>
        </w:rPr>
        <w:t>EXPOSICIÓN DE MOTIVOS</w:t>
      </w:r>
    </w:p>
    <w:p w14:paraId="2775067D" w14:textId="77777777" w:rsidR="002847D1" w:rsidRPr="00683AD9" w:rsidRDefault="002847D1" w:rsidP="001A097B">
      <w:pPr>
        <w:ind w:firstLine="360"/>
        <w:jc w:val="center"/>
        <w:rPr>
          <w:rFonts w:ascii="Book Antiqua" w:hAnsi="Book Antiqua"/>
          <w:szCs w:val="24"/>
          <w:lang w:val="es-ES_tradnl"/>
        </w:rPr>
      </w:pPr>
    </w:p>
    <w:p w14:paraId="70E5BFC8" w14:textId="34DAFC8C" w:rsidR="00AD68A7" w:rsidRDefault="00AD68A7" w:rsidP="001A097B">
      <w:pPr>
        <w:pStyle w:val="BodyText"/>
        <w:spacing w:before="0"/>
        <w:ind w:firstLine="720"/>
        <w:rPr>
          <w:rFonts w:ascii="Book Antiqua" w:hAnsi="Book Antiqua"/>
          <w:lang w:val="es-PR"/>
        </w:rPr>
      </w:pPr>
      <w:r w:rsidRPr="00AD68A7">
        <w:rPr>
          <w:rFonts w:ascii="Book Antiqua" w:hAnsi="Book Antiqua"/>
          <w:lang w:val="es-PR"/>
        </w:rPr>
        <w:t>La Ley Núm. 503 de 29 de septiembre de 2004, según enmendada, estableció la Cumbre Anual de la Juventud Puertorriqueña (CAJUP) con el objetivo de fomentar el intercambio directo de ideas entre los jóvenes de Puerto Rico y los principales tomadores de decisiones gubernamentales, legisladores y representantes del sector privado. La ley establece como responsabilidad del Departamento de Desarrollo Económico y Comercio la organización de este evento anual, asegurando la participación de agencias gubernamentales, universidades y el sector privado para atender las necesidades y aspiraciones de la juventud puertorriqueña.</w:t>
      </w:r>
    </w:p>
    <w:p w14:paraId="6E5F43AE" w14:textId="77777777" w:rsidR="001A097B" w:rsidRPr="00AD68A7" w:rsidRDefault="001A097B" w:rsidP="001A097B">
      <w:pPr>
        <w:pStyle w:val="BodyText"/>
        <w:spacing w:before="0"/>
        <w:ind w:firstLine="720"/>
        <w:rPr>
          <w:rFonts w:ascii="Book Antiqua" w:hAnsi="Book Antiqua"/>
          <w:lang w:val="es-PR"/>
        </w:rPr>
      </w:pPr>
    </w:p>
    <w:p w14:paraId="1A90403F" w14:textId="2DB7D66E" w:rsidR="00AD68A7" w:rsidRDefault="00AD68A7" w:rsidP="001A097B">
      <w:pPr>
        <w:pStyle w:val="BodyText"/>
        <w:spacing w:before="0"/>
        <w:ind w:firstLine="720"/>
        <w:rPr>
          <w:rFonts w:ascii="Book Antiqua" w:hAnsi="Book Antiqua"/>
          <w:lang w:val="es-PR"/>
        </w:rPr>
      </w:pPr>
      <w:r w:rsidRPr="00AD68A7">
        <w:rPr>
          <w:rFonts w:ascii="Book Antiqua" w:hAnsi="Book Antiqua"/>
          <w:lang w:val="es-PR"/>
        </w:rPr>
        <w:t xml:space="preserve">Sin embargo, a 20 años de su aprobación, es imprescindible evaluar la efectividad de la ley en su ejecución, la calidad y alcance de las cumbres celebradas, la continuidad de sus propuestas y el impacto real en el desarrollo de la juventud. Asimismo, resulta imperativo analizar la asignación y utilización de recursos destinados a la CAJUP, así </w:t>
      </w:r>
      <w:r w:rsidRPr="00AD68A7">
        <w:rPr>
          <w:rFonts w:ascii="Book Antiqua" w:hAnsi="Book Antiqua"/>
          <w:lang w:val="es-PR"/>
        </w:rPr>
        <w:lastRenderedPageBreak/>
        <w:t>como determinar si ha habido limitaciones presupuestarias o administrativas que hayan afectado su implementación.</w:t>
      </w:r>
    </w:p>
    <w:p w14:paraId="5D185529" w14:textId="77777777" w:rsidR="001A097B" w:rsidRPr="00AD68A7" w:rsidRDefault="001A097B" w:rsidP="001A097B">
      <w:pPr>
        <w:pStyle w:val="BodyText"/>
        <w:spacing w:before="0"/>
        <w:ind w:firstLine="720"/>
        <w:rPr>
          <w:rFonts w:ascii="Book Antiqua" w:hAnsi="Book Antiqua"/>
          <w:lang w:val="es-PR"/>
        </w:rPr>
      </w:pPr>
    </w:p>
    <w:p w14:paraId="563C72BD" w14:textId="52569BB5" w:rsidR="00AD68A7" w:rsidRDefault="00AD68A7" w:rsidP="001A097B">
      <w:pPr>
        <w:pStyle w:val="BodyText"/>
        <w:spacing w:before="0"/>
        <w:ind w:firstLine="720"/>
        <w:rPr>
          <w:rFonts w:ascii="Book Antiqua" w:hAnsi="Book Antiqua"/>
          <w:lang w:val="es-PR"/>
        </w:rPr>
      </w:pPr>
      <w:r w:rsidRPr="00AD68A7">
        <w:rPr>
          <w:rFonts w:ascii="Book Antiqua" w:hAnsi="Book Antiqua"/>
          <w:lang w:val="es-PR"/>
        </w:rPr>
        <w:t>Además, es necesario analizar los impactos de la CAJUP en la formulación de política pública para la juventud, los resultados obtenidos en términos de participación y propuestas concretas, los planes futuros para mejorar su ejecución, las proyecciones a corto y largo plazo, y las necesidades que deben atenderse para garantizar su efectividad y continuidad.</w:t>
      </w:r>
    </w:p>
    <w:p w14:paraId="47E160A4" w14:textId="77777777" w:rsidR="001A097B" w:rsidRPr="00AD68A7" w:rsidRDefault="001A097B" w:rsidP="001A097B">
      <w:pPr>
        <w:pStyle w:val="BodyText"/>
        <w:spacing w:before="0"/>
        <w:ind w:firstLine="720"/>
        <w:rPr>
          <w:rFonts w:ascii="Book Antiqua" w:hAnsi="Book Antiqua"/>
          <w:lang w:val="es-PR"/>
        </w:rPr>
      </w:pPr>
    </w:p>
    <w:p w14:paraId="405B8A3E" w14:textId="2632D750" w:rsidR="002847D1" w:rsidRPr="00683AD9" w:rsidRDefault="00AD68A7" w:rsidP="001A097B">
      <w:pPr>
        <w:pStyle w:val="BodyText"/>
        <w:spacing w:before="0"/>
        <w:ind w:firstLine="720"/>
        <w:rPr>
          <w:rFonts w:ascii="Book Antiqua" w:hAnsi="Book Antiqua"/>
          <w:lang w:val="es-PR"/>
        </w:rPr>
      </w:pPr>
      <w:r w:rsidRPr="00AD68A7">
        <w:rPr>
          <w:rFonts w:ascii="Book Antiqua" w:hAnsi="Book Antiqua"/>
          <w:lang w:val="es-PR"/>
        </w:rPr>
        <w:t>Esta investigación permitirá establecer si la ley ha cumplido su cometido o si requiere enmiendas para modernizar su alcance y asegurar que la juventud puertorriqueña cuente con un foro efectivo para la formulación de políticas que atiendan sus necesidades inmediatas y futuras</w:t>
      </w:r>
      <w:r w:rsidR="002847D1" w:rsidRPr="00CD66BB">
        <w:rPr>
          <w:rFonts w:ascii="Book Antiqua" w:hAnsi="Book Antiqua"/>
          <w:lang w:val="es-PR"/>
        </w:rPr>
        <w:t>.</w:t>
      </w:r>
    </w:p>
    <w:p w14:paraId="12D35414" w14:textId="77777777" w:rsidR="002847D1" w:rsidRPr="00683AD9" w:rsidRDefault="002847D1" w:rsidP="001A097B">
      <w:pPr>
        <w:pStyle w:val="BodyText"/>
        <w:spacing w:before="0"/>
        <w:ind w:firstLine="720"/>
        <w:rPr>
          <w:rFonts w:ascii="Book Antiqua" w:hAnsi="Book Antiqua"/>
          <w:lang w:val="es-PR"/>
        </w:rPr>
      </w:pPr>
    </w:p>
    <w:p w14:paraId="504D37CA" w14:textId="77777777" w:rsidR="002847D1" w:rsidRPr="00683AD9" w:rsidRDefault="002847D1" w:rsidP="001A097B">
      <w:pPr>
        <w:spacing w:line="480" w:lineRule="auto"/>
        <w:rPr>
          <w:rFonts w:ascii="Book Antiqua" w:hAnsi="Book Antiqua"/>
          <w:i/>
          <w:lang w:val="es-ES_tradnl"/>
        </w:rPr>
      </w:pPr>
      <w:r w:rsidRPr="00683AD9">
        <w:rPr>
          <w:rFonts w:ascii="Book Antiqua" w:hAnsi="Book Antiqua"/>
          <w:i/>
          <w:lang w:val="es-ES_tradnl"/>
        </w:rPr>
        <w:t>RESUÉLVESE POR LA CÁMARA DE REPRESENTANTES DE PUERTO RICO:</w:t>
      </w:r>
    </w:p>
    <w:p w14:paraId="3D6226E3" w14:textId="77777777" w:rsidR="002847D1" w:rsidRPr="00683AD9" w:rsidRDefault="002847D1" w:rsidP="002847D1">
      <w:pPr>
        <w:spacing w:line="480" w:lineRule="auto"/>
        <w:jc w:val="both"/>
        <w:rPr>
          <w:rFonts w:ascii="Book Antiqua" w:hAnsi="Book Antiqua"/>
          <w:i/>
          <w:lang w:val="es-ES_tradnl"/>
        </w:rPr>
        <w:sectPr w:rsidR="002847D1" w:rsidRPr="00683AD9" w:rsidSect="002847D1">
          <w:headerReference w:type="default" r:id="rId7"/>
          <w:pgSz w:w="12240" w:h="15840" w:code="1"/>
          <w:pgMar w:top="1440" w:right="1440" w:bottom="1440" w:left="1440" w:header="720" w:footer="720" w:gutter="0"/>
          <w:cols w:space="720"/>
          <w:titlePg/>
        </w:sectPr>
      </w:pPr>
    </w:p>
    <w:p w14:paraId="303FF69E" w14:textId="2D1DFC97" w:rsidR="002847D1" w:rsidRDefault="002847D1" w:rsidP="00F540D2">
      <w:pPr>
        <w:spacing w:line="480" w:lineRule="auto"/>
        <w:ind w:firstLine="360"/>
        <w:jc w:val="both"/>
        <w:rPr>
          <w:rFonts w:ascii="Book Antiqua" w:hAnsi="Book Antiqua"/>
          <w:lang w:val="es-PR"/>
        </w:rPr>
      </w:pPr>
      <w:r w:rsidRPr="009F42D8">
        <w:rPr>
          <w:rFonts w:ascii="Book Antiqua" w:hAnsi="Book Antiqua"/>
          <w:lang w:val="es-PR"/>
        </w:rPr>
        <w:t>Sección 1.-</w:t>
      </w:r>
      <w:r w:rsidRPr="00B64EC4">
        <w:rPr>
          <w:lang w:val="es-PR"/>
        </w:rPr>
        <w:t xml:space="preserve"> </w:t>
      </w:r>
      <w:r w:rsidR="00B3074F" w:rsidRPr="00B3074F">
        <w:rPr>
          <w:rFonts w:ascii="Book Antiqua" w:hAnsi="Book Antiqua"/>
          <w:lang w:val="es-PR"/>
        </w:rPr>
        <w:t>Se ordena a la Comisión de Asuntos de la Juventud de la Cámara de Representantes de Puerto Rico realizar una investigación exhaustiva sobre la implementación, cumplimiento, impactos, resultados, planes, proyecciones y necesidades en relación con la Ley Núm. 503 de 29 de septiembre de 2004, según enmendada, en relación con la organización y celebración de la Cumbre Anual de la Juventud Puertorriqueña (CAJUP)</w:t>
      </w:r>
      <w:r w:rsidRPr="006462E2">
        <w:rPr>
          <w:rFonts w:ascii="Book Antiqua" w:hAnsi="Book Antiqua"/>
          <w:lang w:val="es-PR"/>
        </w:rPr>
        <w:t>.</w:t>
      </w:r>
    </w:p>
    <w:p w14:paraId="44EB9712" w14:textId="77777777" w:rsidR="00523675" w:rsidRPr="00523675" w:rsidRDefault="002847D1" w:rsidP="00523675">
      <w:pPr>
        <w:spacing w:line="480" w:lineRule="auto"/>
        <w:ind w:firstLine="360"/>
        <w:jc w:val="both"/>
        <w:rPr>
          <w:rFonts w:ascii="Book Antiqua" w:hAnsi="Book Antiqua"/>
          <w:lang w:val="es-PR"/>
        </w:rPr>
      </w:pPr>
      <w:r w:rsidRPr="009F42D8">
        <w:rPr>
          <w:rFonts w:ascii="Book Antiqua" w:hAnsi="Book Antiqua"/>
          <w:lang w:val="es-PR"/>
        </w:rPr>
        <w:t xml:space="preserve">Sección </w:t>
      </w:r>
      <w:r>
        <w:rPr>
          <w:rFonts w:ascii="Book Antiqua" w:hAnsi="Book Antiqua"/>
          <w:lang w:val="es-PR"/>
        </w:rPr>
        <w:t>2</w:t>
      </w:r>
      <w:r w:rsidRPr="009F42D8">
        <w:rPr>
          <w:rFonts w:ascii="Book Antiqua" w:hAnsi="Book Antiqua"/>
          <w:lang w:val="es-PR"/>
        </w:rPr>
        <w:t>.-</w:t>
      </w:r>
      <w:r w:rsidRPr="00B64EC4">
        <w:rPr>
          <w:lang w:val="es-PR"/>
        </w:rPr>
        <w:t xml:space="preserve"> </w:t>
      </w:r>
      <w:r w:rsidR="00523675" w:rsidRPr="00523675">
        <w:rPr>
          <w:rFonts w:ascii="Book Antiqua" w:hAnsi="Book Antiqua"/>
          <w:lang w:val="es-PR"/>
        </w:rPr>
        <w:t>Como parte de la investigación, la Comisión examinará:</w:t>
      </w:r>
    </w:p>
    <w:p w14:paraId="0E4EF02D" w14:textId="77777777" w:rsidR="00523675" w:rsidRDefault="00523675" w:rsidP="00523675">
      <w:pPr>
        <w:spacing w:line="480" w:lineRule="auto"/>
        <w:ind w:firstLine="360"/>
        <w:jc w:val="both"/>
        <w:rPr>
          <w:rFonts w:ascii="Book Antiqua" w:hAnsi="Book Antiqua"/>
          <w:lang w:val="es-PR"/>
        </w:rPr>
      </w:pPr>
      <w:r w:rsidRPr="00523675">
        <w:rPr>
          <w:rFonts w:ascii="Book Antiqua" w:hAnsi="Book Antiqua"/>
          <w:lang w:val="es-PR"/>
        </w:rPr>
        <w:t xml:space="preserve">(a) La cantidad de cumbres celebradas desde la aprobación de la ley y su impacto en la formulación de política pública juvenil. </w:t>
      </w:r>
    </w:p>
    <w:p w14:paraId="6FBF4A13" w14:textId="77777777" w:rsidR="00523675" w:rsidRDefault="00523675" w:rsidP="00523675">
      <w:pPr>
        <w:spacing w:line="480" w:lineRule="auto"/>
        <w:ind w:firstLine="360"/>
        <w:jc w:val="both"/>
        <w:rPr>
          <w:rFonts w:ascii="Book Antiqua" w:hAnsi="Book Antiqua"/>
          <w:lang w:val="es-PR"/>
        </w:rPr>
      </w:pPr>
      <w:r w:rsidRPr="00523675">
        <w:rPr>
          <w:rFonts w:ascii="Book Antiqua" w:hAnsi="Book Antiqua"/>
          <w:lang w:val="es-PR"/>
        </w:rPr>
        <w:t xml:space="preserve">(b) La efectividad de la coordinación </w:t>
      </w:r>
      <w:proofErr w:type="spellStart"/>
      <w:r w:rsidRPr="00523675">
        <w:rPr>
          <w:rFonts w:ascii="Book Antiqua" w:hAnsi="Book Antiqua"/>
          <w:lang w:val="es-PR"/>
        </w:rPr>
        <w:t>interagencial</w:t>
      </w:r>
      <w:proofErr w:type="spellEnd"/>
      <w:r w:rsidRPr="00523675">
        <w:rPr>
          <w:rFonts w:ascii="Book Antiqua" w:hAnsi="Book Antiqua"/>
          <w:lang w:val="es-PR"/>
        </w:rPr>
        <w:t xml:space="preserve"> y la participación del sector privado en la organización de la CAJUP. </w:t>
      </w:r>
    </w:p>
    <w:p w14:paraId="160F1E7B" w14:textId="77777777" w:rsidR="00523675" w:rsidRDefault="00523675" w:rsidP="00523675">
      <w:pPr>
        <w:spacing w:line="480" w:lineRule="auto"/>
        <w:ind w:firstLine="360"/>
        <w:jc w:val="both"/>
        <w:rPr>
          <w:rFonts w:ascii="Book Antiqua" w:hAnsi="Book Antiqua"/>
          <w:lang w:val="es-PR"/>
        </w:rPr>
      </w:pPr>
      <w:r w:rsidRPr="00523675">
        <w:rPr>
          <w:rFonts w:ascii="Book Antiqua" w:hAnsi="Book Antiqua"/>
          <w:lang w:val="es-PR"/>
        </w:rPr>
        <w:t xml:space="preserve">(c) La disponibilidad y uso de fondos destinados a la implementación de la ley, incluyendo la evaluación de informes presupuestarios presentados al Gobernador y a la Asamblea Legislativa. </w:t>
      </w:r>
    </w:p>
    <w:p w14:paraId="6E5C8E6D" w14:textId="77777777" w:rsidR="00523675" w:rsidRDefault="00523675" w:rsidP="00523675">
      <w:pPr>
        <w:spacing w:line="480" w:lineRule="auto"/>
        <w:ind w:firstLine="360"/>
        <w:jc w:val="both"/>
        <w:rPr>
          <w:rFonts w:ascii="Book Antiqua" w:hAnsi="Book Antiqua"/>
          <w:lang w:val="es-PR"/>
        </w:rPr>
      </w:pPr>
      <w:r w:rsidRPr="00523675">
        <w:rPr>
          <w:rFonts w:ascii="Book Antiqua" w:hAnsi="Book Antiqua"/>
          <w:lang w:val="es-PR"/>
        </w:rPr>
        <w:lastRenderedPageBreak/>
        <w:t xml:space="preserve">(d) El cumplimiento del Departamento de Desarrollo Económico y Comercio con las disposiciones de la ley y la reglamentación adoptada para su implementación. </w:t>
      </w:r>
    </w:p>
    <w:p w14:paraId="0D84709A" w14:textId="77777777" w:rsidR="00523675" w:rsidRDefault="00523675" w:rsidP="00523675">
      <w:pPr>
        <w:spacing w:line="480" w:lineRule="auto"/>
        <w:ind w:firstLine="360"/>
        <w:jc w:val="both"/>
        <w:rPr>
          <w:rFonts w:ascii="Book Antiqua" w:hAnsi="Book Antiqua"/>
          <w:lang w:val="es-PR"/>
        </w:rPr>
      </w:pPr>
      <w:r w:rsidRPr="00523675">
        <w:rPr>
          <w:rFonts w:ascii="Book Antiqua" w:hAnsi="Book Antiqua"/>
          <w:lang w:val="es-PR"/>
        </w:rPr>
        <w:t xml:space="preserve">(e) Los impactos y resultados obtenidos en términos de participación juvenil, formulación de recomendaciones y ejecución de propuestas derivadas de la CAJUP. </w:t>
      </w:r>
    </w:p>
    <w:p w14:paraId="0A7939C2" w14:textId="77777777" w:rsidR="00523675" w:rsidRDefault="00523675" w:rsidP="00523675">
      <w:pPr>
        <w:spacing w:line="480" w:lineRule="auto"/>
        <w:ind w:firstLine="360"/>
        <w:jc w:val="both"/>
        <w:rPr>
          <w:rFonts w:ascii="Book Antiqua" w:hAnsi="Book Antiqua"/>
          <w:lang w:val="es-PR"/>
        </w:rPr>
      </w:pPr>
      <w:r w:rsidRPr="00523675">
        <w:rPr>
          <w:rFonts w:ascii="Book Antiqua" w:hAnsi="Book Antiqua"/>
          <w:lang w:val="es-PR"/>
        </w:rPr>
        <w:t xml:space="preserve">(f) Los planes futuros y proyecciones para mejorar la efectividad de la CAJUP y garantizar su continuidad. </w:t>
      </w:r>
    </w:p>
    <w:p w14:paraId="3859CF87" w14:textId="77777777" w:rsidR="00523675" w:rsidRDefault="00523675" w:rsidP="00523675">
      <w:pPr>
        <w:spacing w:line="480" w:lineRule="auto"/>
        <w:ind w:firstLine="360"/>
        <w:jc w:val="both"/>
        <w:rPr>
          <w:rFonts w:ascii="Book Antiqua" w:hAnsi="Book Antiqua"/>
          <w:lang w:val="es-PR"/>
        </w:rPr>
      </w:pPr>
      <w:r w:rsidRPr="00523675">
        <w:rPr>
          <w:rFonts w:ascii="Book Antiqua" w:hAnsi="Book Antiqua"/>
          <w:lang w:val="es-PR"/>
        </w:rPr>
        <w:t xml:space="preserve">(g) Las necesidades identificadas en el proceso de implementación y ejecución de la ley para fortalecer su impacto y sostenibilidad. </w:t>
      </w:r>
    </w:p>
    <w:p w14:paraId="047B1208" w14:textId="3B948109" w:rsidR="002847D1" w:rsidRPr="006360DA" w:rsidRDefault="00523675" w:rsidP="001629D0">
      <w:pPr>
        <w:spacing w:line="480" w:lineRule="auto"/>
        <w:ind w:firstLine="360"/>
        <w:jc w:val="both"/>
        <w:rPr>
          <w:rFonts w:ascii="Book Antiqua" w:hAnsi="Book Antiqua"/>
          <w:lang w:val="es-PR"/>
        </w:rPr>
      </w:pPr>
      <w:r w:rsidRPr="00523675">
        <w:rPr>
          <w:rFonts w:ascii="Book Antiqua" w:hAnsi="Book Antiqua"/>
          <w:lang w:val="es-PR"/>
        </w:rPr>
        <w:t>(h) La necesidad de enmiendas a la ley para mejorar su ejecución y ampliar su alcance.</w:t>
      </w:r>
    </w:p>
    <w:p w14:paraId="56B78B9B" w14:textId="77777777" w:rsidR="001629D0" w:rsidRDefault="002847D1" w:rsidP="001629D0">
      <w:pPr>
        <w:spacing w:line="480" w:lineRule="auto"/>
        <w:ind w:firstLine="360"/>
        <w:jc w:val="both"/>
        <w:rPr>
          <w:rFonts w:ascii="Book Antiqua" w:hAnsi="Book Antiqua"/>
          <w:lang w:val="es-PR"/>
        </w:rPr>
      </w:pPr>
      <w:r w:rsidRPr="009F42D8">
        <w:rPr>
          <w:rFonts w:ascii="Book Antiqua" w:hAnsi="Book Antiqua"/>
          <w:lang w:val="es-PR"/>
        </w:rPr>
        <w:t xml:space="preserve">Sección </w:t>
      </w:r>
      <w:r>
        <w:rPr>
          <w:rFonts w:ascii="Book Antiqua" w:hAnsi="Book Antiqua"/>
          <w:lang w:val="es-PR"/>
        </w:rPr>
        <w:t>3</w:t>
      </w:r>
      <w:r w:rsidRPr="009F42D8">
        <w:rPr>
          <w:rFonts w:ascii="Book Antiqua" w:hAnsi="Book Antiqua"/>
          <w:lang w:val="es-PR"/>
        </w:rPr>
        <w:t>.-</w:t>
      </w:r>
      <w:r w:rsidRPr="00B64EC4">
        <w:rPr>
          <w:lang w:val="es-PR"/>
        </w:rPr>
        <w:t xml:space="preserve"> </w:t>
      </w:r>
      <w:r w:rsidR="001629D0" w:rsidRPr="001629D0">
        <w:rPr>
          <w:rFonts w:ascii="Book Antiqua" w:hAnsi="Book Antiqua"/>
          <w:lang w:val="es-PR"/>
        </w:rPr>
        <w:t>La Comisión de Asuntos de la Juventud estará facultada para citar a vistas públicas o ejecutivas, en las que podrán comparecer representantes del Departamento de Desarrollo Económico y Comercio, agencias gubernamentales, universidades, organizaciones juveniles y otros sectores pertinentes. La Comisión podrá requerir documentos oficiales, informes financieros y cualquier otro tipo de información relevante para esclarecer la efectividad de la implementación de la ley.</w:t>
      </w:r>
    </w:p>
    <w:p w14:paraId="52849779" w14:textId="3455B249" w:rsidR="004B60CD" w:rsidRPr="004B60CD" w:rsidRDefault="004B60CD" w:rsidP="004B60CD">
      <w:pPr>
        <w:spacing w:line="480" w:lineRule="auto"/>
        <w:ind w:firstLine="360"/>
        <w:jc w:val="both"/>
        <w:rPr>
          <w:rFonts w:ascii="Book Antiqua" w:hAnsi="Book Antiqua"/>
          <w:lang w:val="es-PR"/>
        </w:rPr>
      </w:pPr>
      <w:r>
        <w:rPr>
          <w:rFonts w:ascii="Book Antiqua" w:hAnsi="Book Antiqua"/>
          <w:lang w:val="es-PR"/>
        </w:rPr>
        <w:t xml:space="preserve">Sección 4.- </w:t>
      </w:r>
      <w:r w:rsidRPr="004B60CD">
        <w:rPr>
          <w:rFonts w:ascii="Book Antiqua" w:hAnsi="Book Antiqua"/>
          <w:lang w:val="es-PR"/>
        </w:rPr>
        <w:t>La Comisión deberá presentar un informe con sus hallazgos y recomendaciones en o antes de que culmine la Octava Sesión Ordinaria de la Vigésima Asamblea Legislativa. Dicho informe deberá incluir:</w:t>
      </w:r>
    </w:p>
    <w:p w14:paraId="159EA5D4" w14:textId="77777777" w:rsidR="004B60CD" w:rsidRDefault="004B60CD" w:rsidP="004B60CD">
      <w:pPr>
        <w:spacing w:line="480" w:lineRule="auto"/>
        <w:ind w:firstLine="360"/>
        <w:jc w:val="both"/>
        <w:rPr>
          <w:rFonts w:ascii="Book Antiqua" w:hAnsi="Book Antiqua"/>
          <w:lang w:val="es-PR"/>
        </w:rPr>
      </w:pPr>
      <w:r w:rsidRPr="004B60CD">
        <w:rPr>
          <w:rFonts w:ascii="Book Antiqua" w:hAnsi="Book Antiqua"/>
          <w:lang w:val="es-PR"/>
        </w:rPr>
        <w:t xml:space="preserve">(a) Evaluación del cumplimiento de la Ley Núm. 503-2004, según enmendada. </w:t>
      </w:r>
    </w:p>
    <w:p w14:paraId="726058F1" w14:textId="77777777" w:rsidR="004B60CD" w:rsidRDefault="004B60CD" w:rsidP="004B60CD">
      <w:pPr>
        <w:spacing w:line="480" w:lineRule="auto"/>
        <w:ind w:firstLine="360"/>
        <w:jc w:val="both"/>
        <w:rPr>
          <w:rFonts w:ascii="Book Antiqua" w:hAnsi="Book Antiqua"/>
          <w:lang w:val="es-PR"/>
        </w:rPr>
      </w:pPr>
      <w:r w:rsidRPr="004B60CD">
        <w:rPr>
          <w:rFonts w:ascii="Book Antiqua" w:hAnsi="Book Antiqua"/>
          <w:lang w:val="es-PR"/>
        </w:rPr>
        <w:t xml:space="preserve">(b) Recomendaciones sobre la posible modificación de la ley y su reglamentación. </w:t>
      </w:r>
    </w:p>
    <w:p w14:paraId="1E76F449" w14:textId="77777777" w:rsidR="00E343A4" w:rsidRDefault="004B60CD" w:rsidP="004B60CD">
      <w:pPr>
        <w:spacing w:line="480" w:lineRule="auto"/>
        <w:ind w:firstLine="360"/>
        <w:jc w:val="both"/>
        <w:rPr>
          <w:rFonts w:ascii="Book Antiqua" w:hAnsi="Book Antiqua"/>
          <w:lang w:val="es-PR"/>
        </w:rPr>
      </w:pPr>
      <w:r w:rsidRPr="004B60CD">
        <w:rPr>
          <w:rFonts w:ascii="Book Antiqua" w:hAnsi="Book Antiqua"/>
          <w:lang w:val="es-PR"/>
        </w:rPr>
        <w:t xml:space="preserve">(c) Análisis de los impactos y resultados obtenidos mediante la CAJUP. </w:t>
      </w:r>
    </w:p>
    <w:p w14:paraId="31B73FD0" w14:textId="77777777" w:rsidR="00E343A4" w:rsidRDefault="004B60CD" w:rsidP="004B60CD">
      <w:pPr>
        <w:spacing w:line="480" w:lineRule="auto"/>
        <w:ind w:firstLine="360"/>
        <w:jc w:val="both"/>
        <w:rPr>
          <w:rFonts w:ascii="Book Antiqua" w:hAnsi="Book Antiqua"/>
          <w:lang w:val="es-PR"/>
        </w:rPr>
      </w:pPr>
      <w:r w:rsidRPr="004B60CD">
        <w:rPr>
          <w:rFonts w:ascii="Book Antiqua" w:hAnsi="Book Antiqua"/>
          <w:lang w:val="es-PR"/>
        </w:rPr>
        <w:lastRenderedPageBreak/>
        <w:t xml:space="preserve">(d) Propuestas de planes y proyecciones para fortalecer la efectividad de la CAJUP en beneficio de la juventud puertorriqueña. </w:t>
      </w:r>
    </w:p>
    <w:p w14:paraId="2D355680" w14:textId="2D853871" w:rsidR="004B60CD" w:rsidRPr="001629D0" w:rsidRDefault="004B60CD" w:rsidP="00E343A4">
      <w:pPr>
        <w:spacing w:line="480" w:lineRule="auto"/>
        <w:ind w:firstLine="360"/>
        <w:jc w:val="both"/>
        <w:rPr>
          <w:rFonts w:ascii="Book Antiqua" w:hAnsi="Book Antiqua"/>
          <w:lang w:val="es-PR"/>
        </w:rPr>
      </w:pPr>
      <w:r w:rsidRPr="004B60CD">
        <w:rPr>
          <w:rFonts w:ascii="Book Antiqua" w:hAnsi="Book Antiqua"/>
          <w:lang w:val="es-PR"/>
        </w:rPr>
        <w:t>(e) Identificación de necesidades y estrategias para garantizar la sostenibilidad de la Cumbre Anual de la Juventud Puertorriqueña.</w:t>
      </w:r>
    </w:p>
    <w:p w14:paraId="54382911" w14:textId="0145A310" w:rsidR="002847D1" w:rsidRPr="00E343A4" w:rsidRDefault="002847D1" w:rsidP="00E343A4">
      <w:pPr>
        <w:spacing w:line="480" w:lineRule="auto"/>
        <w:ind w:firstLine="360"/>
        <w:jc w:val="both"/>
        <w:rPr>
          <w:rFonts w:ascii="Book Antiqua" w:hAnsi="Book Antiqua"/>
          <w:lang w:val="es-PR"/>
        </w:rPr>
      </w:pPr>
      <w:r w:rsidRPr="009F42D8">
        <w:rPr>
          <w:rFonts w:ascii="Book Antiqua" w:hAnsi="Book Antiqua"/>
          <w:lang w:val="es-PR"/>
        </w:rPr>
        <w:t>Sección 4.-</w:t>
      </w:r>
      <w:r w:rsidR="00E343A4">
        <w:rPr>
          <w:rFonts w:ascii="Book Antiqua" w:hAnsi="Book Antiqua"/>
          <w:lang w:val="es-PR"/>
        </w:rPr>
        <w:t xml:space="preserve"> </w:t>
      </w:r>
      <w:r w:rsidRPr="009F42D8">
        <w:rPr>
          <w:rFonts w:ascii="Book Antiqua" w:hAnsi="Book Antiqua"/>
          <w:lang w:val="es-PR"/>
        </w:rPr>
        <w:t>Esta Resolución comenzará a regir inmediatamente después de su aprobación</w:t>
      </w:r>
      <w:r w:rsidRPr="00683AD9">
        <w:rPr>
          <w:rFonts w:ascii="Book Antiqua" w:hAnsi="Book Antiqua"/>
          <w:lang w:val="es-PR"/>
        </w:rPr>
        <w:t>.</w:t>
      </w:r>
    </w:p>
    <w:sectPr w:rsidR="002847D1" w:rsidRPr="00E343A4" w:rsidSect="002847D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71B3A" w14:textId="77777777" w:rsidR="002E092A" w:rsidRDefault="002E092A">
      <w:r>
        <w:separator/>
      </w:r>
    </w:p>
  </w:endnote>
  <w:endnote w:type="continuationSeparator" w:id="0">
    <w:p w14:paraId="02EE7F29" w14:textId="77777777" w:rsidR="002E092A" w:rsidRDefault="002E0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C5E35" w14:textId="77777777" w:rsidR="002E092A" w:rsidRDefault="002E092A">
      <w:r>
        <w:separator/>
      </w:r>
    </w:p>
  </w:footnote>
  <w:footnote w:type="continuationSeparator" w:id="0">
    <w:p w14:paraId="470EC6B5" w14:textId="77777777" w:rsidR="002E092A" w:rsidRDefault="002E0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5BC56" w14:textId="77777777" w:rsidR="002847D1" w:rsidRDefault="002847D1">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3255B"/>
    <w:multiLevelType w:val="hybridMultilevel"/>
    <w:tmpl w:val="595A22BE"/>
    <w:lvl w:ilvl="0" w:tplc="0AE091DE">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493914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7D1"/>
    <w:rsid w:val="00030508"/>
    <w:rsid w:val="00115BB7"/>
    <w:rsid w:val="001629D0"/>
    <w:rsid w:val="00192A65"/>
    <w:rsid w:val="001A097B"/>
    <w:rsid w:val="001F270F"/>
    <w:rsid w:val="002559F3"/>
    <w:rsid w:val="002847D1"/>
    <w:rsid w:val="002B6482"/>
    <w:rsid w:val="002E092A"/>
    <w:rsid w:val="004623E6"/>
    <w:rsid w:val="004B60CD"/>
    <w:rsid w:val="004C034A"/>
    <w:rsid w:val="00523675"/>
    <w:rsid w:val="00591BC3"/>
    <w:rsid w:val="00713583"/>
    <w:rsid w:val="00721538"/>
    <w:rsid w:val="00943285"/>
    <w:rsid w:val="00AD68A7"/>
    <w:rsid w:val="00AE5387"/>
    <w:rsid w:val="00B107D4"/>
    <w:rsid w:val="00B3074F"/>
    <w:rsid w:val="00B423FB"/>
    <w:rsid w:val="00C068AE"/>
    <w:rsid w:val="00C73A5B"/>
    <w:rsid w:val="00DE7B58"/>
    <w:rsid w:val="00E343A4"/>
    <w:rsid w:val="00E6660C"/>
    <w:rsid w:val="00EC3B90"/>
    <w:rsid w:val="00F4600A"/>
    <w:rsid w:val="00F540D2"/>
    <w:rsid w:val="00FC3E1D"/>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E131"/>
  <w15:chartTrackingRefBased/>
  <w15:docId w15:val="{54345B90-E555-4756-8C07-52DE17437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7D1"/>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284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4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47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47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7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47D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7D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7D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7D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4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4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4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4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4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4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4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47D1"/>
    <w:rPr>
      <w:rFonts w:eastAsiaTheme="majorEastAsia" w:cstheme="majorBidi"/>
      <w:color w:val="272727" w:themeColor="text1" w:themeTint="D8"/>
    </w:rPr>
  </w:style>
  <w:style w:type="paragraph" w:styleId="Title">
    <w:name w:val="Title"/>
    <w:basedOn w:val="Normal"/>
    <w:next w:val="Normal"/>
    <w:link w:val="TitleChar"/>
    <w:uiPriority w:val="10"/>
    <w:qFormat/>
    <w:rsid w:val="002847D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4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47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4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47D1"/>
    <w:pPr>
      <w:spacing w:before="160"/>
      <w:jc w:val="center"/>
    </w:pPr>
    <w:rPr>
      <w:i/>
      <w:iCs/>
      <w:color w:val="404040" w:themeColor="text1" w:themeTint="BF"/>
    </w:rPr>
  </w:style>
  <w:style w:type="character" w:customStyle="1" w:styleId="QuoteChar">
    <w:name w:val="Quote Char"/>
    <w:basedOn w:val="DefaultParagraphFont"/>
    <w:link w:val="Quote"/>
    <w:uiPriority w:val="29"/>
    <w:rsid w:val="002847D1"/>
    <w:rPr>
      <w:i/>
      <w:iCs/>
      <w:color w:val="404040" w:themeColor="text1" w:themeTint="BF"/>
    </w:rPr>
  </w:style>
  <w:style w:type="paragraph" w:styleId="ListParagraph">
    <w:name w:val="List Paragraph"/>
    <w:basedOn w:val="Normal"/>
    <w:uiPriority w:val="34"/>
    <w:qFormat/>
    <w:rsid w:val="002847D1"/>
    <w:pPr>
      <w:ind w:left="720"/>
      <w:contextualSpacing/>
    </w:pPr>
  </w:style>
  <w:style w:type="character" w:styleId="IntenseEmphasis">
    <w:name w:val="Intense Emphasis"/>
    <w:basedOn w:val="DefaultParagraphFont"/>
    <w:uiPriority w:val="21"/>
    <w:qFormat/>
    <w:rsid w:val="002847D1"/>
    <w:rPr>
      <w:i/>
      <w:iCs/>
      <w:color w:val="0F4761" w:themeColor="accent1" w:themeShade="BF"/>
    </w:rPr>
  </w:style>
  <w:style w:type="paragraph" w:styleId="IntenseQuote">
    <w:name w:val="Intense Quote"/>
    <w:basedOn w:val="Normal"/>
    <w:next w:val="Normal"/>
    <w:link w:val="IntenseQuoteChar"/>
    <w:uiPriority w:val="30"/>
    <w:qFormat/>
    <w:rsid w:val="00284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47D1"/>
    <w:rPr>
      <w:i/>
      <w:iCs/>
      <w:color w:val="0F4761" w:themeColor="accent1" w:themeShade="BF"/>
    </w:rPr>
  </w:style>
  <w:style w:type="character" w:styleId="IntenseReference">
    <w:name w:val="Intense Reference"/>
    <w:basedOn w:val="DefaultParagraphFont"/>
    <w:uiPriority w:val="32"/>
    <w:qFormat/>
    <w:rsid w:val="002847D1"/>
    <w:rPr>
      <w:b/>
      <w:bCs/>
      <w:smallCaps/>
      <w:color w:val="0F4761" w:themeColor="accent1" w:themeShade="BF"/>
      <w:spacing w:val="5"/>
    </w:rPr>
  </w:style>
  <w:style w:type="paragraph" w:styleId="Header">
    <w:name w:val="header"/>
    <w:basedOn w:val="Normal"/>
    <w:link w:val="HeaderChar"/>
    <w:rsid w:val="002847D1"/>
    <w:pPr>
      <w:tabs>
        <w:tab w:val="center" w:pos="4320"/>
        <w:tab w:val="right" w:pos="8640"/>
      </w:tabs>
    </w:pPr>
  </w:style>
  <w:style w:type="character" w:customStyle="1" w:styleId="HeaderChar">
    <w:name w:val="Header Char"/>
    <w:basedOn w:val="DefaultParagraphFont"/>
    <w:link w:val="Header"/>
    <w:rsid w:val="002847D1"/>
    <w:rPr>
      <w:rFonts w:ascii="Times New Roman" w:eastAsia="Batang" w:hAnsi="Times New Roman" w:cs="Times New Roman"/>
      <w:kern w:val="0"/>
      <w:szCs w:val="20"/>
      <w:lang w:val="en-US"/>
      <w14:ligatures w14:val="none"/>
    </w:rPr>
  </w:style>
  <w:style w:type="character" w:styleId="PageNumber">
    <w:name w:val="page number"/>
    <w:basedOn w:val="DefaultParagraphFont"/>
    <w:rsid w:val="002847D1"/>
  </w:style>
  <w:style w:type="paragraph" w:styleId="BodyText">
    <w:name w:val="Body Text"/>
    <w:basedOn w:val="Normal"/>
    <w:link w:val="BodyTextChar"/>
    <w:rsid w:val="002847D1"/>
    <w:pPr>
      <w:spacing w:before="120"/>
      <w:jc w:val="both"/>
    </w:pPr>
    <w:rPr>
      <w:rFonts w:ascii="CG Times(w1)" w:hAnsi="CG Times(w1)"/>
      <w:szCs w:val="24"/>
      <w:lang w:val="es-ES_tradnl"/>
    </w:rPr>
  </w:style>
  <w:style w:type="character" w:customStyle="1" w:styleId="BodyTextChar">
    <w:name w:val="Body Text Char"/>
    <w:basedOn w:val="DefaultParagraphFont"/>
    <w:link w:val="BodyText"/>
    <w:rsid w:val="002847D1"/>
    <w:rPr>
      <w:rFonts w:ascii="CG Times(w1)" w:eastAsia="Batang" w:hAnsi="CG Times(w1)" w:cs="Times New Roman"/>
      <w:kern w:val="0"/>
      <w:lang w:val="es-ES_tradnl"/>
      <w14:ligatures w14:val="none"/>
    </w:rPr>
  </w:style>
  <w:style w:type="character" w:styleId="LineNumber">
    <w:name w:val="line number"/>
    <w:basedOn w:val="DefaultParagraphFont"/>
    <w:uiPriority w:val="99"/>
    <w:semiHidden/>
    <w:unhideWhenUsed/>
    <w:rsid w:val="002847D1"/>
  </w:style>
  <w:style w:type="paragraph" w:styleId="NormalWeb">
    <w:name w:val="Normal (Web)"/>
    <w:basedOn w:val="Normal"/>
    <w:uiPriority w:val="99"/>
    <w:semiHidden/>
    <w:unhideWhenUsed/>
    <w:rsid w:val="00B107D4"/>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6012">
      <w:bodyDiv w:val="1"/>
      <w:marLeft w:val="0"/>
      <w:marRight w:val="0"/>
      <w:marTop w:val="0"/>
      <w:marBottom w:val="0"/>
      <w:divBdr>
        <w:top w:val="none" w:sz="0" w:space="0" w:color="auto"/>
        <w:left w:val="none" w:sz="0" w:space="0" w:color="auto"/>
        <w:bottom w:val="none" w:sz="0" w:space="0" w:color="auto"/>
        <w:right w:val="none" w:sz="0" w:space="0" w:color="auto"/>
      </w:divBdr>
    </w:div>
    <w:div w:id="66852093">
      <w:bodyDiv w:val="1"/>
      <w:marLeft w:val="0"/>
      <w:marRight w:val="0"/>
      <w:marTop w:val="0"/>
      <w:marBottom w:val="0"/>
      <w:divBdr>
        <w:top w:val="none" w:sz="0" w:space="0" w:color="auto"/>
        <w:left w:val="none" w:sz="0" w:space="0" w:color="auto"/>
        <w:bottom w:val="none" w:sz="0" w:space="0" w:color="auto"/>
        <w:right w:val="none" w:sz="0" w:space="0" w:color="auto"/>
      </w:divBdr>
    </w:div>
    <w:div w:id="680013840">
      <w:bodyDiv w:val="1"/>
      <w:marLeft w:val="0"/>
      <w:marRight w:val="0"/>
      <w:marTop w:val="0"/>
      <w:marBottom w:val="0"/>
      <w:divBdr>
        <w:top w:val="none" w:sz="0" w:space="0" w:color="auto"/>
        <w:left w:val="none" w:sz="0" w:space="0" w:color="auto"/>
        <w:bottom w:val="none" w:sz="0" w:space="0" w:color="auto"/>
        <w:right w:val="none" w:sz="0" w:space="0" w:color="auto"/>
      </w:divBdr>
    </w:div>
    <w:div w:id="855727023">
      <w:bodyDiv w:val="1"/>
      <w:marLeft w:val="0"/>
      <w:marRight w:val="0"/>
      <w:marTop w:val="0"/>
      <w:marBottom w:val="0"/>
      <w:divBdr>
        <w:top w:val="none" w:sz="0" w:space="0" w:color="auto"/>
        <w:left w:val="none" w:sz="0" w:space="0" w:color="auto"/>
        <w:bottom w:val="none" w:sz="0" w:space="0" w:color="auto"/>
        <w:right w:val="none" w:sz="0" w:space="0" w:color="auto"/>
      </w:divBdr>
    </w:div>
    <w:div w:id="1054348041">
      <w:bodyDiv w:val="1"/>
      <w:marLeft w:val="0"/>
      <w:marRight w:val="0"/>
      <w:marTop w:val="0"/>
      <w:marBottom w:val="0"/>
      <w:divBdr>
        <w:top w:val="none" w:sz="0" w:space="0" w:color="auto"/>
        <w:left w:val="none" w:sz="0" w:space="0" w:color="auto"/>
        <w:bottom w:val="none" w:sz="0" w:space="0" w:color="auto"/>
        <w:right w:val="none" w:sz="0" w:space="0" w:color="auto"/>
      </w:divBdr>
    </w:div>
    <w:div w:id="1396004531">
      <w:bodyDiv w:val="1"/>
      <w:marLeft w:val="0"/>
      <w:marRight w:val="0"/>
      <w:marTop w:val="0"/>
      <w:marBottom w:val="0"/>
      <w:divBdr>
        <w:top w:val="none" w:sz="0" w:space="0" w:color="auto"/>
        <w:left w:val="none" w:sz="0" w:space="0" w:color="auto"/>
        <w:bottom w:val="none" w:sz="0" w:space="0" w:color="auto"/>
        <w:right w:val="none" w:sz="0" w:space="0" w:color="auto"/>
      </w:divBdr>
    </w:div>
    <w:div w:id="1435636774">
      <w:bodyDiv w:val="1"/>
      <w:marLeft w:val="0"/>
      <w:marRight w:val="0"/>
      <w:marTop w:val="0"/>
      <w:marBottom w:val="0"/>
      <w:divBdr>
        <w:top w:val="none" w:sz="0" w:space="0" w:color="auto"/>
        <w:left w:val="none" w:sz="0" w:space="0" w:color="auto"/>
        <w:bottom w:val="none" w:sz="0" w:space="0" w:color="auto"/>
        <w:right w:val="none" w:sz="0" w:space="0" w:color="auto"/>
      </w:divBdr>
    </w:div>
    <w:div w:id="1853569539">
      <w:bodyDiv w:val="1"/>
      <w:marLeft w:val="0"/>
      <w:marRight w:val="0"/>
      <w:marTop w:val="0"/>
      <w:marBottom w:val="0"/>
      <w:divBdr>
        <w:top w:val="none" w:sz="0" w:space="0" w:color="auto"/>
        <w:left w:val="none" w:sz="0" w:space="0" w:color="auto"/>
        <w:bottom w:val="none" w:sz="0" w:space="0" w:color="auto"/>
        <w:right w:val="none" w:sz="0" w:space="0" w:color="auto"/>
      </w:divBdr>
    </w:div>
    <w:div w:id="212002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836</Words>
  <Characters>4769</Characters>
  <Application>Microsoft Office Word</Application>
  <DocSecurity>0</DocSecurity>
  <Lines>39</Lines>
  <Paragraphs>11</Paragraphs>
  <ScaleCrop>false</ScaleCrop>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Vazquez</dc:creator>
  <cp:keywords/>
  <dc:description/>
  <cp:lastModifiedBy>Gladys J. Burgos Torres</cp:lastModifiedBy>
  <cp:revision>3</cp:revision>
  <dcterms:created xsi:type="dcterms:W3CDTF">2025-03-24T19:40:00Z</dcterms:created>
  <dcterms:modified xsi:type="dcterms:W3CDTF">2025-03-24T20:31:00Z</dcterms:modified>
</cp:coreProperties>
</file>