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571AF8" w:rsidRDefault="00850770">
      <w:pPr>
        <w:jc w:val="center"/>
        <w:rPr>
          <w:rFonts w:ascii="Book Antiqua" w:eastAsia="Book Antiqua" w:hAnsi="Book Antiqua" w:cs="Book Antiqua"/>
          <w:bCs/>
          <w:color w:val="000000" w:themeColor="text1"/>
          <w:sz w:val="28"/>
          <w:szCs w:val="28"/>
          <w:lang w:val="es-PR"/>
        </w:rPr>
      </w:pPr>
      <w:r w:rsidRPr="00571AF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571AF8">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3E1388AC"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F321D8">
        <w:rPr>
          <w:rFonts w:ascii="Book Antiqua" w:hAnsi="Book Antiqua"/>
          <w:b/>
          <w:color w:val="000000" w:themeColor="text1"/>
          <w:sz w:val="52"/>
          <w:szCs w:val="52"/>
          <w:lang w:val="es-PR"/>
        </w:rPr>
        <w:t xml:space="preserve"> 461</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21396DE3" w:rsidR="00950505" w:rsidRPr="00930E48" w:rsidRDefault="00571AF8"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28 </w:t>
      </w:r>
      <w:r w:rsidRPr="00930E48">
        <w:rPr>
          <w:rFonts w:ascii="Book Antiqua" w:hAnsi="Book Antiqua"/>
          <w:color w:val="000000" w:themeColor="text1"/>
          <w:lang w:val="es-PR"/>
        </w:rPr>
        <w:t>DE MARZO DE 2025</w:t>
      </w:r>
    </w:p>
    <w:p w14:paraId="1E7B6D3E" w14:textId="77777777" w:rsidR="00950505" w:rsidRPr="00930E48" w:rsidRDefault="00950505" w:rsidP="00950505">
      <w:pPr>
        <w:jc w:val="center"/>
        <w:rPr>
          <w:rFonts w:ascii="Book Antiqua" w:hAnsi="Book Antiqua"/>
          <w:color w:val="000000" w:themeColor="text1"/>
          <w:lang w:val="es-PR"/>
        </w:rPr>
      </w:pPr>
    </w:p>
    <w:p w14:paraId="1A70B222" w14:textId="33396D90" w:rsidR="009A201B" w:rsidRDefault="00950505" w:rsidP="009A201B">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9A201B">
        <w:rPr>
          <w:rFonts w:ascii="Book Antiqua" w:eastAsia="Book Antiqua" w:hAnsi="Book Antiqua" w:cs="Book Antiqua"/>
          <w:color w:val="000000" w:themeColor="text1"/>
          <w:lang w:val="es-PR"/>
        </w:rPr>
        <w:t xml:space="preserve">por </w:t>
      </w:r>
      <w:r w:rsidR="009A201B" w:rsidRPr="00BC63DB">
        <w:rPr>
          <w:rFonts w:ascii="Book Antiqua" w:hAnsi="Book Antiqua"/>
          <w:lang w:val="es-ES"/>
        </w:rPr>
        <w:t xml:space="preserve">el representante </w:t>
      </w:r>
      <w:r w:rsidR="009A201B" w:rsidRPr="00BC63DB">
        <w:rPr>
          <w:rFonts w:ascii="Book Antiqua" w:hAnsi="Book Antiqua"/>
          <w:i/>
          <w:iCs/>
          <w:lang w:val="es-PR"/>
        </w:rPr>
        <w:t>Méndez Núñez</w:t>
      </w:r>
      <w:r w:rsidR="009A201B">
        <w:rPr>
          <w:rFonts w:ascii="Book Antiqua" w:hAnsi="Book Antiqua"/>
          <w:i/>
          <w:iCs/>
          <w:lang w:val="es-PR"/>
        </w:rPr>
        <w:t>;</w:t>
      </w:r>
      <w:r w:rsidR="009A201B" w:rsidRPr="00BC63DB">
        <w:rPr>
          <w:rFonts w:ascii="Book Antiqua" w:hAnsi="Book Antiqua"/>
          <w:i/>
          <w:iCs/>
          <w:lang w:val="es-PR"/>
        </w:rPr>
        <w:t xml:space="preserve"> </w:t>
      </w:r>
      <w:r w:rsidR="009A201B" w:rsidRPr="00BC63DB">
        <w:rPr>
          <w:rFonts w:ascii="Book Antiqua" w:eastAsia="Aptos" w:hAnsi="Book Antiqua"/>
          <w:kern w:val="2"/>
          <w:lang w:val="es-ES"/>
          <w14:ligatures w14:val="standardContextual"/>
        </w:rPr>
        <w:t>la representante</w:t>
      </w:r>
      <w:r w:rsidR="009A201B" w:rsidRPr="00BC63DB">
        <w:rPr>
          <w:rFonts w:ascii="Book Antiqua" w:eastAsia="Aptos" w:hAnsi="Book Antiqua"/>
          <w:i/>
          <w:iCs/>
          <w:kern w:val="2"/>
          <w:lang w:val="es-ES"/>
          <w14:ligatures w14:val="standardContextual"/>
        </w:rPr>
        <w:t xml:space="preserve"> Lebrón Rodríguez; </w:t>
      </w:r>
      <w:r w:rsidR="009A201B" w:rsidRPr="00BC63DB">
        <w:rPr>
          <w:rFonts w:ascii="Book Antiqua" w:eastAsia="Aptos" w:hAnsi="Book Antiqua"/>
          <w:kern w:val="2"/>
          <w:lang w:val="es-ES"/>
          <w14:ligatures w14:val="standardContextual"/>
        </w:rPr>
        <w:t>los representantes</w:t>
      </w:r>
      <w:r w:rsidR="009A201B"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9A201B" w:rsidRPr="00BC63DB">
        <w:rPr>
          <w:rFonts w:ascii="Book Antiqua" w:eastAsia="Aptos" w:hAnsi="Book Antiqua"/>
          <w:kern w:val="2"/>
          <w:lang w:val="es-ES"/>
          <w14:ligatures w14:val="standardContextual"/>
        </w:rPr>
        <w:t>la representante</w:t>
      </w:r>
      <w:r w:rsidR="009A201B" w:rsidRPr="00BC63DB">
        <w:rPr>
          <w:rFonts w:ascii="Book Antiqua" w:eastAsia="Aptos" w:hAnsi="Book Antiqua"/>
          <w:i/>
          <w:iCs/>
          <w:kern w:val="2"/>
          <w:lang w:val="es-ES"/>
          <w14:ligatures w14:val="standardContextual"/>
        </w:rPr>
        <w:t xml:space="preserve"> del Valle Correa; </w:t>
      </w:r>
      <w:r w:rsidR="009A201B" w:rsidRPr="00BC63DB">
        <w:rPr>
          <w:rFonts w:ascii="Book Antiqua" w:eastAsia="Aptos" w:hAnsi="Book Antiqua"/>
          <w:kern w:val="2"/>
          <w:lang w:val="es-ES"/>
          <w14:ligatures w14:val="standardContextual"/>
        </w:rPr>
        <w:t>los representantes</w:t>
      </w:r>
      <w:r w:rsidR="009A201B" w:rsidRPr="00BC63DB">
        <w:rPr>
          <w:rFonts w:ascii="Book Antiqua" w:eastAsia="Aptos" w:hAnsi="Book Antiqua"/>
          <w:i/>
          <w:iCs/>
          <w:kern w:val="2"/>
          <w:lang w:val="es-ES"/>
          <w14:ligatures w14:val="standardContextual"/>
        </w:rPr>
        <w:t xml:space="preserve"> Estévez Vélez, Franqui </w:t>
      </w:r>
      <w:proofErr w:type="spellStart"/>
      <w:r w:rsidR="009A201B" w:rsidRPr="00BC63DB">
        <w:rPr>
          <w:rFonts w:ascii="Book Antiqua" w:eastAsia="Aptos" w:hAnsi="Book Antiqua"/>
          <w:i/>
          <w:iCs/>
          <w:kern w:val="2"/>
          <w:lang w:val="es-ES"/>
          <w14:ligatures w14:val="standardContextual"/>
        </w:rPr>
        <w:t>Atiles</w:t>
      </w:r>
      <w:proofErr w:type="spellEnd"/>
      <w:r w:rsidR="009A201B" w:rsidRPr="00BC63DB">
        <w:rPr>
          <w:rFonts w:ascii="Book Antiqua" w:eastAsia="Aptos" w:hAnsi="Book Antiqua"/>
          <w:i/>
          <w:iCs/>
          <w:kern w:val="2"/>
          <w:lang w:val="es-ES"/>
          <w14:ligatures w14:val="standardContextual"/>
        </w:rPr>
        <w:t xml:space="preserve">; </w:t>
      </w:r>
      <w:r w:rsidR="009A201B" w:rsidRPr="00BC63DB">
        <w:rPr>
          <w:rFonts w:ascii="Book Antiqua" w:eastAsia="Aptos" w:hAnsi="Book Antiqua"/>
          <w:kern w:val="2"/>
          <w:lang w:val="es-ES"/>
          <w14:ligatures w14:val="standardContextual"/>
        </w:rPr>
        <w:t>las representantes</w:t>
      </w:r>
      <w:r w:rsidR="009A201B" w:rsidRPr="00BC63DB">
        <w:rPr>
          <w:rFonts w:ascii="Book Antiqua" w:eastAsia="Aptos" w:hAnsi="Book Antiqua"/>
          <w:i/>
          <w:iCs/>
          <w:kern w:val="2"/>
          <w:lang w:val="es-ES"/>
          <w14:ligatures w14:val="standardContextual"/>
        </w:rPr>
        <w:t xml:space="preserve"> González Aguayo, González </w:t>
      </w:r>
      <w:proofErr w:type="spellStart"/>
      <w:r w:rsidR="009A201B" w:rsidRPr="00BC63DB">
        <w:rPr>
          <w:rFonts w:ascii="Book Antiqua" w:eastAsia="Aptos" w:hAnsi="Book Antiqua"/>
          <w:i/>
          <w:iCs/>
          <w:kern w:val="2"/>
          <w:lang w:val="es-ES"/>
          <w14:ligatures w14:val="standardContextual"/>
        </w:rPr>
        <w:t>González</w:t>
      </w:r>
      <w:proofErr w:type="spellEnd"/>
      <w:r w:rsidR="009A201B" w:rsidRPr="00BC63DB">
        <w:rPr>
          <w:rFonts w:ascii="Book Antiqua" w:eastAsia="Aptos" w:hAnsi="Book Antiqua"/>
          <w:i/>
          <w:iCs/>
          <w:kern w:val="2"/>
          <w:lang w:val="es-ES"/>
          <w14:ligatures w14:val="standardContextual"/>
        </w:rPr>
        <w:t xml:space="preserve">; </w:t>
      </w:r>
      <w:r w:rsidR="009A201B" w:rsidRPr="00BC63DB">
        <w:rPr>
          <w:rFonts w:ascii="Book Antiqua" w:eastAsia="Aptos" w:hAnsi="Book Antiqua"/>
          <w:kern w:val="2"/>
          <w:lang w:val="es-ES"/>
          <w14:ligatures w14:val="standardContextual"/>
        </w:rPr>
        <w:t>los representantes</w:t>
      </w:r>
      <w:r w:rsidR="009A201B" w:rsidRPr="00BC63DB">
        <w:rPr>
          <w:rFonts w:ascii="Book Antiqua" w:eastAsia="Aptos" w:hAnsi="Book Antiqua"/>
          <w:i/>
          <w:iCs/>
          <w:kern w:val="2"/>
          <w:lang w:val="es-ES"/>
          <w14:ligatures w14:val="standardContextual"/>
        </w:rPr>
        <w:t xml:space="preserve"> Hernández Concepción, Jiménez Torres; </w:t>
      </w:r>
      <w:r w:rsidR="009A201B" w:rsidRPr="00BC63DB">
        <w:rPr>
          <w:rFonts w:ascii="Book Antiqua" w:eastAsia="Aptos" w:hAnsi="Book Antiqua"/>
          <w:kern w:val="2"/>
          <w:lang w:val="es-ES"/>
          <w14:ligatures w14:val="standardContextual"/>
        </w:rPr>
        <w:t>las representantes</w:t>
      </w:r>
      <w:r w:rsidR="009A201B" w:rsidRPr="00BC63DB">
        <w:rPr>
          <w:rFonts w:ascii="Book Antiqua" w:eastAsia="Aptos" w:hAnsi="Book Antiqua"/>
          <w:i/>
          <w:iCs/>
          <w:kern w:val="2"/>
          <w:lang w:val="es-ES"/>
          <w14:ligatures w14:val="standardContextual"/>
        </w:rPr>
        <w:t xml:space="preserve"> Martínez Vázquez, Medina Calderón; </w:t>
      </w:r>
      <w:r w:rsidR="009A201B" w:rsidRPr="00BC63DB">
        <w:rPr>
          <w:rFonts w:ascii="Book Antiqua" w:eastAsia="Aptos" w:hAnsi="Book Antiqua"/>
          <w:kern w:val="2"/>
          <w:lang w:val="es-ES"/>
          <w14:ligatures w14:val="standardContextual"/>
        </w:rPr>
        <w:t>los representantes</w:t>
      </w:r>
      <w:r w:rsidR="009A201B" w:rsidRPr="00BC63DB">
        <w:rPr>
          <w:rFonts w:ascii="Book Antiqua" w:eastAsia="Aptos" w:hAnsi="Book Antiqua"/>
          <w:i/>
          <w:iCs/>
          <w:kern w:val="2"/>
          <w:lang w:val="es-ES"/>
          <w14:ligatures w14:val="standardContextual"/>
        </w:rPr>
        <w:t xml:space="preserve"> </w:t>
      </w:r>
      <w:proofErr w:type="spellStart"/>
      <w:r w:rsidR="009A201B" w:rsidRPr="00BC63DB">
        <w:rPr>
          <w:rFonts w:ascii="Book Antiqua" w:eastAsia="Aptos" w:hAnsi="Book Antiqua"/>
          <w:i/>
          <w:iCs/>
          <w:kern w:val="2"/>
          <w:lang w:val="es-ES"/>
          <w14:ligatures w14:val="standardContextual"/>
        </w:rPr>
        <w:t>Morey</w:t>
      </w:r>
      <w:proofErr w:type="spellEnd"/>
      <w:r w:rsidR="009A201B"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9A201B" w:rsidRPr="00BC63DB">
        <w:rPr>
          <w:rFonts w:ascii="Book Antiqua" w:eastAsia="Aptos" w:hAnsi="Book Antiqua"/>
          <w:kern w:val="2"/>
          <w:lang w:val="es-ES"/>
          <w14:ligatures w14:val="standardContextual"/>
        </w:rPr>
        <w:t>la representante</w:t>
      </w:r>
      <w:r w:rsidR="009A201B" w:rsidRPr="00BC63DB">
        <w:rPr>
          <w:rFonts w:ascii="Book Antiqua" w:eastAsia="Aptos" w:hAnsi="Book Antiqua"/>
          <w:i/>
          <w:iCs/>
          <w:kern w:val="2"/>
          <w:lang w:val="es-ES"/>
          <w14:ligatures w14:val="standardContextual"/>
        </w:rPr>
        <w:t xml:space="preserve"> Peña Dávila; </w:t>
      </w:r>
      <w:r w:rsidR="009A201B" w:rsidRPr="00BC63DB">
        <w:rPr>
          <w:rFonts w:ascii="Book Antiqua" w:eastAsia="Aptos" w:hAnsi="Book Antiqua"/>
          <w:kern w:val="2"/>
          <w:lang w:val="es-ES"/>
          <w14:ligatures w14:val="standardContextual"/>
        </w:rPr>
        <w:t>los representantes</w:t>
      </w:r>
      <w:r w:rsidR="009A201B" w:rsidRPr="00BC63DB">
        <w:rPr>
          <w:rFonts w:ascii="Book Antiqua" w:eastAsia="Aptos" w:hAnsi="Book Antiqua"/>
          <w:i/>
          <w:iCs/>
          <w:kern w:val="2"/>
          <w:lang w:val="es-ES"/>
          <w14:ligatures w14:val="standardContextual"/>
        </w:rPr>
        <w:t xml:space="preserve"> Pérez Cordero, Pérez Ortiz; </w:t>
      </w:r>
      <w:r w:rsidR="009A201B" w:rsidRPr="00BC63DB">
        <w:rPr>
          <w:rFonts w:ascii="Book Antiqua" w:eastAsia="Aptos" w:hAnsi="Book Antiqua"/>
          <w:kern w:val="2"/>
          <w:lang w:val="es-ES"/>
          <w14:ligatures w14:val="standardContextual"/>
        </w:rPr>
        <w:t>las representantes</w:t>
      </w:r>
      <w:r w:rsidR="009A201B" w:rsidRPr="00BC63DB">
        <w:rPr>
          <w:rFonts w:ascii="Book Antiqua" w:eastAsia="Aptos" w:hAnsi="Book Antiqua"/>
          <w:i/>
          <w:iCs/>
          <w:kern w:val="2"/>
          <w:lang w:val="es-ES"/>
          <w14:ligatures w14:val="standardContextual"/>
        </w:rPr>
        <w:t xml:space="preserve"> Pérez Ramírez, Ramos Rivera; </w:t>
      </w:r>
      <w:r w:rsidR="009A201B" w:rsidRPr="00BC63DB">
        <w:rPr>
          <w:rFonts w:ascii="Book Antiqua" w:eastAsia="Aptos" w:hAnsi="Book Antiqua"/>
          <w:kern w:val="2"/>
          <w:lang w:val="es-ES"/>
          <w14:ligatures w14:val="standardContextual"/>
        </w:rPr>
        <w:t>los representantes</w:t>
      </w:r>
      <w:r w:rsidR="009A201B"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706E7D8B" w14:textId="77777777" w:rsidR="009A201B" w:rsidRPr="006C4E23" w:rsidRDefault="009A201B" w:rsidP="009A201B">
      <w:pPr>
        <w:ind w:left="810" w:hanging="810"/>
        <w:jc w:val="both"/>
        <w:rPr>
          <w:rFonts w:ascii="Book Antiqua" w:eastAsia="Aptos" w:hAnsi="Book Antiqua"/>
          <w:i/>
          <w:iCs/>
          <w:kern w:val="2"/>
          <w:lang w:val="es-ES"/>
          <w14:ligatures w14:val="standardContextual"/>
        </w:rPr>
      </w:pPr>
    </w:p>
    <w:p w14:paraId="6E0B8939" w14:textId="701B4009"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CB33E3">
        <w:rPr>
          <w:rFonts w:ascii="Book Antiqua" w:hAnsi="Book Antiqua"/>
          <w:color w:val="000000" w:themeColor="text1"/>
          <w:lang w:val="es-PR"/>
        </w:rPr>
        <w:t xml:space="preserve"> la Comisión de Gobierno</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1AECAEF6" w14:textId="77777777" w:rsidR="00A770A7" w:rsidRDefault="00850770" w:rsidP="00A770A7">
      <w:pPr>
        <w:ind w:left="540" w:hanging="540"/>
        <w:jc w:val="both"/>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A770A7">
        <w:rPr>
          <w:rFonts w:ascii="Book Antiqua" w:eastAsia="Book Antiqua" w:hAnsi="Book Antiqua" w:cs="Book Antiqua"/>
          <w:color w:val="000000" w:themeColor="text1"/>
          <w:lang w:val="es-PR"/>
        </w:rPr>
        <w:t>enmendar</w:t>
      </w:r>
      <w:r w:rsidR="00A770A7" w:rsidRPr="00E45E9B">
        <w:rPr>
          <w:rFonts w:ascii="Book Antiqua" w:eastAsia="Book Antiqua" w:hAnsi="Book Antiqua" w:cs="Book Antiqua"/>
          <w:color w:val="000000" w:themeColor="text1"/>
          <w:lang w:val="es-PR"/>
        </w:rPr>
        <w:t xml:space="preserve"> </w:t>
      </w:r>
      <w:r w:rsidR="00A770A7">
        <w:rPr>
          <w:rFonts w:ascii="Book Antiqua" w:eastAsia="Book Antiqua" w:hAnsi="Book Antiqua" w:cs="Book Antiqua"/>
          <w:color w:val="000000" w:themeColor="text1"/>
          <w:lang w:val="es-PR"/>
        </w:rPr>
        <w:t xml:space="preserve">el Artículo 2 </w:t>
      </w:r>
      <w:r w:rsidR="00A770A7" w:rsidRPr="00E25E7B">
        <w:rPr>
          <w:rFonts w:ascii="Book Antiqua" w:eastAsia="Book Antiqua" w:hAnsi="Book Antiqua" w:cs="Book Antiqua"/>
          <w:color w:val="000000" w:themeColor="text1"/>
          <w:lang w:val="es-PR"/>
        </w:rPr>
        <w:t>de la Ley 73-2019, según enmendada, conocida como Ley de la Administración de Servicios Generales para la Centralización de las Compras del Gobierno de Puerto Rico de 2019</w:t>
      </w:r>
      <w:r w:rsidR="00A770A7" w:rsidRPr="0091725F">
        <w:rPr>
          <w:rFonts w:ascii="Book Antiqua" w:eastAsia="Book Antiqua" w:hAnsi="Book Antiqua" w:cs="Book Antiqua"/>
          <w:color w:val="000000" w:themeColor="text1"/>
          <w:lang w:val="es-PR"/>
        </w:rPr>
        <w:t>;</w:t>
      </w:r>
      <w:r w:rsidR="00A770A7">
        <w:rPr>
          <w:rFonts w:ascii="Book Antiqua" w:eastAsia="Book Antiqua" w:hAnsi="Book Antiqua" w:cs="Book Antiqua"/>
          <w:color w:val="000000" w:themeColor="text1"/>
          <w:lang w:val="es-PR"/>
        </w:rPr>
        <w:t xml:space="preserve"> a los fines de</w:t>
      </w:r>
      <w:r w:rsidR="00A770A7" w:rsidRPr="00302222">
        <w:rPr>
          <w:lang w:val="es-PR"/>
        </w:rPr>
        <w:t xml:space="preserve"> </w:t>
      </w:r>
      <w:r w:rsidR="00A770A7" w:rsidRPr="00302222">
        <w:rPr>
          <w:rFonts w:ascii="Book Antiqua" w:eastAsia="Book Antiqua" w:hAnsi="Book Antiqua" w:cs="Book Antiqua"/>
          <w:color w:val="000000" w:themeColor="text1"/>
          <w:lang w:val="es-PR"/>
        </w:rPr>
        <w:t>restituir la autonomía operativa</w:t>
      </w:r>
      <w:r w:rsidR="00A770A7">
        <w:rPr>
          <w:rFonts w:ascii="Book Antiqua" w:eastAsia="Book Antiqua" w:hAnsi="Book Antiqua" w:cs="Book Antiqua"/>
          <w:color w:val="000000" w:themeColor="text1"/>
          <w:lang w:val="es-PR"/>
        </w:rPr>
        <w:t xml:space="preserve"> y administrativa</w:t>
      </w:r>
      <w:r w:rsidR="00A770A7" w:rsidRPr="00302222">
        <w:rPr>
          <w:rFonts w:ascii="Book Antiqua" w:eastAsia="Book Antiqua" w:hAnsi="Book Antiqua" w:cs="Book Antiqua"/>
          <w:color w:val="000000" w:themeColor="text1"/>
          <w:lang w:val="es-PR"/>
        </w:rPr>
        <w:t xml:space="preserve"> de estas entidades exentas y facultarlas para desarrollar procedimientos de adquisición internos que respondan a sus necesidades particulares</w:t>
      </w:r>
      <w:r w:rsidR="00A770A7">
        <w:rPr>
          <w:rFonts w:ascii="Book Antiqua" w:eastAsia="Book Antiqua" w:hAnsi="Book Antiqua" w:cs="Book Antiqua"/>
          <w:color w:val="000000" w:themeColor="text1"/>
          <w:lang w:val="es-PR"/>
        </w:rPr>
        <w:t xml:space="preserve">; </w:t>
      </w:r>
      <w:r w:rsidR="00A770A7" w:rsidRPr="0091725F">
        <w:rPr>
          <w:rFonts w:ascii="Book Antiqua" w:eastAsia="Book Antiqua" w:hAnsi="Book Antiqua" w:cs="Book Antiqua"/>
          <w:color w:val="000000" w:themeColor="text1"/>
          <w:lang w:val="es-PR"/>
        </w:rPr>
        <w:t>y para otros fines relacionados</w:t>
      </w:r>
      <w:r w:rsidR="00A770A7">
        <w:rPr>
          <w:rFonts w:ascii="Book Antiqua" w:eastAsia="Book Antiqua" w:hAnsi="Book Antiqua" w:cs="Book Antiqua"/>
          <w:color w:val="000000" w:themeColor="text1"/>
          <w:lang w:val="es-PR"/>
        </w:rPr>
        <w:t xml:space="preserve">. </w:t>
      </w:r>
    </w:p>
    <w:p w14:paraId="00ECDC9D" w14:textId="77777777" w:rsidR="00571AF8" w:rsidRPr="002F48BA" w:rsidRDefault="00571AF8" w:rsidP="00A770A7">
      <w:pPr>
        <w:ind w:left="540" w:hanging="540"/>
        <w:jc w:val="both"/>
        <w:rPr>
          <w:rFonts w:ascii="Book Antiqua" w:eastAsia="Book Antiqua" w:hAnsi="Book Antiqua" w:cs="Book Antiqua"/>
          <w:color w:val="000000" w:themeColor="text1"/>
          <w:lang w:val="es-PR"/>
        </w:rPr>
      </w:pPr>
    </w:p>
    <w:p w14:paraId="63AE53B1" w14:textId="3B22399B" w:rsidR="00010836" w:rsidRPr="00930E48" w:rsidRDefault="00850770" w:rsidP="00A770A7">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65A767DC" w14:textId="77777777" w:rsidR="00465256" w:rsidRPr="00930E48" w:rsidRDefault="00465256" w:rsidP="00A770A7">
      <w:pPr>
        <w:ind w:left="540" w:hanging="540"/>
        <w:jc w:val="center"/>
        <w:rPr>
          <w:rFonts w:ascii="Book Antiqua" w:eastAsia="Book Antiqua" w:hAnsi="Book Antiqua" w:cs="Book Antiqua"/>
          <w:bCs/>
          <w:color w:val="000000" w:themeColor="text1"/>
          <w:lang w:val="es-PR"/>
        </w:rPr>
      </w:pPr>
    </w:p>
    <w:p w14:paraId="7CB46255" w14:textId="77777777" w:rsidR="00A770A7" w:rsidRDefault="00A770A7" w:rsidP="00A770A7">
      <w:pPr>
        <w:jc w:val="both"/>
        <w:rPr>
          <w:rFonts w:ascii="Book Antiqua" w:eastAsia="Book Antiqua" w:hAnsi="Book Antiqua" w:cs="Book Antiqua"/>
          <w:color w:val="000000" w:themeColor="text1"/>
          <w:lang w:val="es-PR"/>
        </w:rPr>
      </w:pPr>
      <w:r w:rsidRPr="003C6649">
        <w:rPr>
          <w:rFonts w:ascii="Book Antiqua" w:eastAsia="Book Antiqua" w:hAnsi="Book Antiqua" w:cs="Book Antiqua"/>
          <w:color w:val="000000" w:themeColor="text1"/>
          <w:lang w:val="es-PR"/>
        </w:rPr>
        <w:t xml:space="preserve">La Ley 73-2019, según enmendada, conocida como </w:t>
      </w:r>
      <w:r>
        <w:rPr>
          <w:rFonts w:ascii="Book Antiqua" w:eastAsia="Book Antiqua" w:hAnsi="Book Antiqua" w:cs="Book Antiqua"/>
          <w:color w:val="000000" w:themeColor="text1"/>
          <w:lang w:val="es-PR"/>
        </w:rPr>
        <w:t>“</w:t>
      </w:r>
      <w:r w:rsidRPr="00286B6A">
        <w:rPr>
          <w:rFonts w:ascii="Book Antiqua" w:eastAsia="Book Antiqua" w:hAnsi="Book Antiqua" w:cs="Book Antiqua"/>
          <w:color w:val="000000" w:themeColor="text1"/>
          <w:lang w:val="es-PR"/>
        </w:rPr>
        <w:t>Ley de la Administración de Servicios Generales para la Centralización de las Compras del Gobierno de Puerto Rico de 2019</w:t>
      </w:r>
      <w:r>
        <w:rPr>
          <w:rFonts w:ascii="Book Antiqua" w:eastAsia="Book Antiqua" w:hAnsi="Book Antiqua" w:cs="Book Antiqua"/>
          <w:smallCaps/>
          <w:color w:val="000000" w:themeColor="text1"/>
          <w:lang w:val="es-PR"/>
        </w:rPr>
        <w:t>”</w:t>
      </w:r>
      <w:r w:rsidRPr="003C6649">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según enmendada,</w:t>
      </w:r>
      <w:r w:rsidRPr="003C6649">
        <w:rPr>
          <w:rFonts w:ascii="Book Antiqua" w:eastAsia="Book Antiqua" w:hAnsi="Book Antiqua" w:cs="Book Antiqua"/>
          <w:color w:val="000000" w:themeColor="text1"/>
          <w:lang w:val="es-PR"/>
        </w:rPr>
        <w:t xml:space="preserve"> fue </w:t>
      </w:r>
      <w:r>
        <w:rPr>
          <w:rFonts w:ascii="Book Antiqua" w:eastAsia="Book Antiqua" w:hAnsi="Book Antiqua" w:cs="Book Antiqua"/>
          <w:color w:val="000000" w:themeColor="text1"/>
          <w:lang w:val="es-PR"/>
        </w:rPr>
        <w:t xml:space="preserve">promulgada originalmente </w:t>
      </w:r>
      <w:r w:rsidRPr="003C6649">
        <w:rPr>
          <w:rFonts w:ascii="Book Antiqua" w:eastAsia="Book Antiqua" w:hAnsi="Book Antiqua" w:cs="Book Antiqua"/>
          <w:color w:val="000000" w:themeColor="text1"/>
          <w:lang w:val="es-PR"/>
        </w:rPr>
        <w:t xml:space="preserve">con el objetivo de estandarizar y regular los procesos de adquisición de bienes y servicios en las agencias </w:t>
      </w:r>
      <w:r>
        <w:rPr>
          <w:rFonts w:ascii="Book Antiqua" w:eastAsia="Book Antiqua" w:hAnsi="Book Antiqua" w:cs="Book Antiqua"/>
          <w:color w:val="000000" w:themeColor="text1"/>
          <w:lang w:val="es-PR"/>
        </w:rPr>
        <w:t>del Gobierno de Puerto Rico</w:t>
      </w:r>
      <w:r w:rsidRPr="003C6649">
        <w:rPr>
          <w:rFonts w:ascii="Book Antiqua" w:eastAsia="Book Antiqua" w:hAnsi="Book Antiqua" w:cs="Book Antiqua"/>
          <w:color w:val="000000" w:themeColor="text1"/>
          <w:lang w:val="es-PR"/>
        </w:rPr>
        <w:t xml:space="preserve">. Su propósito principal es asegurar la eficiencia, la transparencia y el uso responsable de los recursos públicos. </w:t>
      </w:r>
      <w:r>
        <w:rPr>
          <w:rFonts w:ascii="Book Antiqua" w:eastAsia="Book Antiqua" w:hAnsi="Book Antiqua" w:cs="Book Antiqua"/>
          <w:color w:val="000000" w:themeColor="text1"/>
          <w:lang w:val="es-PR"/>
        </w:rPr>
        <w:t>No obstante</w:t>
      </w:r>
      <w:r w:rsidRPr="003C6649">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 xml:space="preserve">ha cerca de seis </w:t>
      </w:r>
      <w:r>
        <w:rPr>
          <w:rFonts w:ascii="Book Antiqua" w:eastAsia="Book Antiqua" w:hAnsi="Book Antiqua" w:cs="Book Antiqua"/>
          <w:color w:val="000000" w:themeColor="text1"/>
          <w:lang w:val="es-PR"/>
        </w:rPr>
        <w:lastRenderedPageBreak/>
        <w:t>(6) años desde su implementación</w:t>
      </w:r>
      <w:r w:rsidRPr="008D110E">
        <w:rPr>
          <w:rFonts w:ascii="Book Antiqua" w:eastAsia="Book Antiqua" w:hAnsi="Book Antiqua" w:cs="Book Antiqua"/>
          <w:color w:val="000000" w:themeColor="text1"/>
          <w:lang w:val="es-PR"/>
        </w:rPr>
        <w:t xml:space="preserve"> ha generado, en múltiples instancias, dilaciones significativas en el funcionamiento administrativo y operacional de entidades que, por su naturaleza y funciones particulares, requieren mayor agilidad y flexibilidad operativa.</w:t>
      </w:r>
    </w:p>
    <w:p w14:paraId="2F2D5D14" w14:textId="77777777" w:rsidR="00A770A7" w:rsidRDefault="00A770A7" w:rsidP="00A770A7">
      <w:pPr>
        <w:ind w:firstLine="720"/>
        <w:jc w:val="both"/>
        <w:rPr>
          <w:rFonts w:ascii="Book Antiqua" w:eastAsia="Book Antiqua" w:hAnsi="Book Antiqua" w:cs="Book Antiqua"/>
          <w:color w:val="000000" w:themeColor="text1"/>
          <w:lang w:val="es-PR"/>
        </w:rPr>
      </w:pPr>
    </w:p>
    <w:p w14:paraId="7A588807" w14:textId="77777777" w:rsidR="00A770A7" w:rsidRPr="003C6649" w:rsidRDefault="00A770A7" w:rsidP="00A770A7">
      <w:pPr>
        <w:jc w:val="both"/>
        <w:rPr>
          <w:rFonts w:ascii="Book Antiqua" w:eastAsia="Book Antiqua" w:hAnsi="Book Antiqua" w:cs="Book Antiqua"/>
          <w:color w:val="000000" w:themeColor="text1"/>
          <w:lang w:val="es-PR"/>
        </w:rPr>
      </w:pPr>
      <w:r w:rsidRPr="003C6649">
        <w:rPr>
          <w:rFonts w:ascii="Book Antiqua" w:eastAsia="Book Antiqua" w:hAnsi="Book Antiqua" w:cs="Book Antiqua"/>
          <w:color w:val="000000" w:themeColor="text1"/>
          <w:lang w:val="es-PR"/>
        </w:rPr>
        <w:t>Reconociendo esta problemática</w:t>
      </w:r>
      <w:r>
        <w:rPr>
          <w:rFonts w:ascii="Book Antiqua" w:eastAsia="Book Antiqua" w:hAnsi="Book Antiqua" w:cs="Book Antiqua"/>
          <w:color w:val="000000" w:themeColor="text1"/>
          <w:lang w:val="es-PR"/>
        </w:rPr>
        <w:t>,</w:t>
      </w:r>
      <w:r w:rsidRPr="009038F6">
        <w:rPr>
          <w:rFonts w:ascii="Book Antiqua" w:eastAsia="Book Antiqua" w:hAnsi="Book Antiqua" w:cs="Book Antiqua"/>
          <w:color w:val="000000" w:themeColor="text1"/>
          <w:lang w:val="es-PR"/>
        </w:rPr>
        <w:t xml:space="preserve"> la Asamblea Legislativa ha legislado en diversas ocasiones para atender estas limitaciones. </w:t>
      </w:r>
      <w:r w:rsidRPr="00B30D1C">
        <w:rPr>
          <w:rFonts w:ascii="Book Antiqua" w:eastAsia="Book Antiqua" w:hAnsi="Book Antiqua" w:cs="Book Antiqua"/>
          <w:color w:val="000000" w:themeColor="text1"/>
          <w:lang w:val="es-PR"/>
        </w:rPr>
        <w:t xml:space="preserve">Entre ellas, destaca la </w:t>
      </w:r>
      <w:r w:rsidRPr="009038F6">
        <w:rPr>
          <w:rFonts w:ascii="Book Antiqua" w:eastAsia="Book Antiqua" w:hAnsi="Book Antiqua" w:cs="Book Antiqua"/>
          <w:color w:val="000000" w:themeColor="text1"/>
          <w:lang w:val="es-PR"/>
        </w:rPr>
        <w:t>Ley 107-2022, que enmendó la Ley 73-2019 para reconocer que su aplicación estricta entorpecía la ejecución de proyectos de recuperación, poniendo en riesgo la pérdida de fondos federales esenciales. Del mismo modo, se han aprobado medidas como la Ley 21-2020, la Ley 116-2020 y la propia Ley 107-2022, que excluyen a entidades como los municipios, la Corporación del Enlace del Caño Martín Peña y la Universidad de Puerto Rico</w:t>
      </w:r>
      <w:r>
        <w:rPr>
          <w:rFonts w:ascii="Book Antiqua" w:eastAsia="Book Antiqua" w:hAnsi="Book Antiqua" w:cs="Book Antiqua"/>
          <w:color w:val="000000" w:themeColor="text1"/>
          <w:lang w:val="es-PR"/>
        </w:rPr>
        <w:t xml:space="preserve"> </w:t>
      </w:r>
      <w:r w:rsidRPr="009038F6">
        <w:rPr>
          <w:rFonts w:ascii="Book Antiqua" w:eastAsia="Book Antiqua" w:hAnsi="Book Antiqua" w:cs="Book Antiqua"/>
          <w:color w:val="000000" w:themeColor="text1"/>
          <w:lang w:val="es-PR"/>
        </w:rPr>
        <w:t>de la aplicación de la Ley 73-2019, específicamente en el manejo de fondos de recuperación.</w:t>
      </w:r>
      <w:r>
        <w:rPr>
          <w:rFonts w:ascii="Book Antiqua" w:eastAsia="Book Antiqua" w:hAnsi="Book Antiqua" w:cs="Book Antiqua"/>
          <w:color w:val="000000" w:themeColor="text1"/>
          <w:lang w:val="es-PR"/>
        </w:rPr>
        <w:t xml:space="preserve"> </w:t>
      </w:r>
      <w:r w:rsidRPr="00386E85">
        <w:rPr>
          <w:rFonts w:ascii="Book Antiqua" w:eastAsia="Book Antiqua" w:hAnsi="Book Antiqua" w:cs="Book Antiqua"/>
          <w:color w:val="000000" w:themeColor="text1"/>
          <w:lang w:val="es-PR"/>
        </w:rPr>
        <w:t>Asimismo, la Ley 71-2021, según enmendada, conocida como</w:t>
      </w:r>
      <w:r>
        <w:rPr>
          <w:rFonts w:ascii="Book Antiqua" w:eastAsia="Book Antiqua" w:hAnsi="Book Antiqua" w:cs="Book Antiqua"/>
          <w:color w:val="000000" w:themeColor="text1"/>
          <w:lang w:val="es-PR"/>
        </w:rPr>
        <w:t xml:space="preserve"> </w:t>
      </w:r>
      <w:r>
        <w:rPr>
          <w:rFonts w:ascii="Book Antiqua" w:eastAsia="Book Antiqua" w:hAnsi="Book Antiqua" w:cs="Book Antiqua"/>
          <w:smallCaps/>
          <w:color w:val="000000" w:themeColor="text1"/>
          <w:lang w:val="es-PR"/>
        </w:rPr>
        <w:t>“</w:t>
      </w:r>
      <w:r w:rsidRPr="00A9280B">
        <w:rPr>
          <w:rFonts w:ascii="Book Antiqua" w:eastAsia="Book Antiqua" w:hAnsi="Book Antiqua" w:cs="Book Antiqua"/>
          <w:color w:val="000000" w:themeColor="text1"/>
          <w:lang w:val="es-ES"/>
        </w:rPr>
        <w:t xml:space="preserve">Ley para la Tramitación Expedita en los Procedimientos relacionados exclusivamente a los Fondos Federales conferidos a las Agencias, Dependencias, Instrumentalidades, Municipios y Corporaciones Públicas bajo el Programa </w:t>
      </w:r>
      <w:proofErr w:type="spellStart"/>
      <w:r w:rsidRPr="00A9280B">
        <w:rPr>
          <w:rFonts w:ascii="Book Antiqua" w:eastAsia="Book Antiqua" w:hAnsi="Book Antiqua" w:cs="Book Antiqua"/>
          <w:color w:val="000000" w:themeColor="text1"/>
          <w:lang w:val="es-ES"/>
        </w:rPr>
        <w:t>Community</w:t>
      </w:r>
      <w:proofErr w:type="spellEnd"/>
      <w:r w:rsidRPr="00A9280B">
        <w:rPr>
          <w:rFonts w:ascii="Book Antiqua" w:eastAsia="Book Antiqua" w:hAnsi="Book Antiqua" w:cs="Book Antiqua"/>
          <w:color w:val="000000" w:themeColor="text1"/>
          <w:lang w:val="es-ES"/>
        </w:rPr>
        <w:t xml:space="preserve"> </w:t>
      </w:r>
      <w:proofErr w:type="spellStart"/>
      <w:r w:rsidRPr="00A9280B">
        <w:rPr>
          <w:rFonts w:ascii="Book Antiqua" w:eastAsia="Book Antiqua" w:hAnsi="Book Antiqua" w:cs="Book Antiqua"/>
          <w:color w:val="000000" w:themeColor="text1"/>
          <w:lang w:val="es-ES"/>
        </w:rPr>
        <w:t>Development</w:t>
      </w:r>
      <w:proofErr w:type="spellEnd"/>
      <w:r w:rsidRPr="00A9280B">
        <w:rPr>
          <w:rFonts w:ascii="Book Antiqua" w:eastAsia="Book Antiqua" w:hAnsi="Book Antiqua" w:cs="Book Antiqua"/>
          <w:color w:val="000000" w:themeColor="text1"/>
          <w:lang w:val="es-ES"/>
        </w:rPr>
        <w:t xml:space="preserve"> Block Grant </w:t>
      </w:r>
      <w:proofErr w:type="spellStart"/>
      <w:r w:rsidRPr="00A9280B">
        <w:rPr>
          <w:rFonts w:ascii="Book Antiqua" w:eastAsia="Book Antiqua" w:hAnsi="Book Antiqua" w:cs="Book Antiqua"/>
          <w:color w:val="000000" w:themeColor="text1"/>
          <w:lang w:val="es-ES"/>
        </w:rPr>
        <w:t>for</w:t>
      </w:r>
      <w:proofErr w:type="spellEnd"/>
      <w:r w:rsidRPr="00A9280B">
        <w:rPr>
          <w:rFonts w:ascii="Book Antiqua" w:eastAsia="Book Antiqua" w:hAnsi="Book Antiqua" w:cs="Book Antiqua"/>
          <w:color w:val="000000" w:themeColor="text1"/>
          <w:lang w:val="es-ES"/>
        </w:rPr>
        <w:t xml:space="preserve"> </w:t>
      </w:r>
      <w:proofErr w:type="spellStart"/>
      <w:r w:rsidRPr="00A9280B">
        <w:rPr>
          <w:rFonts w:ascii="Book Antiqua" w:eastAsia="Book Antiqua" w:hAnsi="Book Antiqua" w:cs="Book Antiqua"/>
          <w:color w:val="000000" w:themeColor="text1"/>
          <w:lang w:val="es-ES"/>
        </w:rPr>
        <w:t>Disaster</w:t>
      </w:r>
      <w:proofErr w:type="spellEnd"/>
      <w:r w:rsidRPr="00A9280B">
        <w:rPr>
          <w:rFonts w:ascii="Book Antiqua" w:eastAsia="Book Antiqua" w:hAnsi="Book Antiqua" w:cs="Book Antiqua"/>
          <w:color w:val="000000" w:themeColor="text1"/>
          <w:lang w:val="es-ES"/>
        </w:rPr>
        <w:t xml:space="preserve"> </w:t>
      </w:r>
      <w:proofErr w:type="spellStart"/>
      <w:r w:rsidRPr="00A9280B">
        <w:rPr>
          <w:rFonts w:ascii="Book Antiqua" w:eastAsia="Book Antiqua" w:hAnsi="Book Antiqua" w:cs="Book Antiqua"/>
          <w:color w:val="000000" w:themeColor="text1"/>
          <w:lang w:val="es-ES"/>
        </w:rPr>
        <w:t>Recovery</w:t>
      </w:r>
      <w:proofErr w:type="spellEnd"/>
      <w:r w:rsidRPr="00A9280B">
        <w:rPr>
          <w:rFonts w:ascii="Book Antiqua" w:eastAsia="Book Antiqua" w:hAnsi="Book Antiqua" w:cs="Book Antiqua"/>
          <w:color w:val="000000" w:themeColor="text1"/>
          <w:lang w:val="es-ES"/>
        </w:rPr>
        <w:t>”</w:t>
      </w:r>
      <w:r w:rsidRPr="00386E85">
        <w:rPr>
          <w:rFonts w:ascii="Book Antiqua" w:eastAsia="Book Antiqua" w:hAnsi="Book Antiqua" w:cs="Book Antiqua"/>
          <w:color w:val="000000" w:themeColor="text1"/>
          <w:lang w:val="es-PR"/>
        </w:rPr>
        <w:t xml:space="preserve">, permitió a los beneficiarios de fondos FEMA, ARPA y CDBG-DR ejecutar sus proyectos sin verse limitados por la estructura centralizada </w:t>
      </w:r>
      <w:r>
        <w:rPr>
          <w:rFonts w:ascii="Book Antiqua" w:eastAsia="Book Antiqua" w:hAnsi="Book Antiqua" w:cs="Book Antiqua"/>
          <w:color w:val="000000" w:themeColor="text1"/>
          <w:lang w:val="es-PR"/>
        </w:rPr>
        <w:t xml:space="preserve">dispuesta en la </w:t>
      </w:r>
      <w:r w:rsidRPr="009038F6">
        <w:rPr>
          <w:rFonts w:ascii="Book Antiqua" w:eastAsia="Book Antiqua" w:hAnsi="Book Antiqua" w:cs="Book Antiqua"/>
          <w:color w:val="000000" w:themeColor="text1"/>
          <w:lang w:val="es-PR"/>
        </w:rPr>
        <w:t>Ley 73-2019</w:t>
      </w:r>
      <w:r w:rsidRPr="00386E85">
        <w:rPr>
          <w:rFonts w:ascii="Book Antiqua" w:eastAsia="Book Antiqua" w:hAnsi="Book Antiqua" w:cs="Book Antiqua"/>
          <w:color w:val="000000" w:themeColor="text1"/>
          <w:lang w:val="es-PR"/>
        </w:rPr>
        <w:t>.</w:t>
      </w:r>
    </w:p>
    <w:p w14:paraId="3167647D" w14:textId="77777777" w:rsidR="00A770A7" w:rsidRDefault="00A770A7" w:rsidP="00A770A7">
      <w:pPr>
        <w:ind w:firstLine="720"/>
        <w:jc w:val="both"/>
        <w:rPr>
          <w:rFonts w:ascii="Book Antiqua" w:eastAsia="Book Antiqua" w:hAnsi="Book Antiqua" w:cs="Book Antiqua"/>
          <w:color w:val="000000" w:themeColor="text1"/>
          <w:lang w:val="es-PR"/>
        </w:rPr>
      </w:pPr>
    </w:p>
    <w:p w14:paraId="6686D145" w14:textId="77777777" w:rsidR="00A770A7" w:rsidRDefault="00A770A7" w:rsidP="00A770A7">
      <w:pPr>
        <w:jc w:val="both"/>
        <w:rPr>
          <w:rFonts w:ascii="Book Antiqua" w:eastAsia="Book Antiqua" w:hAnsi="Book Antiqua" w:cs="Book Antiqua"/>
          <w:color w:val="000000" w:themeColor="text1"/>
          <w:lang w:val="es-PR"/>
        </w:rPr>
      </w:pPr>
      <w:r w:rsidRPr="007661CC">
        <w:rPr>
          <w:rFonts w:ascii="Book Antiqua" w:eastAsia="Book Antiqua" w:hAnsi="Book Antiqua" w:cs="Book Antiqua"/>
          <w:color w:val="000000" w:themeColor="text1"/>
          <w:lang w:val="es-PR"/>
        </w:rPr>
        <w:t xml:space="preserve">A pesar de las exenciones otorgadas por ley, muchas entidades continúan </w:t>
      </w:r>
      <w:r w:rsidRPr="008B1A02">
        <w:rPr>
          <w:rFonts w:ascii="Book Antiqua" w:eastAsia="Book Antiqua" w:hAnsi="Book Antiqua" w:cs="Book Antiqua"/>
          <w:color w:val="000000" w:themeColor="text1"/>
          <w:lang w:val="es-PR"/>
        </w:rPr>
        <w:t>enfrentando disposiciones que las obligan a regirse por los métodos de licitación, categorías previamente licitadas y contratos establecidos por la Administración de Servicios Generales. Esta imposición contradice el espíritu de las exenciones otorgadas, al restringir su capacidad de acción, socavar su autonomía operativa y generar trabas burocráticas que limitan la ejecución ágil de proyectos prioritarios</w:t>
      </w:r>
      <w:r w:rsidRPr="007661CC">
        <w:rPr>
          <w:rFonts w:ascii="Book Antiqua" w:eastAsia="Book Antiqua" w:hAnsi="Book Antiqua" w:cs="Book Antiqua"/>
          <w:color w:val="000000" w:themeColor="text1"/>
          <w:lang w:val="es-PR"/>
        </w:rPr>
        <w:t>.</w:t>
      </w:r>
    </w:p>
    <w:p w14:paraId="5D17374E" w14:textId="77777777" w:rsidR="00A770A7" w:rsidRPr="003C6649" w:rsidRDefault="00A770A7" w:rsidP="00A770A7">
      <w:pPr>
        <w:ind w:firstLine="720"/>
        <w:jc w:val="both"/>
        <w:rPr>
          <w:rFonts w:ascii="Book Antiqua" w:eastAsia="Book Antiqua" w:hAnsi="Book Antiqua" w:cs="Book Antiqua"/>
          <w:color w:val="000000" w:themeColor="text1"/>
          <w:lang w:val="es-PR"/>
        </w:rPr>
      </w:pPr>
    </w:p>
    <w:p w14:paraId="5EB1931C" w14:textId="77777777" w:rsidR="00A770A7" w:rsidRPr="003C6649" w:rsidRDefault="00A770A7" w:rsidP="00A770A7">
      <w:pPr>
        <w:jc w:val="both"/>
        <w:rPr>
          <w:rFonts w:ascii="Book Antiqua" w:eastAsia="Book Antiqua" w:hAnsi="Book Antiqua" w:cs="Book Antiqua"/>
          <w:color w:val="000000" w:themeColor="text1"/>
          <w:lang w:val="es-PR"/>
        </w:rPr>
      </w:pPr>
      <w:r w:rsidRPr="003C6649">
        <w:rPr>
          <w:rFonts w:ascii="Book Antiqua" w:eastAsia="Book Antiqua" w:hAnsi="Book Antiqua" w:cs="Book Antiqua"/>
          <w:color w:val="000000" w:themeColor="text1"/>
          <w:lang w:val="es-PR"/>
        </w:rPr>
        <w:t>L</w:t>
      </w:r>
      <w:r>
        <w:rPr>
          <w:rFonts w:ascii="Book Antiqua" w:eastAsia="Book Antiqua" w:hAnsi="Book Antiqua" w:cs="Book Antiqua"/>
          <w:color w:val="000000" w:themeColor="text1"/>
          <w:lang w:val="es-PR"/>
        </w:rPr>
        <w:t xml:space="preserve">as consecuencias </w:t>
      </w:r>
      <w:r w:rsidRPr="003C6649">
        <w:rPr>
          <w:rFonts w:ascii="Book Antiqua" w:eastAsia="Book Antiqua" w:hAnsi="Book Antiqua" w:cs="Book Antiqua"/>
          <w:color w:val="000000" w:themeColor="text1"/>
          <w:lang w:val="es-PR"/>
        </w:rPr>
        <w:t>derivad</w:t>
      </w:r>
      <w:r>
        <w:rPr>
          <w:rFonts w:ascii="Book Antiqua" w:eastAsia="Book Antiqua" w:hAnsi="Book Antiqua" w:cs="Book Antiqua"/>
          <w:color w:val="000000" w:themeColor="text1"/>
          <w:lang w:val="es-PR"/>
        </w:rPr>
        <w:t>a</w:t>
      </w:r>
      <w:r w:rsidRPr="003C6649">
        <w:rPr>
          <w:rFonts w:ascii="Book Antiqua" w:eastAsia="Book Antiqua" w:hAnsi="Book Antiqua" w:cs="Book Antiqua"/>
          <w:color w:val="000000" w:themeColor="text1"/>
          <w:lang w:val="es-PR"/>
        </w:rPr>
        <w:t>s de esta situación incluyen procesos administrativos innecesariamente complejos, duplicidad de trámites, restricciones indebidas en la toma de decisiones, y un uso ineficiente de recursos humanos y financieros. Estas trabas burocráticas no solo afectan el funcionamiento interno de las agencias, sino que también reducen su capacidad de respuesta en áreas clave como servicios esenciales, infraestructura, tecnología y manejo de emergencias.</w:t>
      </w:r>
    </w:p>
    <w:p w14:paraId="5D6588F7" w14:textId="77777777" w:rsidR="00A770A7" w:rsidRPr="003C6649" w:rsidRDefault="00A770A7" w:rsidP="00A770A7">
      <w:pPr>
        <w:ind w:firstLine="720"/>
        <w:jc w:val="both"/>
        <w:rPr>
          <w:rFonts w:ascii="Book Antiqua" w:eastAsia="Book Antiqua" w:hAnsi="Book Antiqua" w:cs="Book Antiqua"/>
          <w:color w:val="000000" w:themeColor="text1"/>
          <w:lang w:val="es-PR"/>
        </w:rPr>
      </w:pPr>
    </w:p>
    <w:p w14:paraId="1B4445DF" w14:textId="77777777" w:rsidR="00A770A7" w:rsidRDefault="00A770A7" w:rsidP="00A770A7">
      <w:pPr>
        <w:jc w:val="both"/>
        <w:rPr>
          <w:rFonts w:ascii="Book Antiqua" w:eastAsia="Book Antiqua" w:hAnsi="Book Antiqua" w:cs="Book Antiqua"/>
          <w:color w:val="000000" w:themeColor="text1"/>
          <w:lang w:val="es-PR"/>
        </w:rPr>
      </w:pPr>
      <w:r w:rsidRPr="00F76C8F">
        <w:rPr>
          <w:rFonts w:ascii="Book Antiqua" w:eastAsia="Book Antiqua" w:hAnsi="Book Antiqua" w:cs="Book Antiqua"/>
          <w:color w:val="000000" w:themeColor="text1"/>
          <w:lang w:val="es-PR"/>
        </w:rPr>
        <w:t xml:space="preserve">Por consiguiente, se propone enmendar la Ley 73-2019 para eliminar la obligación de las entidades exentas de acogerse a los métodos de licitación estandarizados, así como a las categorías y contratos previamente establecidos por la Administración de Servicios Generales. Esta enmienda tiene el propósito de restituir la autonomía operativa de estas entidades </w:t>
      </w:r>
      <w:r>
        <w:rPr>
          <w:rFonts w:ascii="Book Antiqua" w:eastAsia="Book Antiqua" w:hAnsi="Book Antiqua" w:cs="Book Antiqua"/>
          <w:color w:val="000000" w:themeColor="text1"/>
          <w:lang w:val="es-PR"/>
        </w:rPr>
        <w:t xml:space="preserve">exentas </w:t>
      </w:r>
      <w:r w:rsidRPr="00F76C8F">
        <w:rPr>
          <w:rFonts w:ascii="Book Antiqua" w:eastAsia="Book Antiqua" w:hAnsi="Book Antiqua" w:cs="Book Antiqua"/>
          <w:color w:val="000000" w:themeColor="text1"/>
          <w:lang w:val="es-PR"/>
        </w:rPr>
        <w:t xml:space="preserve">y facultarlas para desarrollar procedimientos de adquisición internos que respondan a sus </w:t>
      </w:r>
      <w:r>
        <w:rPr>
          <w:rFonts w:ascii="Book Antiqua" w:eastAsia="Book Antiqua" w:hAnsi="Book Antiqua" w:cs="Book Antiqua"/>
          <w:color w:val="000000" w:themeColor="text1"/>
          <w:lang w:val="es-PR"/>
        </w:rPr>
        <w:t>necesidades particulares</w:t>
      </w:r>
      <w:r w:rsidRPr="00F76C8F">
        <w:rPr>
          <w:rFonts w:ascii="Book Antiqua" w:eastAsia="Book Antiqua" w:hAnsi="Book Antiqua" w:cs="Book Antiqua"/>
          <w:color w:val="000000" w:themeColor="text1"/>
          <w:lang w:val="es-PR"/>
        </w:rPr>
        <w:t xml:space="preserve"> y estén alineados con sus objetivos y cronogramas.</w:t>
      </w:r>
    </w:p>
    <w:p w14:paraId="25394332" w14:textId="77777777" w:rsidR="00A770A7" w:rsidRPr="003C6649" w:rsidRDefault="00A770A7" w:rsidP="00A770A7">
      <w:pPr>
        <w:spacing w:line="360" w:lineRule="auto"/>
        <w:ind w:firstLine="720"/>
        <w:jc w:val="both"/>
        <w:rPr>
          <w:rFonts w:ascii="Book Antiqua" w:eastAsia="Book Antiqua" w:hAnsi="Book Antiqua" w:cs="Book Antiqua"/>
          <w:color w:val="000000" w:themeColor="text1"/>
          <w:lang w:val="es-PR"/>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lastRenderedPageBreak/>
        <w:t>DECRÉTASE POR LA ASAMBLEA LEGISLATIVA DE PUERTO RICO:</w:t>
      </w:r>
    </w:p>
    <w:p w14:paraId="1844ED9C" w14:textId="73F7B9CC" w:rsidR="00A770A7" w:rsidRPr="00E6099F" w:rsidRDefault="00A770A7" w:rsidP="00A770A7">
      <w:pPr>
        <w:pStyle w:val="BodyText"/>
        <w:spacing w:line="480" w:lineRule="auto"/>
        <w:ind w:firstLine="720"/>
        <w:rPr>
          <w:rFonts w:ascii="Book Antiqua" w:hAnsi="Book Antiqua"/>
          <w:color w:val="000000" w:themeColor="text1"/>
        </w:rPr>
      </w:pPr>
      <w:bookmarkStart w:id="0" w:name="{20D8}"/>
      <w:bookmarkStart w:id="1" w:name="_Hlk189832381"/>
      <w:r w:rsidRPr="00525F1B">
        <w:rPr>
          <w:rFonts w:ascii="Book Antiqua" w:hAnsi="Book Antiqua"/>
          <w:color w:val="000000" w:themeColor="text1"/>
        </w:rPr>
        <w:t xml:space="preserve">Sección </w:t>
      </w:r>
      <w:r>
        <w:rPr>
          <w:rFonts w:ascii="Book Antiqua" w:eastAsia="Book Antiqua" w:hAnsi="Book Antiqua" w:cs="Book Antiqua"/>
          <w:color w:val="000000" w:themeColor="text1"/>
        </w:rPr>
        <w:t>1</w:t>
      </w:r>
      <w:r w:rsidRPr="00525F1B">
        <w:rPr>
          <w:rFonts w:ascii="Book Antiqua" w:eastAsia="Book Antiqua" w:hAnsi="Book Antiqua" w:cs="Book Antiqua"/>
          <w:color w:val="000000" w:themeColor="text1"/>
        </w:rPr>
        <w:t>.</w:t>
      </w:r>
      <w:r>
        <w:rPr>
          <w:rFonts w:ascii="Book Antiqua" w:eastAsiaTheme="minorHAnsi" w:hAnsi="Book Antiqua" w:cs="Times"/>
          <w:bCs/>
          <w:color w:val="000000" w:themeColor="text1"/>
        </w:rPr>
        <w:t>-</w:t>
      </w:r>
      <w:r w:rsidRPr="00525F1B">
        <w:rPr>
          <w:rFonts w:ascii="Book Antiqua" w:hAnsi="Book Antiqua"/>
          <w:color w:val="000000" w:themeColor="text1"/>
        </w:rPr>
        <w:t xml:space="preserve">Se </w:t>
      </w:r>
      <w:r>
        <w:rPr>
          <w:rFonts w:ascii="Book Antiqua" w:hAnsi="Book Antiqua"/>
          <w:color w:val="000000" w:themeColor="text1"/>
        </w:rPr>
        <w:t>enmienda el Artículo 4 de la Ley 73-2019, según enmendada</w:t>
      </w:r>
      <w:r w:rsidRPr="00525F1B">
        <w:rPr>
          <w:rFonts w:ascii="Book Antiqua" w:hAnsi="Book Antiqua"/>
          <w:color w:val="000000" w:themeColor="text1"/>
        </w:rPr>
        <w:t xml:space="preserve">, </w:t>
      </w:r>
      <w:r>
        <w:rPr>
          <w:rFonts w:ascii="Book Antiqua" w:hAnsi="Book Antiqua"/>
          <w:color w:val="000000" w:themeColor="text1"/>
        </w:rPr>
        <w:t>para que se lea</w:t>
      </w:r>
      <w:r w:rsidRPr="00525F1B">
        <w:rPr>
          <w:rFonts w:ascii="Book Antiqua" w:hAnsi="Book Antiqua"/>
          <w:color w:val="000000" w:themeColor="text1"/>
        </w:rPr>
        <w:t xml:space="preserve"> como sigue: </w:t>
      </w:r>
    </w:p>
    <w:p w14:paraId="275C2D60" w14:textId="77777777" w:rsidR="00A770A7" w:rsidRPr="00E6099F" w:rsidRDefault="00A770A7" w:rsidP="00A770A7">
      <w:pPr>
        <w:pStyle w:val="BodyText"/>
        <w:spacing w:line="480" w:lineRule="auto"/>
        <w:ind w:firstLine="720"/>
        <w:rPr>
          <w:rFonts w:ascii="Book Antiqua" w:hAnsi="Book Antiqua"/>
          <w:color w:val="000000" w:themeColor="text1"/>
          <w:lang w:val="es-ES"/>
        </w:rPr>
      </w:pPr>
      <w:r w:rsidRPr="00E6099F">
        <w:rPr>
          <w:rFonts w:ascii="Book Antiqua" w:hAnsi="Book Antiqua"/>
          <w:color w:val="000000" w:themeColor="text1"/>
          <w:lang w:val="es-ES"/>
        </w:rPr>
        <w:t xml:space="preserve">“Artículo </w:t>
      </w:r>
      <w:r>
        <w:rPr>
          <w:rFonts w:ascii="Book Antiqua" w:hAnsi="Book Antiqua"/>
          <w:color w:val="000000" w:themeColor="text1"/>
          <w:lang w:val="es-ES"/>
        </w:rPr>
        <w:t>4</w:t>
      </w:r>
      <w:r w:rsidRPr="00E6099F">
        <w:rPr>
          <w:rFonts w:ascii="Book Antiqua" w:hAnsi="Book Antiqua"/>
          <w:color w:val="000000" w:themeColor="text1"/>
          <w:lang w:val="es-ES"/>
        </w:rPr>
        <w:t xml:space="preserve">. — </w:t>
      </w:r>
      <w:r>
        <w:rPr>
          <w:rFonts w:ascii="Book Antiqua" w:hAnsi="Book Antiqua"/>
          <w:color w:val="000000" w:themeColor="text1"/>
          <w:lang w:val="es-ES"/>
        </w:rPr>
        <w:t>Definiciones</w:t>
      </w:r>
      <w:r w:rsidRPr="00E6099F">
        <w:rPr>
          <w:rFonts w:ascii="Book Antiqua" w:hAnsi="Book Antiqua"/>
          <w:color w:val="000000" w:themeColor="text1"/>
          <w:lang w:val="es-ES"/>
        </w:rPr>
        <w:t xml:space="preserve">. </w:t>
      </w:r>
    </w:p>
    <w:p w14:paraId="16457C17" w14:textId="77777777" w:rsidR="00A770A7" w:rsidRDefault="00A770A7" w:rsidP="00A770A7">
      <w:pPr>
        <w:pStyle w:val="BodyText"/>
        <w:spacing w:line="480" w:lineRule="auto"/>
        <w:ind w:firstLine="720"/>
        <w:rPr>
          <w:rFonts w:ascii="Book Antiqua" w:hAnsi="Book Antiqua"/>
          <w:color w:val="000000" w:themeColor="text1"/>
        </w:rPr>
      </w:pPr>
      <w:r w:rsidRPr="00583560">
        <w:rPr>
          <w:rFonts w:ascii="Book Antiqua" w:hAnsi="Book Antiqua"/>
          <w:color w:val="000000" w:themeColor="text1"/>
        </w:rPr>
        <w:t>Los términos utilizados en esta Ley tendrán los significados que a continuación se expresan,</w:t>
      </w:r>
      <w:r>
        <w:rPr>
          <w:rFonts w:ascii="Book Antiqua" w:hAnsi="Book Antiqua"/>
          <w:color w:val="000000" w:themeColor="text1"/>
        </w:rPr>
        <w:t xml:space="preserve"> </w:t>
      </w:r>
      <w:r w:rsidRPr="00583560">
        <w:rPr>
          <w:rFonts w:ascii="Book Antiqua" w:hAnsi="Book Antiqua"/>
          <w:color w:val="000000" w:themeColor="text1"/>
        </w:rPr>
        <w:t>excepto donde el contexto claramente indique otra definición; los términos en singular incluyen el</w:t>
      </w:r>
      <w:r>
        <w:rPr>
          <w:rFonts w:ascii="Book Antiqua" w:hAnsi="Book Antiqua"/>
          <w:color w:val="000000" w:themeColor="text1"/>
        </w:rPr>
        <w:t xml:space="preserve"> </w:t>
      </w:r>
      <w:r w:rsidRPr="00583560">
        <w:rPr>
          <w:rFonts w:ascii="Book Antiqua" w:hAnsi="Book Antiqua"/>
          <w:color w:val="000000" w:themeColor="text1"/>
        </w:rPr>
        <w:t>plural y en la acepción masculina se incluye la femenina:</w:t>
      </w:r>
    </w:p>
    <w:p w14:paraId="02B64B63" w14:textId="77777777" w:rsidR="00A770A7" w:rsidRDefault="00A770A7" w:rsidP="00A770A7">
      <w:pPr>
        <w:pStyle w:val="BodyText"/>
        <w:numPr>
          <w:ilvl w:val="0"/>
          <w:numId w:val="12"/>
        </w:numPr>
        <w:spacing w:line="480" w:lineRule="auto"/>
        <w:rPr>
          <w:rFonts w:ascii="Book Antiqua" w:hAnsi="Book Antiqua"/>
          <w:color w:val="000000" w:themeColor="text1"/>
        </w:rPr>
      </w:pPr>
      <w:r>
        <w:rPr>
          <w:rFonts w:ascii="Book Antiqua" w:hAnsi="Book Antiqua"/>
          <w:color w:val="000000" w:themeColor="text1"/>
        </w:rPr>
        <w:t>…</w:t>
      </w:r>
    </w:p>
    <w:p w14:paraId="2676BDF4" w14:textId="77777777" w:rsidR="00A770A7" w:rsidRDefault="00A770A7" w:rsidP="00A770A7">
      <w:pPr>
        <w:pStyle w:val="BodyText"/>
        <w:spacing w:line="480" w:lineRule="auto"/>
        <w:ind w:left="720"/>
        <w:rPr>
          <w:rFonts w:ascii="Book Antiqua" w:hAnsi="Book Antiqua"/>
          <w:color w:val="000000" w:themeColor="text1"/>
        </w:rPr>
      </w:pPr>
      <w:r>
        <w:rPr>
          <w:rFonts w:ascii="Book Antiqua" w:hAnsi="Book Antiqua"/>
          <w:color w:val="000000" w:themeColor="text1"/>
        </w:rPr>
        <w:t>…</w:t>
      </w:r>
    </w:p>
    <w:p w14:paraId="3461FAD5" w14:textId="5EFA73D7" w:rsidR="00A770A7" w:rsidRDefault="00A770A7" w:rsidP="00A770A7">
      <w:pPr>
        <w:pStyle w:val="BodyText"/>
        <w:numPr>
          <w:ilvl w:val="0"/>
          <w:numId w:val="13"/>
        </w:numPr>
        <w:spacing w:line="480" w:lineRule="auto"/>
        <w:rPr>
          <w:rFonts w:ascii="Book Antiqua" w:hAnsi="Book Antiqua"/>
          <w:color w:val="000000" w:themeColor="text1"/>
        </w:rPr>
      </w:pPr>
      <w:r w:rsidRPr="0044206B">
        <w:rPr>
          <w:rFonts w:ascii="Book Antiqua" w:hAnsi="Book Antiqua"/>
          <w:color w:val="000000" w:themeColor="text1"/>
        </w:rPr>
        <w:t>Entidad Exenta: Entidad Gubernamental que no viene obligada a realizar sus compras a través</w:t>
      </w:r>
      <w:r>
        <w:rPr>
          <w:rFonts w:ascii="Book Antiqua" w:hAnsi="Book Antiqua"/>
          <w:color w:val="000000" w:themeColor="text1"/>
        </w:rPr>
        <w:t xml:space="preserve"> </w:t>
      </w:r>
      <w:r w:rsidRPr="0044206B">
        <w:rPr>
          <w:rFonts w:ascii="Book Antiqua" w:hAnsi="Book Antiqua"/>
          <w:color w:val="000000" w:themeColor="text1"/>
        </w:rPr>
        <w:t>de la Administración, ya sea por razón de operar bajo lo dispuesto en un plan fiscal vigente o</w:t>
      </w:r>
      <w:r>
        <w:rPr>
          <w:rFonts w:ascii="Book Antiqua" w:hAnsi="Book Antiqua"/>
          <w:color w:val="000000" w:themeColor="text1"/>
        </w:rPr>
        <w:t xml:space="preserve"> </w:t>
      </w:r>
      <w:r w:rsidRPr="0044206B">
        <w:rPr>
          <w:rFonts w:ascii="Book Antiqua" w:hAnsi="Book Antiqua"/>
          <w:color w:val="000000" w:themeColor="text1"/>
        </w:rPr>
        <w:t>por tratarse de entidades fiscalizadoras de la integridad del servicio público y la eficiencia</w:t>
      </w:r>
      <w:r>
        <w:rPr>
          <w:rFonts w:ascii="Book Antiqua" w:hAnsi="Book Antiqua"/>
          <w:color w:val="000000" w:themeColor="text1"/>
        </w:rPr>
        <w:t xml:space="preserve"> </w:t>
      </w:r>
      <w:r w:rsidRPr="0044206B">
        <w:rPr>
          <w:rFonts w:ascii="Book Antiqua" w:hAnsi="Book Antiqua"/>
          <w:color w:val="000000" w:themeColor="text1"/>
        </w:rPr>
        <w:t>gubernamental. Para propósitos de esta Ley, se considerarán entidades exentas las siguientes:</w:t>
      </w:r>
      <w:r>
        <w:rPr>
          <w:rFonts w:ascii="Book Antiqua" w:hAnsi="Book Antiqua"/>
          <w:color w:val="000000" w:themeColor="text1"/>
        </w:rPr>
        <w:t xml:space="preserve"> </w:t>
      </w:r>
      <w:r w:rsidRPr="0044206B">
        <w:rPr>
          <w:rFonts w:ascii="Book Antiqua" w:hAnsi="Book Antiqua"/>
          <w:color w:val="000000" w:themeColor="text1"/>
        </w:rPr>
        <w:t>Oficina de Ética Gubernamental, Oficina del Inspector General de Puerto Rico, Comisión</w:t>
      </w:r>
      <w:r w:rsidRPr="00E34615">
        <w:t xml:space="preserve"> </w:t>
      </w:r>
      <w:r w:rsidRPr="00E34615">
        <w:rPr>
          <w:rFonts w:ascii="Book Antiqua" w:hAnsi="Book Antiqua"/>
          <w:color w:val="000000" w:themeColor="text1"/>
        </w:rPr>
        <w:t>Estatal de Elecciones, Autoridad de Asesoría Financiera y Agencia Fiscal de Puerto Rico,</w:t>
      </w:r>
      <w:r>
        <w:rPr>
          <w:rFonts w:ascii="Book Antiqua" w:hAnsi="Book Antiqua"/>
          <w:color w:val="000000" w:themeColor="text1"/>
        </w:rPr>
        <w:t xml:space="preserve"> </w:t>
      </w:r>
      <w:r w:rsidRPr="00E34615">
        <w:rPr>
          <w:rFonts w:ascii="Book Antiqua" w:hAnsi="Book Antiqua"/>
          <w:color w:val="000000" w:themeColor="text1"/>
        </w:rPr>
        <w:t>Banco Gubernamental de Fomento para Puerto Rico, Autoridad para las Alianzas Público</w:t>
      </w:r>
      <w:r>
        <w:rPr>
          <w:rFonts w:ascii="Book Antiqua" w:hAnsi="Book Antiqua"/>
          <w:color w:val="000000" w:themeColor="text1"/>
        </w:rPr>
        <w:t xml:space="preserve"> </w:t>
      </w:r>
      <w:r w:rsidRPr="00E34615">
        <w:rPr>
          <w:rFonts w:ascii="Book Antiqua" w:hAnsi="Book Antiqua"/>
          <w:color w:val="000000" w:themeColor="text1"/>
        </w:rPr>
        <w:t>Privadas de Puerto Rico, Autoridad para el Financiamiento de la Infraestructura de Puerto</w:t>
      </w:r>
      <w:r>
        <w:rPr>
          <w:rFonts w:ascii="Book Antiqua" w:hAnsi="Book Antiqua"/>
          <w:color w:val="000000" w:themeColor="text1"/>
        </w:rPr>
        <w:t xml:space="preserve"> </w:t>
      </w:r>
      <w:r w:rsidRPr="00E34615">
        <w:rPr>
          <w:rFonts w:ascii="Book Antiqua" w:hAnsi="Book Antiqua"/>
          <w:color w:val="000000" w:themeColor="text1"/>
        </w:rPr>
        <w:t>Rico, Autoridad de Acueductos y Alcantarillados, Autoridad de Energía Eléctrica, Autoridad</w:t>
      </w:r>
      <w:r>
        <w:rPr>
          <w:rFonts w:ascii="Book Antiqua" w:hAnsi="Book Antiqua"/>
          <w:color w:val="000000" w:themeColor="text1"/>
        </w:rPr>
        <w:t xml:space="preserve"> </w:t>
      </w:r>
      <w:r w:rsidRPr="00E34615">
        <w:rPr>
          <w:rFonts w:ascii="Book Antiqua" w:hAnsi="Book Antiqua"/>
          <w:color w:val="000000" w:themeColor="text1"/>
        </w:rPr>
        <w:t xml:space="preserve">de Carreteras y Transportación, Corporación del Proyecto ENLACE del Caño </w:t>
      </w:r>
      <w:r w:rsidRPr="00E34615">
        <w:rPr>
          <w:rFonts w:ascii="Book Antiqua" w:hAnsi="Book Antiqua"/>
          <w:color w:val="000000" w:themeColor="text1"/>
        </w:rPr>
        <w:lastRenderedPageBreak/>
        <w:t>Martín Peña, la</w:t>
      </w:r>
      <w:r>
        <w:rPr>
          <w:rFonts w:ascii="Book Antiqua" w:hAnsi="Book Antiqua"/>
          <w:color w:val="000000" w:themeColor="text1"/>
        </w:rPr>
        <w:t xml:space="preserve"> </w:t>
      </w:r>
      <w:r w:rsidRPr="00E34615">
        <w:rPr>
          <w:rFonts w:ascii="Book Antiqua" w:hAnsi="Book Antiqua"/>
          <w:color w:val="000000" w:themeColor="text1"/>
        </w:rPr>
        <w:t>Corporación Pública para la Supervisión de Seguros de Cooperativas de Puerto Rico,</w:t>
      </w:r>
      <w:r>
        <w:rPr>
          <w:rFonts w:ascii="Book Antiqua" w:hAnsi="Book Antiqua"/>
          <w:color w:val="000000" w:themeColor="text1"/>
        </w:rPr>
        <w:t xml:space="preserve"> </w:t>
      </w:r>
      <w:r w:rsidRPr="00E34615">
        <w:rPr>
          <w:rFonts w:ascii="Book Antiqua" w:hAnsi="Book Antiqua"/>
          <w:color w:val="000000" w:themeColor="text1"/>
        </w:rPr>
        <w:t>programas e instalaciones de la Administración de Servicios Médicos de Puerto Rico, el Centro</w:t>
      </w:r>
      <w:r>
        <w:rPr>
          <w:rFonts w:ascii="Book Antiqua" w:hAnsi="Book Antiqua"/>
          <w:color w:val="000000" w:themeColor="text1"/>
        </w:rPr>
        <w:t xml:space="preserve"> </w:t>
      </w:r>
      <w:r w:rsidRPr="00E34615">
        <w:rPr>
          <w:rFonts w:ascii="Book Antiqua" w:hAnsi="Book Antiqua"/>
          <w:color w:val="000000" w:themeColor="text1"/>
        </w:rPr>
        <w:t>Médico, el Hospital Cardiovascular, el Hospital Universitario de Adultos, el Hospital</w:t>
      </w:r>
      <w:r>
        <w:rPr>
          <w:rFonts w:ascii="Book Antiqua" w:hAnsi="Book Antiqua"/>
          <w:color w:val="000000" w:themeColor="text1"/>
        </w:rPr>
        <w:t xml:space="preserve"> </w:t>
      </w:r>
      <w:r w:rsidRPr="00E34615">
        <w:rPr>
          <w:rFonts w:ascii="Book Antiqua" w:hAnsi="Book Antiqua"/>
          <w:color w:val="000000" w:themeColor="text1"/>
        </w:rPr>
        <w:t>Pediátrico Universitario, el Hospital Universitario Dr. Ramón Ruiz Arnau, los Centros de</w:t>
      </w:r>
      <w:r>
        <w:rPr>
          <w:rFonts w:ascii="Book Antiqua" w:hAnsi="Book Antiqua"/>
          <w:color w:val="000000" w:themeColor="text1"/>
        </w:rPr>
        <w:t xml:space="preserve"> </w:t>
      </w:r>
      <w:r w:rsidRPr="00E34615">
        <w:rPr>
          <w:rFonts w:ascii="Book Antiqua" w:hAnsi="Book Antiqua"/>
          <w:color w:val="000000" w:themeColor="text1"/>
        </w:rPr>
        <w:t xml:space="preserve">Diagnóstico y Tratamiento </w:t>
      </w:r>
      <w:r>
        <w:rPr>
          <w:rFonts w:ascii="Book Antiqua" w:hAnsi="Book Antiqua"/>
          <w:color w:val="000000" w:themeColor="text1"/>
        </w:rPr>
        <w:t xml:space="preserve">e </w:t>
      </w:r>
      <w:r w:rsidRPr="00E06FC9">
        <w:rPr>
          <w:rFonts w:ascii="Book Antiqua" w:hAnsi="Book Antiqua"/>
          <w:b/>
          <w:bCs/>
          <w:color w:val="000000" w:themeColor="text1"/>
        </w:rPr>
        <w:t xml:space="preserve">[y] </w:t>
      </w:r>
      <w:r w:rsidRPr="00E34615">
        <w:rPr>
          <w:rFonts w:ascii="Book Antiqua" w:hAnsi="Book Antiqua"/>
          <w:color w:val="000000" w:themeColor="text1"/>
        </w:rPr>
        <w:t>instalaciones de discapacidad intelectual adscritos al</w:t>
      </w:r>
      <w:r>
        <w:rPr>
          <w:rFonts w:ascii="Book Antiqua" w:hAnsi="Book Antiqua"/>
          <w:color w:val="000000" w:themeColor="text1"/>
        </w:rPr>
        <w:t xml:space="preserve"> </w:t>
      </w:r>
      <w:r w:rsidRPr="00E34615">
        <w:rPr>
          <w:rFonts w:ascii="Book Antiqua" w:hAnsi="Book Antiqua"/>
          <w:color w:val="000000" w:themeColor="text1"/>
        </w:rPr>
        <w:t>Departamento de Salud, el Hospital Industrial y dispensarios regionales e intermedios, la</w:t>
      </w:r>
      <w:r>
        <w:rPr>
          <w:rFonts w:ascii="Book Antiqua" w:hAnsi="Book Antiqua"/>
          <w:color w:val="000000" w:themeColor="text1"/>
        </w:rPr>
        <w:t xml:space="preserve"> </w:t>
      </w:r>
      <w:r w:rsidRPr="00E34615">
        <w:rPr>
          <w:rFonts w:ascii="Book Antiqua" w:hAnsi="Book Antiqua"/>
          <w:color w:val="000000" w:themeColor="text1"/>
        </w:rPr>
        <w:t>Corporación del Fondo del Seguro del Estado, la Autoridad Metropolitana de Autobuses</w:t>
      </w:r>
      <w:r>
        <w:rPr>
          <w:rFonts w:ascii="Book Antiqua" w:hAnsi="Book Antiqua"/>
          <w:i/>
          <w:iCs/>
          <w:color w:val="000000" w:themeColor="text1"/>
        </w:rPr>
        <w:t xml:space="preserve">, </w:t>
      </w:r>
      <w:r w:rsidRPr="00CE5795">
        <w:rPr>
          <w:rFonts w:ascii="Book Antiqua" w:hAnsi="Book Antiqua"/>
          <w:b/>
          <w:bCs/>
          <w:color w:val="000000" w:themeColor="text1"/>
        </w:rPr>
        <w:t xml:space="preserve">[y] </w:t>
      </w:r>
      <w:r w:rsidRPr="00E34615">
        <w:rPr>
          <w:rFonts w:ascii="Book Antiqua" w:hAnsi="Book Antiqua"/>
          <w:color w:val="000000" w:themeColor="text1"/>
        </w:rPr>
        <w:t>la</w:t>
      </w:r>
      <w:r>
        <w:rPr>
          <w:rFonts w:ascii="Book Antiqua" w:hAnsi="Book Antiqua"/>
          <w:color w:val="000000" w:themeColor="text1"/>
        </w:rPr>
        <w:t xml:space="preserve"> </w:t>
      </w:r>
      <w:r w:rsidRPr="00E50D6D">
        <w:rPr>
          <w:rFonts w:ascii="Book Antiqua" w:hAnsi="Book Antiqua"/>
          <w:color w:val="000000" w:themeColor="text1"/>
        </w:rPr>
        <w:t>Autoridad de Edificios Públicos</w:t>
      </w:r>
      <w:r>
        <w:rPr>
          <w:rFonts w:ascii="Book Antiqua" w:hAnsi="Book Antiqua"/>
          <w:i/>
          <w:iCs/>
          <w:color w:val="000000" w:themeColor="text1"/>
        </w:rPr>
        <w:t xml:space="preserve">, la </w:t>
      </w:r>
      <w:r w:rsidRPr="00501AB9">
        <w:rPr>
          <w:rFonts w:ascii="Book Antiqua" w:hAnsi="Book Antiqua"/>
          <w:i/>
          <w:iCs/>
          <w:color w:val="000000" w:themeColor="text1"/>
        </w:rPr>
        <w:t>Administración de Asuntos Federales de Puerto Rico</w:t>
      </w:r>
      <w:r>
        <w:rPr>
          <w:rFonts w:ascii="Book Antiqua" w:hAnsi="Book Antiqua"/>
          <w:i/>
          <w:iCs/>
          <w:color w:val="000000" w:themeColor="text1"/>
        </w:rPr>
        <w:t xml:space="preserve">, la </w:t>
      </w:r>
      <w:r w:rsidRPr="00406447">
        <w:rPr>
          <w:rFonts w:ascii="Book Antiqua" w:hAnsi="Book Antiqua"/>
          <w:i/>
          <w:iCs/>
          <w:color w:val="000000" w:themeColor="text1"/>
        </w:rPr>
        <w:t>Autoridad del Distrito del Centro de Convenciones de Puerto Rico</w:t>
      </w:r>
      <w:r>
        <w:rPr>
          <w:rFonts w:ascii="Book Antiqua" w:hAnsi="Book Antiqua"/>
          <w:i/>
          <w:iCs/>
          <w:color w:val="000000" w:themeColor="text1"/>
        </w:rPr>
        <w:t xml:space="preserve"> y la Oficina del Gobernador(a)</w:t>
      </w:r>
      <w:r>
        <w:rPr>
          <w:rFonts w:ascii="Book Antiqua" w:hAnsi="Book Antiqua"/>
          <w:color w:val="000000" w:themeColor="text1"/>
        </w:rPr>
        <w:t>.</w:t>
      </w:r>
    </w:p>
    <w:p w14:paraId="2DE088E8" w14:textId="77777777" w:rsidR="00A770A7" w:rsidRPr="00C07C8E" w:rsidRDefault="00A770A7" w:rsidP="00A770A7">
      <w:pPr>
        <w:pStyle w:val="BodyText"/>
        <w:spacing w:line="480" w:lineRule="auto"/>
        <w:ind w:left="1080" w:firstLine="360"/>
        <w:rPr>
          <w:rFonts w:ascii="Book Antiqua" w:hAnsi="Book Antiqua"/>
          <w:color w:val="000000" w:themeColor="text1"/>
        </w:rPr>
      </w:pPr>
      <w:r w:rsidRPr="004E0227">
        <w:rPr>
          <w:rFonts w:ascii="Book Antiqua" w:hAnsi="Book Antiqua"/>
          <w:color w:val="000000" w:themeColor="text1"/>
        </w:rPr>
        <w:t>No obstante, las entidades exentas</w:t>
      </w:r>
      <w:r>
        <w:rPr>
          <w:rFonts w:ascii="Book Antiqua" w:hAnsi="Book Antiqua"/>
          <w:color w:val="000000" w:themeColor="text1"/>
        </w:rPr>
        <w:t xml:space="preserve"> </w:t>
      </w:r>
      <w:r>
        <w:rPr>
          <w:rFonts w:ascii="Book Antiqua" w:hAnsi="Book Antiqua"/>
          <w:i/>
          <w:iCs/>
          <w:color w:val="000000" w:themeColor="text1"/>
        </w:rPr>
        <w:t>podrán</w:t>
      </w:r>
      <w:r w:rsidRPr="004E0227">
        <w:rPr>
          <w:rFonts w:ascii="Book Antiqua" w:hAnsi="Book Antiqua"/>
          <w:color w:val="000000" w:themeColor="text1"/>
        </w:rPr>
        <w:t xml:space="preserve"> </w:t>
      </w:r>
      <w:r w:rsidRPr="004E0227">
        <w:rPr>
          <w:rFonts w:ascii="Book Antiqua" w:hAnsi="Book Antiqua"/>
          <w:b/>
          <w:bCs/>
          <w:color w:val="000000" w:themeColor="text1"/>
        </w:rPr>
        <w:t>[tienen]</w:t>
      </w:r>
      <w:r w:rsidRPr="004E0227">
        <w:rPr>
          <w:rFonts w:ascii="Book Antiqua" w:hAnsi="Book Antiqua"/>
          <w:color w:val="000000" w:themeColor="text1"/>
        </w:rPr>
        <w:t xml:space="preserve"> </w:t>
      </w:r>
      <w:r w:rsidRPr="008C4FB4">
        <w:rPr>
          <w:rFonts w:ascii="Book Antiqua" w:hAnsi="Book Antiqua"/>
          <w:i/>
          <w:iCs/>
          <w:color w:val="000000" w:themeColor="text1"/>
        </w:rPr>
        <w:t>adoptar, de forma voluntaria,</w:t>
      </w:r>
      <w:r>
        <w:rPr>
          <w:rFonts w:ascii="Book Antiqua" w:hAnsi="Book Antiqua"/>
          <w:i/>
          <w:iCs/>
          <w:color w:val="000000" w:themeColor="text1"/>
        </w:rPr>
        <w:t xml:space="preserve"> </w:t>
      </w:r>
      <w:r w:rsidRPr="008C4FB4">
        <w:rPr>
          <w:rFonts w:ascii="Book Antiqua" w:hAnsi="Book Antiqua"/>
          <w:b/>
          <w:bCs/>
          <w:color w:val="000000" w:themeColor="text1"/>
        </w:rPr>
        <w:t>[que realizar sus procesos de licitación acogiendo]</w:t>
      </w:r>
      <w:r w:rsidRPr="004E0227">
        <w:rPr>
          <w:rFonts w:ascii="Book Antiqua" w:hAnsi="Book Antiqua"/>
          <w:color w:val="000000" w:themeColor="text1"/>
        </w:rPr>
        <w:t xml:space="preserve"> los métodos de licitación establecidos en esta Ley. Además, las mismas</w:t>
      </w:r>
      <w:r>
        <w:rPr>
          <w:rFonts w:ascii="Book Antiqua" w:hAnsi="Book Antiqua"/>
          <w:i/>
          <w:iCs/>
          <w:color w:val="000000" w:themeColor="text1"/>
        </w:rPr>
        <w:t xml:space="preserve"> podrán</w:t>
      </w:r>
      <w:r w:rsidRPr="004E0227">
        <w:rPr>
          <w:rFonts w:ascii="Book Antiqua" w:hAnsi="Book Antiqua"/>
          <w:color w:val="000000" w:themeColor="text1"/>
        </w:rPr>
        <w:t xml:space="preserve"> </w:t>
      </w:r>
      <w:r w:rsidRPr="00D813D1">
        <w:rPr>
          <w:rFonts w:ascii="Book Antiqua" w:hAnsi="Book Antiqua"/>
          <w:b/>
          <w:bCs/>
          <w:color w:val="000000" w:themeColor="text1"/>
        </w:rPr>
        <w:t>[deben]</w:t>
      </w:r>
      <w:r w:rsidRPr="004E0227">
        <w:rPr>
          <w:rFonts w:ascii="Book Antiqua" w:hAnsi="Book Antiqua"/>
          <w:color w:val="000000" w:themeColor="text1"/>
        </w:rPr>
        <w:t xml:space="preserve"> </w:t>
      </w:r>
      <w:r w:rsidRPr="00277164">
        <w:rPr>
          <w:rFonts w:ascii="Book Antiqua" w:hAnsi="Book Antiqua"/>
          <w:color w:val="000000" w:themeColor="text1"/>
        </w:rPr>
        <w:t>acogerse</w:t>
      </w:r>
      <w:r>
        <w:rPr>
          <w:rFonts w:ascii="Book Antiqua" w:hAnsi="Book Antiqua"/>
          <w:color w:val="000000" w:themeColor="text1"/>
        </w:rPr>
        <w:t xml:space="preserve">, </w:t>
      </w:r>
      <w:r>
        <w:rPr>
          <w:rFonts w:ascii="Book Antiqua" w:hAnsi="Book Antiqua"/>
          <w:i/>
          <w:iCs/>
          <w:color w:val="000000" w:themeColor="text1"/>
        </w:rPr>
        <w:t xml:space="preserve">de así entenderlo conveniente, </w:t>
      </w:r>
      <w:r w:rsidRPr="00277164">
        <w:rPr>
          <w:rFonts w:ascii="Book Antiqua" w:hAnsi="Book Antiqua"/>
          <w:color w:val="000000" w:themeColor="text1"/>
        </w:rPr>
        <w:t>a</w:t>
      </w:r>
      <w:r w:rsidRPr="004E0227">
        <w:rPr>
          <w:rFonts w:ascii="Book Antiqua" w:hAnsi="Book Antiqua"/>
          <w:color w:val="000000" w:themeColor="text1"/>
        </w:rPr>
        <w:t xml:space="preserve"> las categorías previamente licitadas y contratos otorgados por la Administración de Servicios </w:t>
      </w:r>
      <w:r w:rsidRPr="00C07C8E">
        <w:rPr>
          <w:rFonts w:ascii="Book Antiqua" w:hAnsi="Book Antiqua"/>
          <w:color w:val="000000" w:themeColor="text1"/>
        </w:rPr>
        <w:t xml:space="preserve">Generales. </w:t>
      </w:r>
      <w:r w:rsidRPr="00610AE9">
        <w:rPr>
          <w:rFonts w:ascii="Book Antiqua" w:hAnsi="Book Antiqua"/>
          <w:i/>
          <w:iCs/>
          <w:color w:val="000000" w:themeColor="text1"/>
        </w:rPr>
        <w:t>Las entidades exentas</w:t>
      </w:r>
      <w:r>
        <w:rPr>
          <w:rFonts w:ascii="Book Antiqua" w:hAnsi="Book Antiqua"/>
          <w:i/>
          <w:iCs/>
          <w:color w:val="000000" w:themeColor="text1"/>
        </w:rPr>
        <w:t xml:space="preserve"> </w:t>
      </w:r>
      <w:r w:rsidRPr="005B2729">
        <w:rPr>
          <w:rFonts w:ascii="Book Antiqua" w:hAnsi="Book Antiqua"/>
          <w:i/>
          <w:iCs/>
          <w:color w:val="000000" w:themeColor="text1"/>
        </w:rPr>
        <w:t>establecerá</w:t>
      </w:r>
      <w:r>
        <w:rPr>
          <w:rFonts w:ascii="Book Antiqua" w:hAnsi="Book Antiqua"/>
          <w:i/>
          <w:iCs/>
          <w:color w:val="000000" w:themeColor="text1"/>
        </w:rPr>
        <w:t>n</w:t>
      </w:r>
      <w:r w:rsidRPr="005B2729">
        <w:rPr>
          <w:rFonts w:ascii="Book Antiqua" w:hAnsi="Book Antiqua"/>
          <w:i/>
          <w:iCs/>
          <w:color w:val="000000" w:themeColor="text1"/>
        </w:rPr>
        <w:t xml:space="preserve"> procedimientos internos para la adquisición de bienes, obras y servicios mediante procesos de compras y subastas que garanticen la transparencia y el uso adecuado de los fondos públicos.</w:t>
      </w:r>
    </w:p>
    <w:p w14:paraId="19F109B8" w14:textId="77777777" w:rsidR="00A770A7" w:rsidRDefault="00A770A7" w:rsidP="00A770A7">
      <w:pPr>
        <w:pStyle w:val="BodyText"/>
        <w:numPr>
          <w:ilvl w:val="0"/>
          <w:numId w:val="13"/>
        </w:numPr>
        <w:spacing w:line="480" w:lineRule="auto"/>
        <w:rPr>
          <w:rFonts w:ascii="Book Antiqua" w:hAnsi="Book Antiqua"/>
          <w:color w:val="000000" w:themeColor="text1"/>
        </w:rPr>
      </w:pPr>
      <w:r>
        <w:rPr>
          <w:rFonts w:ascii="Book Antiqua" w:hAnsi="Book Antiqua"/>
          <w:color w:val="000000" w:themeColor="text1"/>
        </w:rPr>
        <w:t>…”</w:t>
      </w:r>
    </w:p>
    <w:p w14:paraId="4F0E9EBA" w14:textId="77777777" w:rsidR="00A770A7" w:rsidRPr="00525F1B" w:rsidRDefault="00A770A7" w:rsidP="00A770A7">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Pr>
          <w:rFonts w:ascii="Book Antiqua" w:eastAsia="Book Antiqua" w:hAnsi="Book Antiqua" w:cs="Book Antiqua"/>
          <w:color w:val="000000" w:themeColor="text1"/>
        </w:rPr>
        <w:t>2</w:t>
      </w:r>
      <w:r w:rsidRPr="00525F1B">
        <w:rPr>
          <w:rFonts w:ascii="Book Antiqua" w:eastAsia="Book Antiqua" w:hAnsi="Book Antiqua" w:cs="Book Antiqua"/>
          <w:color w:val="000000" w:themeColor="text1"/>
        </w:rPr>
        <w:t>.</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 xml:space="preserve">Derogación tácita. </w:t>
      </w:r>
    </w:p>
    <w:p w14:paraId="7EEC18F6" w14:textId="77777777" w:rsidR="00A770A7" w:rsidRPr="00525F1B" w:rsidRDefault="00A770A7" w:rsidP="00A770A7">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lastRenderedPageBreak/>
        <w:t>Cualquier disposición de ley o reglamentación que sea incompatible con las disposiciones de esta Ley queda por la presente derogada hasta donde existiere tal incompatibilidad.</w:t>
      </w:r>
    </w:p>
    <w:p w14:paraId="42869BF0" w14:textId="77777777" w:rsidR="00A770A7" w:rsidRPr="00525F1B" w:rsidRDefault="00A770A7" w:rsidP="00A770A7">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 xml:space="preserve">Sección </w:t>
      </w:r>
      <w:r>
        <w:rPr>
          <w:rFonts w:ascii="Book Antiqua" w:eastAsia="Book Antiqua" w:hAnsi="Book Antiqua" w:cs="Book Antiqua"/>
          <w:color w:val="000000" w:themeColor="text1"/>
        </w:rPr>
        <w:t>3</w:t>
      </w:r>
      <w:r w:rsidRPr="00525F1B">
        <w:rPr>
          <w:rFonts w:ascii="Book Antiqua" w:eastAsia="Book Antiqua" w:hAnsi="Book Antiqua" w:cs="Book Antiqua"/>
          <w:color w:val="000000" w:themeColor="text1"/>
        </w:rPr>
        <w:t>.</w:t>
      </w:r>
      <w:r>
        <w:rPr>
          <w:rFonts w:ascii="Book Antiqua" w:eastAsiaTheme="minorHAnsi" w:hAnsi="Book Antiqua" w:cs="Times"/>
          <w:bCs/>
          <w:color w:val="000000" w:themeColor="text1"/>
        </w:rPr>
        <w:t>-</w:t>
      </w:r>
      <w:r w:rsidRPr="00525F1B">
        <w:rPr>
          <w:rFonts w:ascii="Book Antiqua" w:hAnsi="Book Antiqua"/>
          <w:color w:val="000000" w:themeColor="text1"/>
        </w:rPr>
        <w:t>Separabilidad.</w:t>
      </w:r>
    </w:p>
    <w:p w14:paraId="411928B8" w14:textId="77777777" w:rsidR="00A770A7" w:rsidRPr="00525F1B" w:rsidRDefault="00A770A7" w:rsidP="00A770A7">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7D3BEF36" w14:textId="77777777" w:rsidR="00A770A7" w:rsidRPr="00525F1B" w:rsidRDefault="00A770A7" w:rsidP="00A770A7">
      <w:pPr>
        <w:pStyle w:val="BodyText"/>
        <w:spacing w:line="480" w:lineRule="auto"/>
        <w:ind w:firstLine="720"/>
        <w:rPr>
          <w:rFonts w:ascii="Book Antiqua" w:eastAsiaTheme="minorHAnsi" w:hAnsi="Book Antiqua" w:cs="Times"/>
          <w:bCs/>
          <w:color w:val="000000" w:themeColor="text1"/>
        </w:rPr>
      </w:pPr>
      <w:r w:rsidRPr="00525F1B">
        <w:rPr>
          <w:rFonts w:ascii="Book Antiqua" w:hAnsi="Book Antiqua"/>
          <w:color w:val="000000" w:themeColor="text1"/>
        </w:rPr>
        <w:t xml:space="preserve">Sección </w:t>
      </w:r>
      <w:r>
        <w:rPr>
          <w:rFonts w:ascii="Book Antiqua" w:eastAsia="Book Antiqua" w:hAnsi="Book Antiqua" w:cs="Book Antiqua"/>
          <w:color w:val="000000" w:themeColor="text1"/>
        </w:rPr>
        <w:t>4</w:t>
      </w:r>
      <w:r w:rsidRPr="00525F1B">
        <w:rPr>
          <w:rFonts w:ascii="Book Antiqua" w:eastAsia="Book Antiqua" w:hAnsi="Book Antiqua" w:cs="Book Antiqua"/>
          <w:color w:val="000000" w:themeColor="text1"/>
        </w:rPr>
        <w:t>.</w:t>
      </w:r>
      <w:r>
        <w:rPr>
          <w:rFonts w:ascii="Book Antiqua" w:eastAsiaTheme="minorHAnsi" w:hAnsi="Book Antiqua" w:cs="Times"/>
          <w:bCs/>
          <w:color w:val="000000" w:themeColor="text1"/>
        </w:rPr>
        <w:t>-</w:t>
      </w:r>
      <w:r w:rsidRPr="00525F1B">
        <w:rPr>
          <w:rFonts w:ascii="Book Antiqua" w:eastAsiaTheme="minorHAnsi" w:hAnsi="Book Antiqua" w:cs="Times"/>
          <w:bCs/>
          <w:color w:val="000000" w:themeColor="text1"/>
        </w:rPr>
        <w:t>Vigencia.</w:t>
      </w:r>
    </w:p>
    <w:p w14:paraId="79550695" w14:textId="60D2623A" w:rsidR="00FF2214" w:rsidRPr="00A770A7" w:rsidRDefault="00A770A7" w:rsidP="00A770A7">
      <w:pPr>
        <w:pStyle w:val="BodyText"/>
        <w:spacing w:line="480" w:lineRule="auto"/>
        <w:ind w:firstLine="720"/>
        <w:rPr>
          <w:rFonts w:ascii="Book Antiqua" w:hAnsi="Book Antiqua"/>
          <w:color w:val="000000" w:themeColor="text1"/>
        </w:rPr>
      </w:pPr>
      <w:r w:rsidRPr="00525F1B">
        <w:rPr>
          <w:rFonts w:ascii="Book Antiqua" w:hAnsi="Book Antiqua"/>
          <w:color w:val="000000" w:themeColor="text1"/>
        </w:rPr>
        <w:t>Esta Ley entrará en vigor inmediatamente después de su aprobación</w:t>
      </w:r>
      <w:bookmarkEnd w:id="0"/>
      <w:bookmarkEnd w:id="1"/>
      <w:r w:rsidRPr="00525F1B">
        <w:rPr>
          <w:rFonts w:ascii="Book Antiqua" w:hAnsi="Book Antiqua"/>
          <w:color w:val="000000" w:themeColor="text1"/>
          <w:lang w:val="es-ES"/>
        </w:rPr>
        <w:t>.</w:t>
      </w:r>
    </w:p>
    <w:sectPr w:rsidR="00FF2214" w:rsidRPr="00A770A7">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Default="00425710">
      <w:r>
        <w:separator/>
      </w:r>
    </w:p>
  </w:endnote>
  <w:endnote w:type="continuationSeparator" w:id="0">
    <w:p w14:paraId="79F099AB" w14:textId="77777777" w:rsidR="00425710" w:rsidRDefault="00425710">
      <w:r>
        <w:continuationSeparator/>
      </w:r>
    </w:p>
  </w:endnote>
  <w:endnote w:type="continuationNotice" w:id="1">
    <w:p w14:paraId="3B1D331F" w14:textId="77777777" w:rsidR="00425710"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7CE2C363-7D4E-48A7-AD18-94A6FFBD6B10}"/>
    <w:embedBold r:id="rId2" w:fontKey="{DF610C9A-229F-44B1-9DE1-1E8B8816E310}"/>
    <w:embedItalic r:id="rId3" w:fontKey="{AB596B84-FE59-41C4-822B-682E34920736}"/>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1DF7FB53-3099-481D-B752-07D9E8F618A0}"/>
  </w:font>
  <w:font w:name="Georgia">
    <w:panose1 w:val="02040502050405020303"/>
    <w:charset w:val="00"/>
    <w:family w:val="roman"/>
    <w:pitch w:val="variable"/>
    <w:sig w:usb0="00000287" w:usb1="00000000" w:usb2="00000000" w:usb3="00000000" w:csb0="0000009F" w:csb1="00000000"/>
    <w:embedRegular r:id="rId5" w:fontKey="{88D2D4FE-6F59-4412-AEE3-D011EAD62C45}"/>
    <w:embedItalic r:id="rId6" w:fontKey="{3C5F9D1A-A544-4CA3-B1A3-41AFFACB1481}"/>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A9A5B98E-C41B-4AB3-9FA3-42E0F5685E52}"/>
    <w:embedItalic r:id="rId8" w:fontKey="{16D41D9E-2EE3-438A-8849-D9932407EE80}"/>
  </w:font>
  <w:font w:name="Calibri">
    <w:panose1 w:val="020F0502020204030204"/>
    <w:charset w:val="00"/>
    <w:family w:val="swiss"/>
    <w:pitch w:val="variable"/>
    <w:sig w:usb0="E4002EFF" w:usb1="C200247B" w:usb2="00000009" w:usb3="00000000" w:csb0="000001FF" w:csb1="00000000"/>
    <w:embedRegular r:id="rId9" w:fontKey="{A625749B-BD22-4154-B1BE-FE80599EAE85}"/>
  </w:font>
  <w:font w:name="Times">
    <w:panose1 w:val="02020603050405020304"/>
    <w:charset w:val="00"/>
    <w:family w:val="roman"/>
    <w:pitch w:val="variable"/>
    <w:sig w:usb0="E0002EFF" w:usb1="C000785B" w:usb2="00000009" w:usb3="00000000" w:csb0="000001FF" w:csb1="00000000"/>
    <w:embedBold r:id="rId10" w:fontKey="{820FBEA2-9E21-4335-86DC-3F16FE2D0317}"/>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1" w:fontKey="{C540BEC3-2A14-4CB8-982B-20984357FA15}"/>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795506AD" w14:textId="77777777">
      <w:trPr>
        <w:trHeight w:val="300"/>
      </w:trPr>
      <w:tc>
        <w:tcPr>
          <w:tcW w:w="3120" w:type="dxa"/>
          <w:tcMar>
            <w:top w:w="0" w:type="dxa"/>
            <w:left w:w="108" w:type="dxa"/>
            <w:bottom w:w="0" w:type="dxa"/>
            <w:right w:w="108" w:type="dxa"/>
          </w:tcMar>
        </w:tcPr>
        <w:p w14:paraId="795506AA"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C" w14:textId="77777777" w:rsidR="00FF2214" w:rsidRDefault="00FF2214">
          <w:pPr>
            <w:tabs>
              <w:tab w:val="center" w:pos="4320"/>
              <w:tab w:val="right" w:pos="8640"/>
            </w:tabs>
            <w:ind w:right="-115"/>
            <w:jc w:val="right"/>
            <w:rPr>
              <w:color w:val="000000"/>
            </w:rPr>
          </w:pPr>
        </w:p>
      </w:tc>
    </w:tr>
  </w:tbl>
  <w:p w14:paraId="795506AE"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F"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795506B3" w14:textId="77777777">
      <w:trPr>
        <w:trHeight w:val="300"/>
      </w:trPr>
      <w:tc>
        <w:tcPr>
          <w:tcW w:w="3120" w:type="dxa"/>
          <w:tcMar>
            <w:top w:w="0" w:type="dxa"/>
            <w:left w:w="108" w:type="dxa"/>
            <w:bottom w:w="0" w:type="dxa"/>
            <w:right w:w="108" w:type="dxa"/>
          </w:tcMar>
        </w:tcPr>
        <w:p w14:paraId="795506B0"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B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B2" w14:textId="77777777" w:rsidR="00FF2214" w:rsidRDefault="00FF2214">
          <w:pPr>
            <w:tabs>
              <w:tab w:val="center" w:pos="4320"/>
              <w:tab w:val="right" w:pos="8640"/>
            </w:tabs>
            <w:ind w:right="-115"/>
            <w:jc w:val="right"/>
            <w:rPr>
              <w:color w:val="000000"/>
            </w:rPr>
          </w:pPr>
        </w:p>
      </w:tc>
    </w:tr>
  </w:tbl>
  <w:p w14:paraId="795506B4"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Default="00425710">
      <w:r>
        <w:separator/>
      </w:r>
    </w:p>
  </w:footnote>
  <w:footnote w:type="continuationSeparator" w:id="0">
    <w:p w14:paraId="167421D6" w14:textId="77777777" w:rsidR="00425710" w:rsidRDefault="00425710">
      <w:r>
        <w:continuationSeparator/>
      </w:r>
    </w:p>
  </w:footnote>
  <w:footnote w:type="continuationNotice" w:id="1">
    <w:p w14:paraId="1AD15F26" w14:textId="77777777" w:rsidR="00425710" w:rsidRDefault="00425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056FF05F" w:rsidR="00FF2214" w:rsidRDefault="00850770">
    <w:pPr>
      <w:tabs>
        <w:tab w:val="center" w:pos="4320"/>
        <w:tab w:val="right" w:pos="8640"/>
      </w:tabs>
      <w:jc w:val="right"/>
      <w:rPr>
        <w:color w:val="000000"/>
      </w:rPr>
    </w:pPr>
    <w:r>
      <w:rPr>
        <w:color w:val="000000"/>
      </w:rPr>
      <w:t>A-0</w:t>
    </w:r>
    <w:r w:rsidR="00465256">
      <w:rPr>
        <w:color w:val="000000"/>
      </w:rPr>
      <w:t>2</w:t>
    </w:r>
    <w:r w:rsidR="009A201B">
      <w:rPr>
        <w:color w:val="000000"/>
      </w:rPr>
      <w:t>6</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051407">
    <w:abstractNumId w:val="7"/>
  </w:num>
  <w:num w:numId="2" w16cid:durableId="1011832284">
    <w:abstractNumId w:val="3"/>
  </w:num>
  <w:num w:numId="3" w16cid:durableId="1943102285">
    <w:abstractNumId w:val="12"/>
  </w:num>
  <w:num w:numId="4" w16cid:durableId="1106316835">
    <w:abstractNumId w:val="10"/>
  </w:num>
  <w:num w:numId="5" w16cid:durableId="455106598">
    <w:abstractNumId w:val="9"/>
  </w:num>
  <w:num w:numId="6" w16cid:durableId="175340939">
    <w:abstractNumId w:val="1"/>
  </w:num>
  <w:num w:numId="7" w16cid:durableId="1854225982">
    <w:abstractNumId w:val="11"/>
  </w:num>
  <w:num w:numId="8" w16cid:durableId="1919754197">
    <w:abstractNumId w:val="0"/>
  </w:num>
  <w:num w:numId="9" w16cid:durableId="365562201">
    <w:abstractNumId w:val="2"/>
  </w:num>
  <w:num w:numId="10" w16cid:durableId="1904826230">
    <w:abstractNumId w:val="4"/>
  </w:num>
  <w:num w:numId="11" w16cid:durableId="118687224">
    <w:abstractNumId w:val="5"/>
  </w:num>
  <w:num w:numId="12" w16cid:durableId="508376565">
    <w:abstractNumId w:val="8"/>
  </w:num>
  <w:num w:numId="13" w16cid:durableId="2168192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6D71"/>
    <w:rsid w:val="00057EF4"/>
    <w:rsid w:val="0007036F"/>
    <w:rsid w:val="0008657D"/>
    <w:rsid w:val="00091F49"/>
    <w:rsid w:val="00093558"/>
    <w:rsid w:val="00094484"/>
    <w:rsid w:val="0009603C"/>
    <w:rsid w:val="000A1DC3"/>
    <w:rsid w:val="000A33B9"/>
    <w:rsid w:val="000B33EC"/>
    <w:rsid w:val="000B757B"/>
    <w:rsid w:val="000C0F6A"/>
    <w:rsid w:val="000C5223"/>
    <w:rsid w:val="000C58FF"/>
    <w:rsid w:val="000C68E5"/>
    <w:rsid w:val="000D2EB5"/>
    <w:rsid w:val="000D30A4"/>
    <w:rsid w:val="000E515E"/>
    <w:rsid w:val="000E6633"/>
    <w:rsid w:val="000F222B"/>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38BE"/>
    <w:rsid w:val="00230215"/>
    <w:rsid w:val="002304C5"/>
    <w:rsid w:val="002318F0"/>
    <w:rsid w:val="00231C2C"/>
    <w:rsid w:val="0023393F"/>
    <w:rsid w:val="002429DB"/>
    <w:rsid w:val="002435A4"/>
    <w:rsid w:val="00251AFB"/>
    <w:rsid w:val="00252646"/>
    <w:rsid w:val="00254DCC"/>
    <w:rsid w:val="002600AE"/>
    <w:rsid w:val="00260FC0"/>
    <w:rsid w:val="002646F8"/>
    <w:rsid w:val="00266688"/>
    <w:rsid w:val="00273031"/>
    <w:rsid w:val="00285A15"/>
    <w:rsid w:val="0028794F"/>
    <w:rsid w:val="00291A4F"/>
    <w:rsid w:val="002A0542"/>
    <w:rsid w:val="002A1D65"/>
    <w:rsid w:val="002A23EE"/>
    <w:rsid w:val="002A4F4F"/>
    <w:rsid w:val="002B2FBB"/>
    <w:rsid w:val="002B5618"/>
    <w:rsid w:val="002B62EE"/>
    <w:rsid w:val="002B7906"/>
    <w:rsid w:val="002C1726"/>
    <w:rsid w:val="002D6159"/>
    <w:rsid w:val="002F21CF"/>
    <w:rsid w:val="002F48BA"/>
    <w:rsid w:val="002F5B16"/>
    <w:rsid w:val="00302F90"/>
    <w:rsid w:val="0030308D"/>
    <w:rsid w:val="00310FDD"/>
    <w:rsid w:val="0031323F"/>
    <w:rsid w:val="00313C97"/>
    <w:rsid w:val="00314E6B"/>
    <w:rsid w:val="00321AB7"/>
    <w:rsid w:val="0032794E"/>
    <w:rsid w:val="00332E7A"/>
    <w:rsid w:val="0033747E"/>
    <w:rsid w:val="00342132"/>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2AB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77A"/>
    <w:rsid w:val="00571AF8"/>
    <w:rsid w:val="00573345"/>
    <w:rsid w:val="0057336F"/>
    <w:rsid w:val="00573C36"/>
    <w:rsid w:val="0057614A"/>
    <w:rsid w:val="00576725"/>
    <w:rsid w:val="00580739"/>
    <w:rsid w:val="00591957"/>
    <w:rsid w:val="005A3527"/>
    <w:rsid w:val="005B3512"/>
    <w:rsid w:val="005B3BBD"/>
    <w:rsid w:val="005C3826"/>
    <w:rsid w:val="005C3AFC"/>
    <w:rsid w:val="005C7524"/>
    <w:rsid w:val="005D3EB3"/>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C7157"/>
    <w:rsid w:val="007D76E0"/>
    <w:rsid w:val="007E368D"/>
    <w:rsid w:val="00804D98"/>
    <w:rsid w:val="00805B64"/>
    <w:rsid w:val="00807CED"/>
    <w:rsid w:val="00812840"/>
    <w:rsid w:val="008316F2"/>
    <w:rsid w:val="00831773"/>
    <w:rsid w:val="008337A4"/>
    <w:rsid w:val="00834801"/>
    <w:rsid w:val="00836710"/>
    <w:rsid w:val="008402C1"/>
    <w:rsid w:val="008450D8"/>
    <w:rsid w:val="00850770"/>
    <w:rsid w:val="008574AE"/>
    <w:rsid w:val="008670BC"/>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744C"/>
    <w:rsid w:val="00942E06"/>
    <w:rsid w:val="00950505"/>
    <w:rsid w:val="00950A46"/>
    <w:rsid w:val="00952875"/>
    <w:rsid w:val="00954675"/>
    <w:rsid w:val="00962C3E"/>
    <w:rsid w:val="00963E17"/>
    <w:rsid w:val="00965195"/>
    <w:rsid w:val="00970540"/>
    <w:rsid w:val="009833D3"/>
    <w:rsid w:val="009927E5"/>
    <w:rsid w:val="009A0ED5"/>
    <w:rsid w:val="009A201B"/>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1686"/>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7F92"/>
    <w:rsid w:val="00B60014"/>
    <w:rsid w:val="00B70B63"/>
    <w:rsid w:val="00B72A6A"/>
    <w:rsid w:val="00B74EC0"/>
    <w:rsid w:val="00B81E44"/>
    <w:rsid w:val="00B84666"/>
    <w:rsid w:val="00B84B1D"/>
    <w:rsid w:val="00B87A1C"/>
    <w:rsid w:val="00B87D3C"/>
    <w:rsid w:val="00B950B6"/>
    <w:rsid w:val="00BA70CD"/>
    <w:rsid w:val="00BB3314"/>
    <w:rsid w:val="00BB3C4F"/>
    <w:rsid w:val="00BB48CC"/>
    <w:rsid w:val="00BB4F4D"/>
    <w:rsid w:val="00BC1AD6"/>
    <w:rsid w:val="00BD11DE"/>
    <w:rsid w:val="00BD4F99"/>
    <w:rsid w:val="00BE4BBF"/>
    <w:rsid w:val="00BE55AC"/>
    <w:rsid w:val="00BE7D02"/>
    <w:rsid w:val="00BF5A14"/>
    <w:rsid w:val="00BF5DE6"/>
    <w:rsid w:val="00C004A4"/>
    <w:rsid w:val="00C05E49"/>
    <w:rsid w:val="00C05E9D"/>
    <w:rsid w:val="00C13DC9"/>
    <w:rsid w:val="00C32AB8"/>
    <w:rsid w:val="00C32AF1"/>
    <w:rsid w:val="00C33CEB"/>
    <w:rsid w:val="00C361CD"/>
    <w:rsid w:val="00C57448"/>
    <w:rsid w:val="00C635EB"/>
    <w:rsid w:val="00C71782"/>
    <w:rsid w:val="00C8076C"/>
    <w:rsid w:val="00C87975"/>
    <w:rsid w:val="00C90DA0"/>
    <w:rsid w:val="00C93262"/>
    <w:rsid w:val="00C97C1A"/>
    <w:rsid w:val="00CA38D8"/>
    <w:rsid w:val="00CA3F74"/>
    <w:rsid w:val="00CA5BDF"/>
    <w:rsid w:val="00CB2AE9"/>
    <w:rsid w:val="00CB33E3"/>
    <w:rsid w:val="00CB6810"/>
    <w:rsid w:val="00CC12B7"/>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50765"/>
    <w:rsid w:val="00D50CD3"/>
    <w:rsid w:val="00D84992"/>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3A92"/>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6B71"/>
    <w:rsid w:val="00F245C1"/>
    <w:rsid w:val="00F27415"/>
    <w:rsid w:val="00F321D8"/>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1349</Words>
  <Characters>7691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4</cp:revision>
  <cp:lastPrinted>2025-01-22T19:05:00Z</cp:lastPrinted>
  <dcterms:created xsi:type="dcterms:W3CDTF">2025-03-28T18:29:00Z</dcterms:created>
  <dcterms:modified xsi:type="dcterms:W3CDTF">2025-03-31T13:39:00Z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