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081FE3" w:rsidRDefault="00850770">
      <w:pPr>
        <w:jc w:val="center"/>
        <w:rPr>
          <w:rFonts w:ascii="Book Antiqua" w:eastAsia="Book Antiqua" w:hAnsi="Book Antiqua" w:cs="Book Antiqua"/>
          <w:bCs/>
          <w:color w:val="000000" w:themeColor="text1"/>
          <w:sz w:val="28"/>
          <w:szCs w:val="28"/>
          <w:lang w:val="es-PR"/>
        </w:rPr>
      </w:pPr>
      <w:r w:rsidRPr="00081FE3">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081FE3">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66A43E24"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A421B7">
        <w:rPr>
          <w:rFonts w:ascii="Book Antiqua" w:hAnsi="Book Antiqua"/>
          <w:b/>
          <w:color w:val="000000" w:themeColor="text1"/>
          <w:sz w:val="52"/>
          <w:szCs w:val="52"/>
          <w:lang w:val="es-PR"/>
        </w:rPr>
        <w:t xml:space="preserve"> 462</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7668FD02" w:rsidR="00950505" w:rsidRPr="00930E48" w:rsidRDefault="00081FE3"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28 </w:t>
      </w:r>
      <w:r w:rsidRPr="00930E48">
        <w:rPr>
          <w:rFonts w:ascii="Book Antiqua" w:hAnsi="Book Antiqua"/>
          <w:color w:val="000000" w:themeColor="text1"/>
          <w:lang w:val="es-PR"/>
        </w:rPr>
        <w:t>DE MARZO DE 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08B90729" w:rsidR="00950505" w:rsidRPr="00B00227" w:rsidRDefault="00950505" w:rsidP="00081FE3">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Franqui Atiles;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González;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p w14:paraId="18A0DB58" w14:textId="77777777" w:rsidR="00950505" w:rsidRPr="00930E48" w:rsidRDefault="00950505" w:rsidP="00081FE3">
      <w:pPr>
        <w:jc w:val="center"/>
        <w:rPr>
          <w:rFonts w:ascii="Book Antiqua" w:hAnsi="Book Antiqua"/>
          <w:color w:val="000000" w:themeColor="text1"/>
          <w:lang w:val="es-PR"/>
        </w:rPr>
      </w:pPr>
    </w:p>
    <w:p w14:paraId="6E0B8939" w14:textId="100E24EE" w:rsidR="00950505" w:rsidRPr="00930E48" w:rsidRDefault="00950505" w:rsidP="00081FE3">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9437AA">
        <w:rPr>
          <w:rFonts w:ascii="Book Antiqua" w:hAnsi="Book Antiqua"/>
          <w:color w:val="000000" w:themeColor="text1"/>
          <w:lang w:val="es-PR"/>
        </w:rPr>
        <w:t xml:space="preserve"> la Comisión de Gobierno</w:t>
      </w:r>
    </w:p>
    <w:p w14:paraId="4B9C3823" w14:textId="77777777" w:rsidR="00950505" w:rsidRPr="00930E48" w:rsidRDefault="00950505" w:rsidP="00081FE3">
      <w:pPr>
        <w:jc w:val="both"/>
        <w:rPr>
          <w:rFonts w:ascii="Book Antiqua" w:hAnsi="Book Antiqua"/>
          <w:color w:val="000000" w:themeColor="text1"/>
          <w:lang w:val="es-PR"/>
        </w:rPr>
      </w:pPr>
    </w:p>
    <w:p w14:paraId="43228070" w14:textId="77777777" w:rsidR="00950505" w:rsidRPr="00930E48" w:rsidRDefault="00950505" w:rsidP="00081FE3">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rsidP="00081FE3">
      <w:pPr>
        <w:jc w:val="both"/>
        <w:rPr>
          <w:rFonts w:ascii="Book Antiqua" w:eastAsia="Book Antiqua" w:hAnsi="Book Antiqua" w:cs="Book Antiqua"/>
          <w:color w:val="000000" w:themeColor="text1"/>
          <w:lang w:val="es-PR"/>
        </w:rPr>
      </w:pPr>
    </w:p>
    <w:p w14:paraId="0F01397A" w14:textId="77777777" w:rsidR="00191362" w:rsidRPr="002F48BA" w:rsidRDefault="00850770" w:rsidP="00081FE3">
      <w:pPr>
        <w:ind w:left="540" w:hanging="540"/>
        <w:jc w:val="both"/>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191362">
        <w:rPr>
          <w:rFonts w:ascii="Book Antiqua" w:eastAsia="Book Antiqua" w:hAnsi="Book Antiqua" w:cs="Book Antiqua"/>
          <w:color w:val="000000" w:themeColor="text1"/>
          <w:lang w:val="es-PR"/>
        </w:rPr>
        <w:t xml:space="preserve">enmendar los Artículos 2 y 3  de </w:t>
      </w:r>
      <w:r w:rsidR="00191362" w:rsidRPr="00E45E9B">
        <w:rPr>
          <w:rFonts w:ascii="Book Antiqua" w:eastAsia="Book Antiqua" w:hAnsi="Book Antiqua" w:cs="Book Antiqua"/>
          <w:color w:val="000000" w:themeColor="text1"/>
          <w:lang w:val="es-PR"/>
        </w:rPr>
        <w:t xml:space="preserve">la </w:t>
      </w:r>
      <w:r w:rsidR="00191362" w:rsidRPr="00740348">
        <w:rPr>
          <w:rFonts w:ascii="Book Antiqua" w:eastAsia="Book Antiqua" w:hAnsi="Book Antiqua" w:cs="Book Antiqua"/>
          <w:color w:val="000000" w:themeColor="text1"/>
          <w:lang w:val="es-PR"/>
        </w:rPr>
        <w:t>Ley 44 de 21 de junio de 1988, según enmendada, conocida como “Ley de la Autoridad para el Financiamiento de la Infraestructura de Puerto Rico”</w:t>
      </w:r>
      <w:r w:rsidR="00191362">
        <w:rPr>
          <w:rFonts w:ascii="Book Antiqua" w:eastAsia="Book Antiqua" w:hAnsi="Book Antiqua" w:cs="Book Antiqua"/>
          <w:color w:val="000000" w:themeColor="text1"/>
          <w:lang w:val="es-PR"/>
        </w:rPr>
        <w:t xml:space="preserve">, </w:t>
      </w:r>
      <w:r w:rsidR="00191362" w:rsidRPr="00502B14">
        <w:rPr>
          <w:rFonts w:ascii="Book Antiqua" w:eastAsia="Book Antiqua" w:hAnsi="Book Antiqua" w:cs="Book Antiqua"/>
          <w:color w:val="000000" w:themeColor="text1"/>
          <w:lang w:val="es-PR"/>
        </w:rPr>
        <w:t xml:space="preserve">a los fines </w:t>
      </w:r>
      <w:r w:rsidR="00191362" w:rsidRPr="00B60014">
        <w:rPr>
          <w:rFonts w:ascii="Book Antiqua" w:eastAsia="Book Antiqua" w:hAnsi="Book Antiqua" w:cs="Book Antiqua"/>
          <w:color w:val="000000" w:themeColor="text1"/>
          <w:lang w:val="es-PR"/>
        </w:rPr>
        <w:t>de</w:t>
      </w:r>
      <w:r w:rsidR="00191362" w:rsidRPr="00C715AF">
        <w:rPr>
          <w:lang w:val="es-PR"/>
        </w:rPr>
        <w:t xml:space="preserve"> </w:t>
      </w:r>
      <w:r w:rsidR="00191362" w:rsidRPr="00C715AF">
        <w:rPr>
          <w:rFonts w:ascii="Book Antiqua" w:eastAsia="Book Antiqua" w:hAnsi="Book Antiqua" w:cs="Book Antiqua"/>
          <w:color w:val="000000" w:themeColor="text1"/>
          <w:lang w:val="es-PR"/>
        </w:rPr>
        <w:t>ampliar su acceso a fondos, otorgarle mayor autonomía administrativa y agilizar la ejecución de proyectos de infraestructura crítica</w:t>
      </w:r>
      <w:r w:rsidR="00191362" w:rsidRPr="0091725F">
        <w:rPr>
          <w:rFonts w:ascii="Book Antiqua" w:eastAsia="Book Antiqua" w:hAnsi="Book Antiqua" w:cs="Book Antiqua"/>
          <w:color w:val="000000" w:themeColor="text1"/>
          <w:lang w:val="es-PR"/>
        </w:rPr>
        <w:t>;</w:t>
      </w:r>
      <w:r w:rsidR="00191362">
        <w:rPr>
          <w:rFonts w:ascii="Book Antiqua" w:eastAsia="Book Antiqua" w:hAnsi="Book Antiqua" w:cs="Book Antiqua"/>
          <w:color w:val="000000" w:themeColor="text1"/>
          <w:lang w:val="es-PR"/>
        </w:rPr>
        <w:t xml:space="preserve"> excluir a la </w:t>
      </w:r>
      <w:r w:rsidR="00191362" w:rsidRPr="003A416C">
        <w:rPr>
          <w:rFonts w:ascii="Book Antiqua" w:eastAsia="Book Antiqua" w:hAnsi="Book Antiqua" w:cs="Book Antiqua"/>
          <w:color w:val="000000" w:themeColor="text1"/>
          <w:lang w:val="es-PR"/>
        </w:rPr>
        <w:t xml:space="preserve"> Autoridad para el Financiamiento de la Infraestructura de </w:t>
      </w:r>
      <w:r w:rsidR="00191362">
        <w:rPr>
          <w:rFonts w:ascii="Book Antiqua" w:eastAsia="Book Antiqua" w:hAnsi="Book Antiqua" w:cs="Book Antiqua"/>
          <w:color w:val="000000" w:themeColor="text1"/>
          <w:lang w:val="es-PR"/>
        </w:rPr>
        <w:t>las disposiciones de la</w:t>
      </w:r>
      <w:r w:rsidR="00191362" w:rsidRPr="003A416C">
        <w:rPr>
          <w:rFonts w:ascii="Book Antiqua" w:eastAsia="Book Antiqua" w:hAnsi="Book Antiqua" w:cs="Book Antiqua"/>
          <w:color w:val="000000" w:themeColor="text1"/>
          <w:lang w:val="es-PR"/>
        </w:rPr>
        <w:t xml:space="preserve"> </w:t>
      </w:r>
      <w:r w:rsidR="00191362" w:rsidRPr="00DB3AF0">
        <w:rPr>
          <w:rFonts w:ascii="Book Antiqua" w:eastAsia="Book Antiqua" w:hAnsi="Book Antiqua" w:cs="Book Antiqua"/>
          <w:color w:val="000000" w:themeColor="text1"/>
          <w:lang w:val="es-PR"/>
        </w:rPr>
        <w:t xml:space="preserve">Ley 73-2019, según enmendada, conocida como </w:t>
      </w:r>
      <w:r w:rsidR="00191362">
        <w:rPr>
          <w:rFonts w:ascii="Book Antiqua" w:eastAsia="Book Antiqua" w:hAnsi="Book Antiqua" w:cs="Book Antiqua"/>
          <w:color w:val="000000" w:themeColor="text1"/>
          <w:lang w:val="es-PR"/>
        </w:rPr>
        <w:t>Ley de la Administración de Servicios Generales para la Centralización de las Compras del Gobierno de Puerto Rico de 2019,</w:t>
      </w:r>
      <w:r w:rsidR="00191362" w:rsidRPr="003A416C">
        <w:rPr>
          <w:rFonts w:ascii="Book Antiqua" w:eastAsia="Book Antiqua" w:hAnsi="Book Antiqua" w:cs="Book Antiqua"/>
          <w:color w:val="000000" w:themeColor="text1"/>
          <w:lang w:val="es-PR"/>
        </w:rPr>
        <w:t xml:space="preserve"> permitiéndole gestionar sus propios procesos sin interferencias burocráticas</w:t>
      </w:r>
      <w:r w:rsidR="00191362">
        <w:rPr>
          <w:rFonts w:ascii="Book Antiqua" w:eastAsia="Book Antiqua" w:hAnsi="Book Antiqua" w:cs="Book Antiqua"/>
          <w:color w:val="000000" w:themeColor="text1"/>
          <w:lang w:val="es-PR"/>
        </w:rPr>
        <w:t xml:space="preserve">; </w:t>
      </w:r>
      <w:r w:rsidR="00191362" w:rsidRPr="0091725F">
        <w:rPr>
          <w:rFonts w:ascii="Book Antiqua" w:eastAsia="Book Antiqua" w:hAnsi="Book Antiqua" w:cs="Book Antiqua"/>
          <w:color w:val="000000" w:themeColor="text1"/>
          <w:lang w:val="es-PR"/>
        </w:rPr>
        <w:t>y para otros fines relacionados</w:t>
      </w:r>
      <w:r w:rsidR="00191362">
        <w:rPr>
          <w:rFonts w:ascii="Book Antiqua" w:eastAsia="Book Antiqua" w:hAnsi="Book Antiqua" w:cs="Book Antiqua"/>
          <w:color w:val="000000" w:themeColor="text1"/>
          <w:lang w:val="es-PR"/>
        </w:rPr>
        <w:t xml:space="preserve">. </w:t>
      </w:r>
    </w:p>
    <w:p w14:paraId="0C97053E" w14:textId="3D06B72A" w:rsidR="00465256" w:rsidRPr="00930E48" w:rsidRDefault="00465256" w:rsidP="00081FE3">
      <w:pPr>
        <w:ind w:left="540" w:hanging="540"/>
        <w:jc w:val="both"/>
        <w:rPr>
          <w:rFonts w:ascii="Book Antiqua" w:eastAsia="Aptos" w:hAnsi="Book Antiqua"/>
          <w:color w:val="000000" w:themeColor="text1"/>
          <w:kern w:val="2"/>
          <w:lang w:val="es-PR"/>
          <w14:ligatures w14:val="standardContextual"/>
        </w:rPr>
      </w:pPr>
    </w:p>
    <w:p w14:paraId="63AE53B1" w14:textId="3B22399B" w:rsidR="00010836" w:rsidRPr="00930E48" w:rsidRDefault="00850770" w:rsidP="00081FE3">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09D76C60" w14:textId="77777777" w:rsidR="00191362" w:rsidRDefault="00191362" w:rsidP="00081FE3">
      <w:pPr>
        <w:jc w:val="both"/>
        <w:rPr>
          <w:rFonts w:ascii="Book Antiqua" w:eastAsia="Book Antiqua" w:hAnsi="Book Antiqua" w:cs="Book Antiqua"/>
          <w:bCs/>
          <w:color w:val="000000" w:themeColor="text1"/>
          <w:lang w:val="es-PR"/>
        </w:rPr>
      </w:pPr>
    </w:p>
    <w:p w14:paraId="071C3A9D" w14:textId="54D4FC14" w:rsidR="00191362" w:rsidRPr="001E2460" w:rsidRDefault="00191362" w:rsidP="00081FE3">
      <w:pPr>
        <w:jc w:val="both"/>
        <w:rPr>
          <w:rFonts w:ascii="Book Antiqua" w:eastAsia="Book Antiqua" w:hAnsi="Book Antiqua" w:cs="Book Antiqua"/>
          <w:color w:val="000000" w:themeColor="text1"/>
          <w:lang w:val="es-PR"/>
        </w:rPr>
      </w:pPr>
      <w:r w:rsidRPr="001E2460">
        <w:rPr>
          <w:rFonts w:ascii="Book Antiqua" w:eastAsia="Book Antiqua" w:hAnsi="Book Antiqua" w:cs="Book Antiqua"/>
          <w:color w:val="000000" w:themeColor="text1"/>
          <w:lang w:val="es-PR"/>
        </w:rPr>
        <w:t>La Autoridad para el Financiamiento de la Infraestructura</w:t>
      </w:r>
      <w:r>
        <w:rPr>
          <w:rFonts w:ascii="Book Antiqua" w:eastAsia="Book Antiqua" w:hAnsi="Book Antiqua" w:cs="Book Antiqua"/>
          <w:color w:val="000000" w:themeColor="text1"/>
          <w:lang w:val="es-PR"/>
        </w:rPr>
        <w:t xml:space="preserve"> </w:t>
      </w:r>
      <w:r w:rsidRPr="001E2460">
        <w:rPr>
          <w:rFonts w:ascii="Book Antiqua" w:eastAsia="Book Antiqua" w:hAnsi="Book Antiqua" w:cs="Book Antiqua"/>
          <w:color w:val="000000" w:themeColor="text1"/>
          <w:lang w:val="es-PR"/>
        </w:rPr>
        <w:t xml:space="preserve">(AFI) es una corporación pública del Gobierno de Puerto Rico creada bajo la </w:t>
      </w:r>
      <w:r w:rsidRPr="00740348">
        <w:rPr>
          <w:rFonts w:ascii="Book Antiqua" w:eastAsia="Book Antiqua" w:hAnsi="Book Antiqua" w:cs="Book Antiqua"/>
          <w:color w:val="000000" w:themeColor="text1"/>
          <w:lang w:val="es-PR"/>
        </w:rPr>
        <w:t xml:space="preserve">Ley 44 de 21 de junio de 1988, según enmendada, conocida como </w:t>
      </w:r>
      <w:r w:rsidRPr="003C5396">
        <w:rPr>
          <w:rFonts w:ascii="Book Antiqua" w:eastAsia="Book Antiqua" w:hAnsi="Book Antiqua" w:cs="Book Antiqua"/>
          <w:smallCaps/>
          <w:color w:val="000000" w:themeColor="text1"/>
          <w:lang w:val="es-PR"/>
        </w:rPr>
        <w:t xml:space="preserve">Ley de Autoridad para el Financiamiento de la </w:t>
      </w:r>
      <w:r w:rsidRPr="003C5396">
        <w:rPr>
          <w:rFonts w:ascii="Book Antiqua" w:eastAsia="Book Antiqua" w:hAnsi="Book Antiqua" w:cs="Book Antiqua"/>
          <w:smallCaps/>
          <w:color w:val="000000" w:themeColor="text1"/>
          <w:lang w:val="es-PR"/>
        </w:rPr>
        <w:lastRenderedPageBreak/>
        <w:t>Infraestructura de Puerto Rico</w:t>
      </w:r>
      <w:r w:rsidRPr="001E2460">
        <w:rPr>
          <w:rFonts w:ascii="Book Antiqua" w:eastAsia="Book Antiqua" w:hAnsi="Book Antiqua" w:cs="Book Antiqua"/>
          <w:color w:val="000000" w:themeColor="text1"/>
          <w:lang w:val="es-PR"/>
        </w:rPr>
        <w:t xml:space="preserve">. </w:t>
      </w:r>
      <w:r w:rsidRPr="000C4834">
        <w:rPr>
          <w:rFonts w:ascii="Book Antiqua" w:eastAsia="Book Antiqua" w:hAnsi="Book Antiqua" w:cs="Book Antiqua"/>
          <w:color w:val="000000" w:themeColor="text1"/>
          <w:lang w:val="es-PR"/>
        </w:rPr>
        <w:t>Su propósito principal es brindar asistencia técnica, administrativa, legal y financiera a agencias, municipios, corporaciones públicas y demás instrumentalidades del Gobierno de Puerto Rico, con el objetivo de desarrollar, mantener y mejorar la infraestructura de la Isla. Además, la AFI actúa como agente operador del Fondo Rotatorio de Agua Limpia y del Fondo Rotatorio Estatal de Agua Potable, bajo regulaciones federales administradas por la Agencia de Protección Ambiental de los Estados Unidos (EPA). Estos programas buscan garantizar la salud y la seguridad ambiental en Puerto Rico, asegurando el acceso a servicios esenciales de agua potable y saneamiento</w:t>
      </w:r>
      <w:r w:rsidRPr="001E2460">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 xml:space="preserve"> </w:t>
      </w:r>
    </w:p>
    <w:p w14:paraId="3C744DAF" w14:textId="77777777" w:rsidR="00191362" w:rsidRDefault="00191362" w:rsidP="00081FE3">
      <w:pPr>
        <w:jc w:val="both"/>
        <w:rPr>
          <w:rFonts w:ascii="Book Antiqua" w:eastAsia="Book Antiqua" w:hAnsi="Book Antiqua" w:cs="Book Antiqua"/>
          <w:color w:val="000000" w:themeColor="text1"/>
          <w:lang w:val="es-PR"/>
        </w:rPr>
      </w:pPr>
    </w:p>
    <w:p w14:paraId="61015161" w14:textId="26FFBFF8" w:rsidR="00191362" w:rsidRDefault="00191362" w:rsidP="00081FE3">
      <w:pPr>
        <w:jc w:val="both"/>
        <w:rPr>
          <w:rFonts w:ascii="Book Antiqua" w:eastAsia="Book Antiqua" w:hAnsi="Book Antiqua" w:cs="Book Antiqua"/>
          <w:color w:val="000000" w:themeColor="text1"/>
          <w:lang w:val="es-PR"/>
        </w:rPr>
      </w:pPr>
      <w:r w:rsidRPr="001E2460">
        <w:rPr>
          <w:rFonts w:ascii="Book Antiqua" w:eastAsia="Book Antiqua" w:hAnsi="Book Antiqua" w:cs="Book Antiqua"/>
          <w:color w:val="000000" w:themeColor="text1"/>
          <w:lang w:val="es-PR"/>
        </w:rPr>
        <w:t>Al presente, el Gobierno de Puerto Rico está obligado a cumplir con dos</w:t>
      </w:r>
      <w:r>
        <w:rPr>
          <w:rFonts w:ascii="Book Antiqua" w:eastAsia="Book Antiqua" w:hAnsi="Book Antiqua" w:cs="Book Antiqua"/>
          <w:color w:val="000000" w:themeColor="text1"/>
          <w:lang w:val="es-PR"/>
        </w:rPr>
        <w:t xml:space="preserve"> (2) </w:t>
      </w:r>
      <w:r w:rsidRPr="001E2460">
        <w:rPr>
          <w:rFonts w:ascii="Book Antiqua" w:eastAsia="Book Antiqua" w:hAnsi="Book Antiqua" w:cs="Book Antiqua"/>
          <w:color w:val="000000" w:themeColor="text1"/>
          <w:lang w:val="es-PR"/>
        </w:rPr>
        <w:t>decretos por consentimiento bajo la jurisdicción de la EPA y la Corte Federal:</w:t>
      </w:r>
    </w:p>
    <w:p w14:paraId="0A30ABE3" w14:textId="77777777" w:rsidR="00191362" w:rsidRPr="001E2460" w:rsidRDefault="00191362" w:rsidP="00081FE3">
      <w:pPr>
        <w:jc w:val="both"/>
        <w:rPr>
          <w:rFonts w:ascii="Book Antiqua" w:eastAsia="Book Antiqua" w:hAnsi="Book Antiqua" w:cs="Book Antiqua"/>
          <w:color w:val="000000" w:themeColor="text1"/>
          <w:lang w:val="es-PR"/>
        </w:rPr>
      </w:pPr>
    </w:p>
    <w:p w14:paraId="0A9BE6DC" w14:textId="77777777" w:rsidR="00191362" w:rsidRDefault="00191362" w:rsidP="00081FE3">
      <w:pPr>
        <w:pStyle w:val="ListParagraph"/>
        <w:numPr>
          <w:ilvl w:val="0"/>
          <w:numId w:val="14"/>
        </w:numPr>
        <w:jc w:val="both"/>
        <w:rPr>
          <w:rFonts w:ascii="Book Antiqua" w:eastAsia="Book Antiqua" w:hAnsi="Book Antiqua" w:cs="Book Antiqua"/>
          <w:color w:val="000000" w:themeColor="text1"/>
        </w:rPr>
      </w:pPr>
      <w:r w:rsidRPr="001E2460">
        <w:rPr>
          <w:rFonts w:ascii="Book Antiqua" w:eastAsia="Book Antiqua" w:hAnsi="Book Antiqua" w:cs="Book Antiqua"/>
          <w:color w:val="000000" w:themeColor="text1"/>
        </w:rPr>
        <w:t>Civil Action No. 3:15-CV-02283 (</w:t>
      </w:r>
      <w:r w:rsidRPr="0079111D">
        <w:rPr>
          <w:rFonts w:ascii="Book Antiqua" w:eastAsia="Book Antiqua" w:hAnsi="Book Antiqua" w:cs="Book Antiqua"/>
          <w:i/>
          <w:iCs/>
          <w:color w:val="000000" w:themeColor="text1"/>
        </w:rPr>
        <w:t>United States of America vs Puerto Rico Aqueduct and Sewer Authority and the Commonwealth of Puerto Rico</w:t>
      </w:r>
      <w:r w:rsidRPr="001E2460">
        <w:rPr>
          <w:rFonts w:ascii="Book Antiqua" w:eastAsia="Book Antiqua" w:hAnsi="Book Antiqua" w:cs="Book Antiqua"/>
          <w:color w:val="000000" w:themeColor="text1"/>
        </w:rPr>
        <w:t>).</w:t>
      </w:r>
    </w:p>
    <w:p w14:paraId="19F439A0" w14:textId="77777777" w:rsidR="00191362" w:rsidRPr="001E2460" w:rsidRDefault="00191362" w:rsidP="00081FE3">
      <w:pPr>
        <w:pStyle w:val="ListParagraph"/>
        <w:numPr>
          <w:ilvl w:val="0"/>
          <w:numId w:val="14"/>
        </w:numPr>
        <w:jc w:val="both"/>
        <w:rPr>
          <w:rFonts w:ascii="Book Antiqua" w:eastAsia="Book Antiqua" w:hAnsi="Book Antiqua" w:cs="Book Antiqua"/>
          <w:color w:val="000000" w:themeColor="text1"/>
        </w:rPr>
      </w:pPr>
      <w:r w:rsidRPr="001E2460">
        <w:rPr>
          <w:rFonts w:ascii="Book Antiqua" w:eastAsia="Book Antiqua" w:hAnsi="Book Antiqua" w:cs="Book Antiqua"/>
          <w:color w:val="000000" w:themeColor="text1"/>
        </w:rPr>
        <w:t>Civil Action No. 3:14-cv-1476-CCC (</w:t>
      </w:r>
      <w:r w:rsidRPr="0079111D">
        <w:rPr>
          <w:rFonts w:ascii="Book Antiqua" w:eastAsia="Book Antiqua" w:hAnsi="Book Antiqua" w:cs="Book Antiqua"/>
          <w:i/>
          <w:iCs/>
          <w:color w:val="000000" w:themeColor="text1"/>
        </w:rPr>
        <w:t>United States of America vs Department of Natural Resources et al.</w:t>
      </w:r>
      <w:r w:rsidRPr="001E2460">
        <w:rPr>
          <w:rFonts w:ascii="Book Antiqua" w:eastAsia="Book Antiqua" w:hAnsi="Book Antiqua" w:cs="Book Antiqua"/>
          <w:color w:val="000000" w:themeColor="text1"/>
        </w:rPr>
        <w:t>).</w:t>
      </w:r>
    </w:p>
    <w:p w14:paraId="079E85A2" w14:textId="77777777" w:rsidR="00191362" w:rsidRPr="00B02CD9" w:rsidRDefault="00191362" w:rsidP="00081FE3">
      <w:pPr>
        <w:jc w:val="both"/>
        <w:rPr>
          <w:rFonts w:ascii="Book Antiqua" w:eastAsia="Book Antiqua" w:hAnsi="Book Antiqua" w:cs="Book Antiqua"/>
          <w:color w:val="000000" w:themeColor="text1"/>
        </w:rPr>
      </w:pPr>
    </w:p>
    <w:p w14:paraId="49536F57" w14:textId="06C67C63" w:rsidR="00191362" w:rsidRDefault="00191362" w:rsidP="00081FE3">
      <w:pPr>
        <w:jc w:val="both"/>
        <w:rPr>
          <w:rFonts w:ascii="Book Antiqua" w:eastAsia="Book Antiqua" w:hAnsi="Book Antiqua" w:cs="Book Antiqua"/>
          <w:color w:val="000000" w:themeColor="text1"/>
          <w:lang w:val="es-PR"/>
        </w:rPr>
      </w:pPr>
      <w:r w:rsidRPr="00E469E5">
        <w:rPr>
          <w:rFonts w:ascii="Book Antiqua" w:eastAsia="Book Antiqua" w:hAnsi="Book Antiqua" w:cs="Book Antiqua"/>
          <w:color w:val="000000" w:themeColor="text1"/>
          <w:lang w:val="es-PR"/>
        </w:rPr>
        <w:t>Ambos decretos requieren una actuación ágil para atender los señalamientos ambientales. Sin embargo, las limitaciones burocráticas han obstaculizado el adecuado funcionamiento y restringido el marco de ejecución de la AFI. En consecuencia, es fundamental fortalecer su estructura operativa y garantizar su acceso a diversas fuentes de financiamiento estatales y federales, con el propósito de agilizar la ejecución de proyectos de infraestructura. Asimismo, resulta imprescindible dotarla de mayor autonomía administrativa para acelerar la realización de obras esenciales en beneficio del pueblo de Puerto Rico</w:t>
      </w:r>
      <w:r w:rsidRPr="00FC004F">
        <w:rPr>
          <w:rFonts w:ascii="Book Antiqua" w:eastAsia="Book Antiqua" w:hAnsi="Book Antiqua" w:cs="Book Antiqua"/>
          <w:color w:val="000000" w:themeColor="text1"/>
          <w:lang w:val="es-PR"/>
        </w:rPr>
        <w:t>.</w:t>
      </w:r>
    </w:p>
    <w:p w14:paraId="1F9E4443" w14:textId="77777777" w:rsidR="00191362" w:rsidRDefault="00191362" w:rsidP="00081FE3">
      <w:pPr>
        <w:jc w:val="both"/>
        <w:rPr>
          <w:rFonts w:ascii="Book Antiqua" w:eastAsia="Book Antiqua" w:hAnsi="Book Antiqua" w:cs="Book Antiqua"/>
          <w:color w:val="000000" w:themeColor="text1"/>
          <w:lang w:val="es-PR"/>
        </w:rPr>
      </w:pPr>
    </w:p>
    <w:p w14:paraId="20E329A2" w14:textId="5A7A4462" w:rsidR="00191362" w:rsidRDefault="00191362" w:rsidP="00081FE3">
      <w:pPr>
        <w:jc w:val="both"/>
        <w:rPr>
          <w:rFonts w:ascii="Book Antiqua" w:eastAsia="Book Antiqua" w:hAnsi="Book Antiqua" w:cs="Book Antiqua"/>
          <w:color w:val="000000" w:themeColor="text1"/>
          <w:lang w:val="es-PR"/>
        </w:rPr>
      </w:pPr>
      <w:r w:rsidRPr="00D87F8B">
        <w:rPr>
          <w:rFonts w:ascii="Book Antiqua" w:eastAsia="Book Antiqua" w:hAnsi="Book Antiqua" w:cs="Book Antiqua"/>
          <w:color w:val="000000" w:themeColor="text1"/>
          <w:lang w:val="es-PR"/>
        </w:rPr>
        <w:t xml:space="preserve">A pesar de que la Ley 44-1988 autoriza a la AFI a recibir fondos federales en el contexto del Fondo Rotatorio de Agua Limpia y de Agua Potable, su alcance es limitado. Aunque se intentó ampliar esta facultad con la disposición “o cualquier otra legislación o regulación federal similar o relacionada”, la falta de claridad en su redacción ha generado incertidumbre sobre la autoridad de la AFI para participar en otros programas federales administrados por entidades como el Cuerpo de Ingenieros del Ejército de los Estados Unidos (USACE), la Agencia Federal para el Manejo de Emergencias (FEMA) y el Departamento de Educación Federal (USDE), entre otros. Un claro ejemplo de esta limitación se evidenció con los proyectos financiados mediante la Ley de Recuperación y Reinversión de 2009 (ARRA), cuando fue necesario enmendar la Ley 44-1988 para que la AFI pudiera ejecutar dichas iniciativas. Esta falta de flexibilidad legislativa afecta su capacidad de respuesta ante oportunidades de financiamiento y programas de infraestructura críticos para el desarrollo de la Isla. </w:t>
      </w:r>
    </w:p>
    <w:p w14:paraId="77AFB295" w14:textId="77777777" w:rsidR="00191362" w:rsidRDefault="00191362" w:rsidP="00081FE3">
      <w:pPr>
        <w:jc w:val="both"/>
        <w:rPr>
          <w:rFonts w:ascii="Book Antiqua" w:eastAsia="Book Antiqua" w:hAnsi="Book Antiqua" w:cs="Book Antiqua"/>
          <w:color w:val="000000" w:themeColor="text1"/>
          <w:lang w:val="es-PR"/>
        </w:rPr>
      </w:pPr>
    </w:p>
    <w:p w14:paraId="45C0FB33" w14:textId="7B8D52D5" w:rsidR="00191362" w:rsidRPr="00D133D5" w:rsidRDefault="00191362" w:rsidP="00081FE3">
      <w:pPr>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lastRenderedPageBreak/>
        <w:t>Del mismo modo</w:t>
      </w:r>
      <w:r w:rsidRPr="001E5EB8">
        <w:rPr>
          <w:rFonts w:ascii="Book Antiqua" w:eastAsia="Book Antiqua" w:hAnsi="Book Antiqua" w:cs="Book Antiqua"/>
          <w:color w:val="000000" w:themeColor="text1"/>
          <w:lang w:val="es-PR"/>
        </w:rPr>
        <w:t xml:space="preserve">, la falta de autonomía administrativa ha generado conflictos con la </w:t>
      </w:r>
      <w:bookmarkStart w:id="0" w:name="_Hlk193375974"/>
      <w:r w:rsidRPr="001E5EB8">
        <w:rPr>
          <w:rFonts w:ascii="Book Antiqua" w:eastAsia="Book Antiqua" w:hAnsi="Book Antiqua" w:cs="Book Antiqua"/>
          <w:color w:val="000000" w:themeColor="text1"/>
          <w:lang w:val="es-PR"/>
        </w:rPr>
        <w:t>Ley 73-2019</w:t>
      </w:r>
      <w:r>
        <w:rPr>
          <w:rFonts w:ascii="Book Antiqua" w:eastAsia="Book Antiqua" w:hAnsi="Book Antiqua" w:cs="Book Antiqua"/>
          <w:color w:val="000000" w:themeColor="text1"/>
          <w:lang w:val="es-PR"/>
        </w:rPr>
        <w:t xml:space="preserve">, según enmendada, conocida como </w:t>
      </w:r>
      <w:r w:rsidRPr="00B2399F">
        <w:rPr>
          <w:rFonts w:ascii="Book Antiqua" w:eastAsia="Book Antiqua" w:hAnsi="Book Antiqua" w:cs="Book Antiqua"/>
          <w:smallCaps/>
          <w:color w:val="000000" w:themeColor="text1"/>
          <w:lang w:val="es-PR"/>
        </w:rPr>
        <w:t>Ley de la Administración de Servicios Generales para la Centralización de las Compras del Gobierno de Puerto Rico de 2019</w:t>
      </w:r>
      <w:bookmarkEnd w:id="0"/>
      <w:r w:rsidRPr="001E5EB8">
        <w:rPr>
          <w:rFonts w:ascii="Book Antiqua" w:eastAsia="Book Antiqua" w:hAnsi="Book Antiqua" w:cs="Book Antiqua"/>
          <w:color w:val="000000" w:themeColor="text1"/>
          <w:lang w:val="es-PR"/>
        </w:rPr>
        <w:t xml:space="preserve">, </w:t>
      </w:r>
      <w:r w:rsidRPr="00CE3C6A">
        <w:rPr>
          <w:rFonts w:ascii="Book Antiqua" w:eastAsia="Book Antiqua" w:hAnsi="Book Antiqua" w:cs="Book Antiqua"/>
          <w:color w:val="000000" w:themeColor="text1"/>
          <w:lang w:val="es-PR"/>
        </w:rPr>
        <w:t xml:space="preserve">la cual centraliza las compras gubernamentales bajo la Administración de Servicios Generales (ASG). La Ley 107-2022, </w:t>
      </w:r>
      <w:r>
        <w:rPr>
          <w:rFonts w:ascii="Book Antiqua" w:eastAsia="Book Antiqua" w:hAnsi="Book Antiqua" w:cs="Book Antiqua"/>
          <w:color w:val="000000" w:themeColor="text1"/>
          <w:lang w:val="es-PR"/>
        </w:rPr>
        <w:t>que enmendó la Ley-73-2019</w:t>
      </w:r>
      <w:r w:rsidRPr="00CE3C6A">
        <w:rPr>
          <w:rFonts w:ascii="Book Antiqua" w:eastAsia="Book Antiqua" w:hAnsi="Book Antiqua" w:cs="Book Antiqua"/>
          <w:color w:val="000000" w:themeColor="text1"/>
          <w:lang w:val="es-PR"/>
        </w:rPr>
        <w:t xml:space="preserve">, reconoció que este marco normativo provoca retrasos en la ejecución de proyectos de recuperación, lo que puede </w:t>
      </w:r>
      <w:r>
        <w:rPr>
          <w:rFonts w:ascii="Book Antiqua" w:eastAsia="Book Antiqua" w:hAnsi="Book Antiqua" w:cs="Book Antiqua"/>
          <w:color w:val="000000" w:themeColor="text1"/>
          <w:lang w:val="es-PR"/>
        </w:rPr>
        <w:t>conllevar</w:t>
      </w:r>
      <w:r w:rsidRPr="00CE3C6A">
        <w:rPr>
          <w:rFonts w:ascii="Book Antiqua" w:eastAsia="Book Antiqua" w:hAnsi="Book Antiqua" w:cs="Book Antiqua"/>
          <w:color w:val="000000" w:themeColor="text1"/>
          <w:lang w:val="es-PR"/>
        </w:rPr>
        <w:t xml:space="preserve"> la pérdida de fondos federales</w:t>
      </w:r>
      <w:r w:rsidRPr="00D133D5">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 xml:space="preserve"> </w:t>
      </w:r>
      <w:r w:rsidRPr="005D3BCE">
        <w:rPr>
          <w:rFonts w:ascii="Book Antiqua" w:eastAsia="Book Antiqua" w:hAnsi="Book Antiqua" w:cs="Book Antiqua"/>
          <w:color w:val="000000" w:themeColor="text1"/>
          <w:lang w:val="es-PR"/>
        </w:rPr>
        <w:t>En respuesta a estos desafíos, la</w:t>
      </w:r>
      <w:r w:rsidRPr="009A46F0">
        <w:rPr>
          <w:rFonts w:ascii="Book Antiqua" w:eastAsia="Book Antiqua" w:hAnsi="Book Antiqua" w:cs="Book Antiqua"/>
          <w:color w:val="000000" w:themeColor="text1"/>
          <w:lang w:val="es-PR"/>
        </w:rPr>
        <w:t xml:space="preserve"> Asamblea Legislativa ha aprobado </w:t>
      </w:r>
      <w:r>
        <w:rPr>
          <w:rFonts w:ascii="Book Antiqua" w:eastAsia="Book Antiqua" w:hAnsi="Book Antiqua" w:cs="Book Antiqua"/>
          <w:color w:val="000000" w:themeColor="text1"/>
          <w:lang w:val="es-PR"/>
        </w:rPr>
        <w:t xml:space="preserve">diversas </w:t>
      </w:r>
      <w:r w:rsidRPr="009A46F0">
        <w:rPr>
          <w:rFonts w:ascii="Book Antiqua" w:eastAsia="Book Antiqua" w:hAnsi="Book Antiqua" w:cs="Book Antiqua"/>
          <w:color w:val="000000" w:themeColor="text1"/>
          <w:lang w:val="es-PR"/>
        </w:rPr>
        <w:t>medidas para excluir a ciertas entidades de las disposiciones de la Ley 73-2019, tales como la Ley 21-2020, la Ley 116-2020 y la Ley 107-2022. Estas leyes otorgaron independencia a los municipios, a la Corporación del Enlace del Caño Martín Peña y a la Universidad de Puerto Rico en la gestión de sus fondos de recuperación. Asimismo, la Ley 71-2021 permitió a los beneficiarios de fondos FEMA, ARPA y CDBG-DR ejecutar sus obras sin interferencias. No obstante, sigue existiendo la necesidad de ampliar esta autonomía a otros programas federales e iniciativas de infraestructura a nivel estatal</w:t>
      </w:r>
      <w:r w:rsidRPr="00D133D5">
        <w:rPr>
          <w:rFonts w:ascii="Book Antiqua" w:eastAsia="Book Antiqua" w:hAnsi="Book Antiqua" w:cs="Book Antiqua"/>
          <w:color w:val="000000" w:themeColor="text1"/>
          <w:lang w:val="es-PR"/>
        </w:rPr>
        <w:t>.</w:t>
      </w:r>
    </w:p>
    <w:p w14:paraId="0BB7A087" w14:textId="77777777" w:rsidR="00191362" w:rsidRDefault="00191362" w:rsidP="00081FE3">
      <w:pPr>
        <w:jc w:val="both"/>
        <w:rPr>
          <w:rFonts w:ascii="Book Antiqua" w:eastAsia="Book Antiqua" w:hAnsi="Book Antiqua" w:cs="Book Antiqua"/>
          <w:color w:val="000000" w:themeColor="text1"/>
          <w:lang w:val="es-PR"/>
        </w:rPr>
      </w:pPr>
    </w:p>
    <w:p w14:paraId="1771BB15" w14:textId="32EB6612" w:rsidR="00191362" w:rsidRPr="00D133D5" w:rsidRDefault="00191362" w:rsidP="00081FE3">
      <w:pPr>
        <w:jc w:val="both"/>
        <w:rPr>
          <w:rFonts w:ascii="Book Antiqua" w:eastAsia="Book Antiqua" w:hAnsi="Book Antiqua" w:cs="Book Antiqua"/>
          <w:color w:val="000000" w:themeColor="text1"/>
          <w:lang w:val="es-PR"/>
        </w:rPr>
      </w:pPr>
      <w:r w:rsidRPr="001F3065">
        <w:rPr>
          <w:rFonts w:ascii="Book Antiqua" w:eastAsia="Book Antiqua" w:hAnsi="Book Antiqua" w:cs="Book Antiqua"/>
          <w:color w:val="000000" w:themeColor="text1"/>
          <w:lang w:val="es-PR"/>
        </w:rPr>
        <w:t>Ante este panorama, est</w:t>
      </w:r>
      <w:r>
        <w:rPr>
          <w:rFonts w:ascii="Book Antiqua" w:eastAsia="Book Antiqua" w:hAnsi="Book Antiqua" w:cs="Book Antiqua"/>
          <w:color w:val="000000" w:themeColor="text1"/>
          <w:lang w:val="es-PR"/>
        </w:rPr>
        <w:t>a</w:t>
      </w:r>
      <w:r w:rsidRPr="00864672">
        <w:rPr>
          <w:rFonts w:ascii="Book Antiqua" w:eastAsia="Book Antiqua" w:hAnsi="Book Antiqua" w:cs="Book Antiqua"/>
          <w:color w:val="000000" w:themeColor="text1"/>
          <w:lang w:val="es-PR"/>
        </w:rPr>
        <w:t xml:space="preserve"> Ley tiene como propósito garantizar la ejecución efectiva de proyectos de infraestructura y potenciar la reconstrucción de la Isla, fortaleciendo la capacidad </w:t>
      </w:r>
      <w:r>
        <w:rPr>
          <w:rFonts w:ascii="Book Antiqua" w:eastAsia="Book Antiqua" w:hAnsi="Book Antiqua" w:cs="Book Antiqua"/>
          <w:color w:val="000000" w:themeColor="text1"/>
          <w:lang w:val="es-PR"/>
        </w:rPr>
        <w:t xml:space="preserve">operativa </w:t>
      </w:r>
      <w:r w:rsidRPr="00864672">
        <w:rPr>
          <w:rFonts w:ascii="Book Antiqua" w:eastAsia="Book Antiqua" w:hAnsi="Book Antiqua" w:cs="Book Antiqua"/>
          <w:color w:val="000000" w:themeColor="text1"/>
          <w:lang w:val="es-PR"/>
        </w:rPr>
        <w:t>de la AFI. Para ello, se le permitirá asistir técnica, legal y financieramente al Gobierno de Puerto Rico en la implementación de iniciativas de infraestructura crítica, así como ser receptora de fondos federales cuando el programa correspondiente así lo disponga. Además, se le otorgará autonomía administrativa en la ejecución de proyectos de infraestructura, incluyendo su exclusión de las disposiciones de la Ley 73-2019.</w:t>
      </w:r>
      <w:r>
        <w:rPr>
          <w:rFonts w:ascii="Book Antiqua" w:eastAsia="Book Antiqua" w:hAnsi="Book Antiqua" w:cs="Book Antiqua"/>
          <w:color w:val="000000" w:themeColor="text1"/>
          <w:lang w:val="es-PR"/>
        </w:rPr>
        <w:t xml:space="preserve"> </w:t>
      </w:r>
      <w:r w:rsidRPr="00864672">
        <w:rPr>
          <w:rFonts w:ascii="Book Antiqua" w:eastAsia="Book Antiqua" w:hAnsi="Book Antiqua" w:cs="Book Antiqua"/>
          <w:color w:val="000000" w:themeColor="text1"/>
          <w:lang w:val="es-PR"/>
        </w:rPr>
        <w:t>Asimismo, se autorizará a la AFI a brindar asistencia técnica y financiera a organizaciones sin fines de lucro en la administración de fondos estatales y federales</w:t>
      </w:r>
      <w:r>
        <w:rPr>
          <w:rFonts w:ascii="Book Antiqua" w:eastAsia="Book Antiqua" w:hAnsi="Book Antiqua" w:cs="Book Antiqua"/>
          <w:color w:val="000000" w:themeColor="text1"/>
          <w:lang w:val="es-PR"/>
        </w:rPr>
        <w:t xml:space="preserve">, lo cual servirá de fuente alternativa </w:t>
      </w:r>
      <w:r w:rsidRPr="00B82771">
        <w:rPr>
          <w:rFonts w:ascii="Book Antiqua" w:eastAsia="Book Antiqua" w:hAnsi="Book Antiqua" w:cs="Book Antiqua"/>
          <w:color w:val="000000" w:themeColor="text1"/>
          <w:lang w:val="es-PR"/>
        </w:rPr>
        <w:t>de financiamiento para la AFI, garantizando así su capacidad operativa y la continuidad de sus funciones esenciales para el desarrollo de la infraestructura de la Isla.</w:t>
      </w:r>
    </w:p>
    <w:p w14:paraId="1BC41504" w14:textId="77777777" w:rsidR="00191362" w:rsidRDefault="00191362" w:rsidP="00081FE3">
      <w:pPr>
        <w:jc w:val="both"/>
        <w:rPr>
          <w:rFonts w:ascii="Book Antiqua" w:eastAsia="Book Antiqua" w:hAnsi="Book Antiqua" w:cs="Book Antiqua"/>
          <w:color w:val="000000" w:themeColor="text1"/>
          <w:lang w:val="es-PR"/>
        </w:rPr>
      </w:pPr>
    </w:p>
    <w:p w14:paraId="0122C928" w14:textId="0279F54C" w:rsidR="00191362" w:rsidRDefault="00191362" w:rsidP="00081FE3">
      <w:pPr>
        <w:jc w:val="both"/>
        <w:rPr>
          <w:rFonts w:ascii="Book Antiqua" w:eastAsia="Book Antiqua" w:hAnsi="Book Antiqua" w:cs="Book Antiqua"/>
          <w:color w:val="000000" w:themeColor="text1"/>
          <w:lang w:val="es-PR"/>
        </w:rPr>
      </w:pPr>
      <w:r w:rsidRPr="007D36BA">
        <w:rPr>
          <w:rFonts w:ascii="Book Antiqua" w:eastAsia="Book Antiqua" w:hAnsi="Book Antiqua" w:cs="Book Antiqua"/>
          <w:color w:val="000000" w:themeColor="text1"/>
          <w:lang w:val="es-PR"/>
        </w:rPr>
        <w:t xml:space="preserve">La implementación de estos cambios estructurales permitirá a la AFI optimizar el uso de fondos federales y estatales, eliminar barreras burocráticas y asegurar un desarrollo eficiente de la infraestructura de Puerto Rico. Esto no solo beneficiará la estabilidad y el crecimiento económico de la Isla, sino que también impactará positivamente la calidad de vida </w:t>
      </w:r>
      <w:r>
        <w:rPr>
          <w:rFonts w:ascii="Book Antiqua" w:eastAsia="Book Antiqua" w:hAnsi="Book Antiqua" w:cs="Book Antiqua"/>
          <w:color w:val="000000" w:themeColor="text1"/>
          <w:lang w:val="es-PR"/>
        </w:rPr>
        <w:t>de nuestra</w:t>
      </w:r>
      <w:r w:rsidRPr="007D36BA">
        <w:rPr>
          <w:rFonts w:ascii="Book Antiqua" w:eastAsia="Book Antiqua" w:hAnsi="Book Antiqua" w:cs="Book Antiqua"/>
          <w:color w:val="000000" w:themeColor="text1"/>
          <w:lang w:val="es-PR"/>
        </w:rPr>
        <w:t xml:space="preserve"> gente al garantizar servicios esenciales y mejorar la </w:t>
      </w:r>
      <w:r>
        <w:rPr>
          <w:rFonts w:ascii="Book Antiqua" w:eastAsia="Book Antiqua" w:hAnsi="Book Antiqua" w:cs="Book Antiqua"/>
          <w:color w:val="000000" w:themeColor="text1"/>
          <w:lang w:val="es-PR"/>
        </w:rPr>
        <w:t>calidad</w:t>
      </w:r>
      <w:r w:rsidRPr="007D36BA">
        <w:rPr>
          <w:rFonts w:ascii="Book Antiqua" w:eastAsia="Book Antiqua" w:hAnsi="Book Antiqua" w:cs="Book Antiqua"/>
          <w:color w:val="000000" w:themeColor="text1"/>
          <w:lang w:val="es-PR"/>
        </w:rPr>
        <w:t xml:space="preserve"> de la infraestructura pública</w:t>
      </w:r>
      <w:r w:rsidRPr="00F40B20">
        <w:rPr>
          <w:rFonts w:ascii="Book Antiqua" w:eastAsia="Book Antiqua" w:hAnsi="Book Antiqua" w:cs="Book Antiqua"/>
          <w:color w:val="000000" w:themeColor="text1"/>
          <w:lang w:val="es-PR"/>
        </w:rPr>
        <w:t>.</w:t>
      </w:r>
    </w:p>
    <w:p w14:paraId="13AFE54B" w14:textId="77777777" w:rsidR="00081FE3" w:rsidRDefault="00081FE3" w:rsidP="00081FE3">
      <w:pPr>
        <w:jc w:val="both"/>
        <w:rPr>
          <w:rFonts w:ascii="Book Antiqua" w:eastAsia="Book Antiqua" w:hAnsi="Book Antiqua" w:cs="Book Antiqua"/>
          <w:color w:val="000000" w:themeColor="text1"/>
          <w:lang w:val="es-PR"/>
        </w:rPr>
      </w:pPr>
    </w:p>
    <w:p w14:paraId="12B9DFC5" w14:textId="77777777" w:rsidR="00081FE3" w:rsidRDefault="00081FE3" w:rsidP="00081FE3">
      <w:pPr>
        <w:jc w:val="both"/>
        <w:rPr>
          <w:rFonts w:ascii="Book Antiqua" w:eastAsia="Book Antiqua" w:hAnsi="Book Antiqua" w:cs="Book Antiqua"/>
          <w:color w:val="000000" w:themeColor="text1"/>
          <w:lang w:val="es-PR"/>
        </w:rPr>
      </w:pPr>
    </w:p>
    <w:p w14:paraId="0F879FFA" w14:textId="77777777" w:rsidR="00081FE3" w:rsidRDefault="00081FE3" w:rsidP="00081FE3">
      <w:pPr>
        <w:jc w:val="both"/>
        <w:rPr>
          <w:rFonts w:ascii="Book Antiqua" w:eastAsia="Book Antiqua" w:hAnsi="Book Antiqua" w:cs="Book Antiqua"/>
          <w:color w:val="000000" w:themeColor="text1"/>
          <w:lang w:val="es-PR"/>
        </w:rPr>
      </w:pPr>
    </w:p>
    <w:p w14:paraId="63663785" w14:textId="77777777" w:rsidR="00081FE3" w:rsidRDefault="00081FE3" w:rsidP="00081FE3">
      <w:pPr>
        <w:jc w:val="both"/>
        <w:rPr>
          <w:rFonts w:ascii="Book Antiqua" w:eastAsia="Book Antiqua" w:hAnsi="Book Antiqua" w:cs="Book Antiqua"/>
          <w:color w:val="000000" w:themeColor="text1"/>
          <w:lang w:val="es-PR"/>
        </w:rPr>
      </w:pPr>
    </w:p>
    <w:p w14:paraId="5F0061C5" w14:textId="77777777" w:rsidR="00081FE3" w:rsidRDefault="00081FE3" w:rsidP="00081FE3">
      <w:pPr>
        <w:jc w:val="both"/>
        <w:rPr>
          <w:rFonts w:ascii="Book Antiqua" w:eastAsia="Book Antiqua" w:hAnsi="Book Antiqua" w:cs="Book Antiqua"/>
          <w:color w:val="000000" w:themeColor="text1"/>
          <w:lang w:val="es-PR"/>
        </w:rPr>
      </w:pPr>
    </w:p>
    <w:p w14:paraId="044173E7" w14:textId="77777777" w:rsidR="00081FE3" w:rsidRPr="003B17EE" w:rsidRDefault="00081FE3" w:rsidP="00081FE3">
      <w:pPr>
        <w:jc w:val="both"/>
        <w:rPr>
          <w:rFonts w:ascii="Book Antiqua" w:eastAsia="Book Antiqua" w:hAnsi="Book Antiqua" w:cs="Book Antiqua"/>
          <w:color w:val="000000" w:themeColor="text1"/>
          <w:lang w:val="es-PR"/>
        </w:rPr>
      </w:pPr>
    </w:p>
    <w:p w14:paraId="25394332" w14:textId="77777777" w:rsidR="00A770A7" w:rsidRPr="003C6649" w:rsidRDefault="00A770A7" w:rsidP="00081FE3">
      <w:pPr>
        <w:ind w:firstLine="720"/>
        <w:jc w:val="both"/>
        <w:rPr>
          <w:rFonts w:ascii="Book Antiqua" w:eastAsia="Book Antiqua" w:hAnsi="Book Antiqua" w:cs="Book Antiqua"/>
          <w:color w:val="000000" w:themeColor="text1"/>
          <w:lang w:val="es-PR"/>
        </w:rPr>
      </w:pPr>
    </w:p>
    <w:p w14:paraId="7955066D" w14:textId="77777777" w:rsidR="00FF2214" w:rsidRPr="00930E48" w:rsidRDefault="00850770" w:rsidP="00081FE3">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lastRenderedPageBreak/>
        <w:t>DECRÉTASE POR LA ASAMBLEA LEGISLATIVA DE PUERTO RICO:</w:t>
      </w:r>
    </w:p>
    <w:p w14:paraId="4E187511" w14:textId="77777777" w:rsidR="00191362" w:rsidRPr="00E6099F" w:rsidRDefault="00191362" w:rsidP="00191362">
      <w:pPr>
        <w:pStyle w:val="BodyText"/>
        <w:spacing w:line="480" w:lineRule="auto"/>
        <w:ind w:firstLine="720"/>
        <w:rPr>
          <w:rFonts w:ascii="Book Antiqua" w:hAnsi="Book Antiqua"/>
          <w:color w:val="000000" w:themeColor="text1"/>
        </w:rPr>
      </w:pPr>
      <w:bookmarkStart w:id="1" w:name="{20D8}"/>
      <w:bookmarkStart w:id="2" w:name="_Hlk189832381"/>
      <w:r w:rsidRPr="00525F1B">
        <w:rPr>
          <w:rFonts w:ascii="Book Antiqua" w:hAnsi="Book Antiqua"/>
          <w:color w:val="000000" w:themeColor="text1"/>
        </w:rPr>
        <w:t xml:space="preserve">Sección </w:t>
      </w:r>
      <w:r w:rsidRPr="00525F1B">
        <w:rPr>
          <w:rFonts w:ascii="Book Antiqua" w:eastAsia="Book Antiqua" w:hAnsi="Book Antiqua" w:cs="Book Antiqua"/>
          <w:color w:val="000000" w:themeColor="text1"/>
        </w:rPr>
        <w:t>1.</w:t>
      </w:r>
      <w:r>
        <w:rPr>
          <w:rFonts w:ascii="Book Antiqua" w:eastAsiaTheme="minorHAnsi" w:hAnsi="Book Antiqua" w:cs="Times"/>
          <w:bCs/>
          <w:color w:val="000000" w:themeColor="text1"/>
        </w:rPr>
        <w:t>-</w:t>
      </w:r>
      <w:r w:rsidRPr="00525F1B">
        <w:rPr>
          <w:rFonts w:ascii="Book Antiqua" w:hAnsi="Book Antiqua"/>
          <w:color w:val="000000" w:themeColor="text1"/>
        </w:rPr>
        <w:t xml:space="preserve">Se </w:t>
      </w:r>
      <w:r>
        <w:rPr>
          <w:rFonts w:ascii="Book Antiqua" w:hAnsi="Book Antiqua"/>
          <w:color w:val="000000" w:themeColor="text1"/>
        </w:rPr>
        <w:t xml:space="preserve">enmienda el Artículo 2 de la </w:t>
      </w:r>
      <w:r w:rsidRPr="00740348">
        <w:rPr>
          <w:rFonts w:ascii="Book Antiqua" w:eastAsia="Book Antiqua" w:hAnsi="Book Antiqua" w:cs="Book Antiqua"/>
          <w:color w:val="000000" w:themeColor="text1"/>
        </w:rPr>
        <w:t>Ley 44 de 21 de junio de 1988, según enmendada, conocida como la “Ley de la Autoridad para el Financiamiento de la Infraestructura de Puerto Rico”</w:t>
      </w:r>
      <w:r w:rsidRPr="00525F1B">
        <w:rPr>
          <w:rFonts w:ascii="Book Antiqua" w:hAnsi="Book Antiqua"/>
          <w:color w:val="000000" w:themeColor="text1"/>
        </w:rPr>
        <w:t xml:space="preserve">, el cual se leerá como sigue: </w:t>
      </w:r>
    </w:p>
    <w:p w14:paraId="1B4FE8F7" w14:textId="77777777" w:rsidR="00191362" w:rsidRPr="00E6099F" w:rsidRDefault="00191362" w:rsidP="00191362">
      <w:pPr>
        <w:pStyle w:val="BodyText"/>
        <w:spacing w:line="480" w:lineRule="auto"/>
        <w:ind w:firstLine="720"/>
        <w:rPr>
          <w:rFonts w:ascii="Book Antiqua" w:hAnsi="Book Antiqua"/>
          <w:color w:val="000000" w:themeColor="text1"/>
          <w:lang w:val="es-ES"/>
        </w:rPr>
      </w:pPr>
      <w:r w:rsidRPr="00E6099F">
        <w:rPr>
          <w:rFonts w:ascii="Book Antiqua" w:hAnsi="Book Antiqua"/>
          <w:color w:val="000000" w:themeColor="text1"/>
          <w:lang w:val="es-ES"/>
        </w:rPr>
        <w:t xml:space="preserve">“Artículo 2. — Propósito. </w:t>
      </w:r>
    </w:p>
    <w:p w14:paraId="63A912C3" w14:textId="77777777" w:rsidR="00191362" w:rsidRPr="00E6099F" w:rsidRDefault="00191362" w:rsidP="00191362">
      <w:pPr>
        <w:pStyle w:val="BodyText"/>
        <w:spacing w:line="480" w:lineRule="auto"/>
        <w:ind w:firstLine="720"/>
        <w:rPr>
          <w:rFonts w:ascii="Book Antiqua" w:hAnsi="Book Antiqua"/>
          <w:b/>
          <w:bCs/>
          <w:color w:val="000000" w:themeColor="text1"/>
          <w:lang w:val="es-ES"/>
        </w:rPr>
      </w:pPr>
      <w:r w:rsidRPr="00E6099F">
        <w:rPr>
          <w:rFonts w:ascii="Book Antiqua" w:hAnsi="Book Antiqua"/>
          <w:color w:val="000000" w:themeColor="text1"/>
          <w:lang w:val="es-ES"/>
        </w:rPr>
        <w:t xml:space="preserve">La construcción, rehabilitación, adquisición, reparación, preservación y reemplazo de la infraestructura en el </w:t>
      </w:r>
      <w:r w:rsidRPr="00E6099F">
        <w:rPr>
          <w:rFonts w:ascii="Book Antiqua" w:hAnsi="Book Antiqua"/>
          <w:i/>
          <w:iCs/>
          <w:color w:val="000000" w:themeColor="text1"/>
          <w:lang w:val="es-ES"/>
        </w:rPr>
        <w:t>Gobierno de Puerto Rico</w:t>
      </w:r>
      <w:r w:rsidRPr="00E6099F">
        <w:rPr>
          <w:rFonts w:ascii="Book Antiqua" w:hAnsi="Book Antiqua"/>
          <w:color w:val="000000" w:themeColor="text1"/>
          <w:lang w:val="es-ES"/>
        </w:rPr>
        <w:t xml:space="preserve"> </w:t>
      </w:r>
      <w:r w:rsidRPr="00C142B8">
        <w:rPr>
          <w:rFonts w:ascii="Book Antiqua" w:hAnsi="Book Antiqua"/>
          <w:b/>
          <w:bCs/>
          <w:color w:val="000000" w:themeColor="text1"/>
          <w:lang w:val="es-ES"/>
        </w:rPr>
        <w:t>[Estado Libre Asociado]</w:t>
      </w:r>
      <w:r>
        <w:rPr>
          <w:rFonts w:ascii="Book Antiqua" w:hAnsi="Book Antiqua"/>
          <w:color w:val="000000" w:themeColor="text1"/>
          <w:lang w:val="es-ES"/>
        </w:rPr>
        <w:t xml:space="preserve"> </w:t>
      </w:r>
      <w:r w:rsidRPr="00E6099F">
        <w:rPr>
          <w:rFonts w:ascii="Book Antiqua" w:hAnsi="Book Antiqua"/>
          <w:color w:val="000000" w:themeColor="text1"/>
          <w:lang w:val="es-ES"/>
        </w:rPr>
        <w:t xml:space="preserve">o de partes de ella es esencial para el bienestar general. Se reconoce que ocasionalmente urge que el </w:t>
      </w:r>
      <w:r w:rsidRPr="00E6099F">
        <w:rPr>
          <w:rFonts w:ascii="Book Antiqua" w:hAnsi="Book Antiqua"/>
          <w:i/>
          <w:iCs/>
          <w:color w:val="000000" w:themeColor="text1"/>
          <w:lang w:val="es-ES"/>
        </w:rPr>
        <w:t>Gobierno de Puerto Rico</w:t>
      </w:r>
      <w:r w:rsidRPr="00E6099F">
        <w:rPr>
          <w:rFonts w:ascii="Book Antiqua" w:hAnsi="Book Antiqua"/>
          <w:color w:val="000000" w:themeColor="text1"/>
          <w:lang w:val="es-ES"/>
        </w:rPr>
        <w:t xml:space="preserve"> </w:t>
      </w:r>
      <w:r w:rsidRPr="00C142B8">
        <w:rPr>
          <w:rFonts w:ascii="Book Antiqua" w:hAnsi="Book Antiqua"/>
          <w:b/>
          <w:bCs/>
          <w:color w:val="000000" w:themeColor="text1"/>
          <w:lang w:val="es-ES"/>
        </w:rPr>
        <w:t>[Estado Libre Asociado]</w:t>
      </w:r>
      <w:r>
        <w:rPr>
          <w:rFonts w:ascii="Book Antiqua" w:hAnsi="Book Antiqua"/>
          <w:color w:val="000000" w:themeColor="text1"/>
          <w:lang w:val="es-ES"/>
        </w:rPr>
        <w:t xml:space="preserve"> </w:t>
      </w:r>
      <w:r w:rsidRPr="00E6099F">
        <w:rPr>
          <w:rFonts w:ascii="Book Antiqua" w:hAnsi="Book Antiqua"/>
          <w:color w:val="000000" w:themeColor="text1"/>
          <w:lang w:val="es-ES"/>
        </w:rPr>
        <w:t xml:space="preserve">preste </w:t>
      </w:r>
      <w:r w:rsidRPr="00E6099F">
        <w:rPr>
          <w:rFonts w:ascii="Book Antiqua" w:hAnsi="Book Antiqua"/>
          <w:i/>
          <w:iCs/>
          <w:color w:val="000000" w:themeColor="text1"/>
          <w:lang w:val="es-ES"/>
        </w:rPr>
        <w:t>asistencia</w:t>
      </w:r>
      <w:r w:rsidRPr="00E6099F">
        <w:rPr>
          <w:rFonts w:ascii="Book Antiqua" w:hAnsi="Book Antiqua"/>
          <w:color w:val="000000" w:themeColor="text1"/>
          <w:lang w:val="es-ES"/>
        </w:rPr>
        <w:t xml:space="preserve"> </w:t>
      </w:r>
      <w:r w:rsidRPr="00433457">
        <w:rPr>
          <w:rFonts w:ascii="Book Antiqua" w:hAnsi="Book Antiqua"/>
          <w:b/>
          <w:bCs/>
          <w:color w:val="000000" w:themeColor="text1"/>
          <w:lang w:val="es-ES"/>
        </w:rPr>
        <w:t>[ayuda]</w:t>
      </w:r>
      <w:r>
        <w:rPr>
          <w:rFonts w:ascii="Book Antiqua" w:hAnsi="Book Antiqua"/>
          <w:color w:val="000000" w:themeColor="text1"/>
          <w:lang w:val="es-ES"/>
        </w:rPr>
        <w:t xml:space="preserve"> </w:t>
      </w:r>
      <w:r w:rsidRPr="00E6099F">
        <w:rPr>
          <w:rFonts w:ascii="Book Antiqua" w:hAnsi="Book Antiqua"/>
          <w:i/>
          <w:iCs/>
          <w:color w:val="000000" w:themeColor="text1"/>
          <w:lang w:val="es-ES"/>
        </w:rPr>
        <w:t xml:space="preserve">técnica, legal, </w:t>
      </w:r>
      <w:r w:rsidRPr="00E6099F">
        <w:rPr>
          <w:rFonts w:ascii="Book Antiqua" w:hAnsi="Book Antiqua"/>
          <w:color w:val="000000" w:themeColor="text1"/>
          <w:lang w:val="es-ES"/>
        </w:rPr>
        <w:t>financiera</w:t>
      </w:r>
      <w:r w:rsidRPr="00DC681B">
        <w:rPr>
          <w:rFonts w:ascii="Book Antiqua" w:hAnsi="Book Antiqua"/>
          <w:b/>
          <w:bCs/>
          <w:color w:val="000000" w:themeColor="text1"/>
          <w:lang w:val="es-ES"/>
        </w:rPr>
        <w:t xml:space="preserve"> [,]</w:t>
      </w:r>
      <w:r w:rsidRPr="00E6099F">
        <w:rPr>
          <w:rFonts w:ascii="Book Antiqua" w:hAnsi="Book Antiqua"/>
          <w:color w:val="000000" w:themeColor="text1"/>
          <w:lang w:val="es-ES"/>
        </w:rPr>
        <w:t xml:space="preserve"> y administrativa u otra asistencia a corporaciones públicas e instrumentalidades del </w:t>
      </w:r>
      <w:r w:rsidRPr="00E6099F">
        <w:rPr>
          <w:rFonts w:ascii="Book Antiqua" w:hAnsi="Book Antiqua"/>
          <w:i/>
          <w:iCs/>
          <w:color w:val="000000" w:themeColor="text1"/>
          <w:lang w:val="es-ES"/>
        </w:rPr>
        <w:t>Gobierno de Puerto Rico</w:t>
      </w:r>
      <w:r w:rsidRPr="00E6099F">
        <w:rPr>
          <w:rFonts w:ascii="Book Antiqua" w:hAnsi="Book Antiqua"/>
          <w:color w:val="000000" w:themeColor="text1"/>
          <w:lang w:val="es-ES"/>
        </w:rPr>
        <w:t xml:space="preserve"> </w:t>
      </w:r>
      <w:r w:rsidRPr="00C142B8">
        <w:rPr>
          <w:rFonts w:ascii="Book Antiqua" w:hAnsi="Book Antiqua"/>
          <w:b/>
          <w:bCs/>
          <w:color w:val="000000" w:themeColor="text1"/>
          <w:lang w:val="es-ES"/>
        </w:rPr>
        <w:t>[Estado Libre Asociado]</w:t>
      </w:r>
      <w:r>
        <w:rPr>
          <w:rFonts w:ascii="Book Antiqua" w:hAnsi="Book Antiqua"/>
          <w:color w:val="000000" w:themeColor="text1"/>
          <w:lang w:val="es-ES"/>
        </w:rPr>
        <w:t xml:space="preserve"> </w:t>
      </w:r>
      <w:r w:rsidRPr="00E6099F">
        <w:rPr>
          <w:rFonts w:ascii="Book Antiqua" w:hAnsi="Book Antiqua"/>
          <w:color w:val="000000" w:themeColor="text1"/>
          <w:lang w:val="es-ES"/>
        </w:rPr>
        <w:t xml:space="preserve"> para permitirles cumplir con su fin público de proveer, preservar, operar, mantener, reparar, reemplazar y mejorar partes de la infraestructura de Puerto Rico </w:t>
      </w:r>
      <w:r w:rsidRPr="00E6099F">
        <w:rPr>
          <w:rFonts w:ascii="Book Antiqua" w:hAnsi="Book Antiqua"/>
          <w:i/>
          <w:iCs/>
          <w:color w:val="000000" w:themeColor="text1"/>
          <w:lang w:val="es-ES"/>
        </w:rPr>
        <w:t xml:space="preserve">como recipiente de fondos estatales, federales, municipales </w:t>
      </w:r>
      <w:r>
        <w:rPr>
          <w:rFonts w:ascii="Book Antiqua" w:hAnsi="Book Antiqua"/>
          <w:i/>
          <w:iCs/>
          <w:color w:val="000000" w:themeColor="text1"/>
          <w:lang w:val="es-ES"/>
        </w:rPr>
        <w:t>y/</w:t>
      </w:r>
      <w:r w:rsidRPr="00E6099F">
        <w:rPr>
          <w:rFonts w:ascii="Book Antiqua" w:hAnsi="Book Antiqua"/>
          <w:i/>
          <w:iCs/>
          <w:color w:val="000000" w:themeColor="text1"/>
          <w:lang w:val="es-ES"/>
        </w:rPr>
        <w:t>o combinados.</w:t>
      </w:r>
      <w:r w:rsidRPr="00E6099F">
        <w:rPr>
          <w:rFonts w:ascii="Book Antiqua" w:hAnsi="Book Antiqua"/>
          <w:color w:val="000000" w:themeColor="text1"/>
          <w:lang w:val="es-ES"/>
        </w:rPr>
        <w:t xml:space="preserve"> </w:t>
      </w:r>
      <w:r w:rsidRPr="00F70BD5">
        <w:rPr>
          <w:rFonts w:ascii="Book Antiqua" w:hAnsi="Book Antiqua"/>
          <w:b/>
          <w:bCs/>
          <w:color w:val="000000" w:themeColor="text1"/>
          <w:lang w:val="es-ES"/>
        </w:rPr>
        <w:t xml:space="preserve">[Se declara que el pueblo de Puerto Rico se beneficiará al proveerse una alternativa para el financiamiento de las necesidades de nuestra infraestructura. Es necesario que se establezcan inmediatamente un Fondo Rotatorio de Control de la Contaminación del Agua y un Fondo Rotatorio Estatal de Agua Potable y las normas y disposiciones esenciales para la administración de dichos Fondos de manera que el Estado Libre Asociado pueda beneficiarse del programa federal de donativos de capitalización establecido por el Título VI de la Ley Federal de Agua Limpia, según enmendada, y el Título I de la Ley Federal de Agua Potable, según enmendada, o cualquier otra legislación o regulación Federal similar o relacionada. La </w:t>
      </w:r>
      <w:r w:rsidRPr="00F70BD5">
        <w:rPr>
          <w:rFonts w:ascii="Book Antiqua" w:hAnsi="Book Antiqua"/>
          <w:b/>
          <w:bCs/>
          <w:color w:val="000000" w:themeColor="text1"/>
          <w:lang w:val="es-ES"/>
        </w:rPr>
        <w:lastRenderedPageBreak/>
        <w:t>Asamblea Legislativa de Puerto Rico tiene la firme intención de adoptar las medidas necesarias y convenientes para satisfacer las necesidades y propósitos antes mencionados, y para lograrlo crea la Autoridad para el Financiamiento de la Infraestructura de Puerto Rico como una corporación pública e instrumentalidad del Estado Libre Asociado que es un cuerpo corporativo y político independiente, y establece el Fondo Rotatorio de Control de la Contaminación del Agua y el Fondo Rotatorio Estatal de Agua Potable.]</w:t>
      </w:r>
    </w:p>
    <w:p w14:paraId="6841A42B" w14:textId="77777777" w:rsidR="00191362" w:rsidRDefault="00191362" w:rsidP="00191362">
      <w:pPr>
        <w:pStyle w:val="BodyText"/>
        <w:spacing w:line="480" w:lineRule="auto"/>
        <w:ind w:firstLine="720"/>
        <w:rPr>
          <w:rFonts w:ascii="Book Antiqua" w:hAnsi="Book Antiqua"/>
          <w:i/>
          <w:iCs/>
          <w:color w:val="000000" w:themeColor="text1"/>
          <w:lang w:val="es-ES"/>
        </w:rPr>
      </w:pPr>
      <w:r w:rsidRPr="00624455">
        <w:rPr>
          <w:rFonts w:ascii="Book Antiqua" w:hAnsi="Book Antiqua"/>
          <w:i/>
          <w:iCs/>
          <w:color w:val="000000" w:themeColor="text1"/>
          <w:lang w:val="es-ES"/>
        </w:rPr>
        <w:t xml:space="preserve">Es necesario </w:t>
      </w:r>
      <w:r>
        <w:rPr>
          <w:rFonts w:ascii="Book Antiqua" w:hAnsi="Book Antiqua"/>
          <w:i/>
          <w:iCs/>
          <w:color w:val="000000" w:themeColor="text1"/>
          <w:lang w:val="es-ES"/>
        </w:rPr>
        <w:t>e</w:t>
      </w:r>
      <w:r w:rsidRPr="00224BE1">
        <w:rPr>
          <w:rFonts w:ascii="Book Antiqua" w:hAnsi="Book Antiqua"/>
          <w:i/>
          <w:iCs/>
          <w:color w:val="000000" w:themeColor="text1"/>
          <w:lang w:val="es-ES"/>
        </w:rPr>
        <w:t>stablecer de inmediato un Fondo Rotatorio de Control de la Contaminación del Agua y un Fondo Rotatorio Estatal de Agua Potable, así como las normas y disposiciones esenciales para su administración. Esto permitirá que el Gobierno de Puerto Rico acceda al programa federal de donativos de capitalización establecido por el Título VI de la Ley Federal de Agua Limpia, según enmendada, y el Título I de la Ley Federal de Agua Potable, según enmendada, así como a cualquier otra legislación o regulación federal similar o relacionada con la infraestructura o infraestructura crítica, según definida en la presente ley, en beneficio de cualquier entidad beneficiada.</w:t>
      </w:r>
    </w:p>
    <w:p w14:paraId="394403F3" w14:textId="77777777" w:rsidR="00191362" w:rsidRPr="00A25B7E" w:rsidRDefault="00191362" w:rsidP="00191362">
      <w:pPr>
        <w:pStyle w:val="BodyText"/>
        <w:spacing w:line="480" w:lineRule="auto"/>
        <w:ind w:firstLine="720"/>
        <w:rPr>
          <w:rFonts w:ascii="Book Antiqua" w:hAnsi="Book Antiqua"/>
          <w:i/>
          <w:iCs/>
          <w:color w:val="000000" w:themeColor="text1"/>
        </w:rPr>
      </w:pPr>
      <w:r w:rsidRPr="00A25B7E">
        <w:rPr>
          <w:rFonts w:ascii="Book Antiqua" w:hAnsi="Book Antiqua"/>
          <w:i/>
          <w:iCs/>
          <w:color w:val="000000" w:themeColor="text1"/>
        </w:rPr>
        <w:t xml:space="preserve">Se dispone, además, que no constituirá un conflicto de interés para los administradores de los fondos rotatorios de agua limpia y potable, actuales o sus sucesores, ni para la Autoridad para el Financiamiento de la Infraestructura, el recibir, con el consentimiento de esta última, asistencia en una o varias modalidades simultáneamente, incluyendo asistencia técnica, legal, financiera y administrativa en la gestión de proyectos. Esto permitirá adelantar los objetivos de la esta Ley y facilitar el cumplimiento ambiental, contribuyendo a la protección de la salud pública mediante el financiamiento correspondiente por parte de los administradores del Fondo Rotatorio de Agua </w:t>
      </w:r>
      <w:r w:rsidRPr="00A25B7E">
        <w:rPr>
          <w:rFonts w:ascii="Book Antiqua" w:hAnsi="Book Antiqua"/>
          <w:i/>
          <w:iCs/>
          <w:color w:val="000000" w:themeColor="text1"/>
        </w:rPr>
        <w:lastRenderedPageBreak/>
        <w:t>Limpia y Agua Potable, incluyendo, entre otros aspectos, la cobertura de los gastos administrativos de la Autoridad para el Financiamiento de la Infraestructura.</w:t>
      </w:r>
    </w:p>
    <w:p w14:paraId="01586490" w14:textId="77777777" w:rsidR="00191362" w:rsidRPr="00EF7E7B" w:rsidRDefault="00191362" w:rsidP="00191362">
      <w:pPr>
        <w:pStyle w:val="BodyText"/>
        <w:spacing w:line="480" w:lineRule="auto"/>
        <w:ind w:firstLine="720"/>
        <w:rPr>
          <w:rFonts w:ascii="Book Antiqua" w:hAnsi="Book Antiqua"/>
          <w:color w:val="000000" w:themeColor="text1"/>
          <w:lang w:val="es-ES"/>
        </w:rPr>
      </w:pPr>
      <w:r>
        <w:rPr>
          <w:rFonts w:ascii="Book Antiqua" w:hAnsi="Book Antiqua"/>
          <w:i/>
          <w:iCs/>
          <w:color w:val="000000" w:themeColor="text1"/>
          <w:lang w:val="es-ES"/>
        </w:rPr>
        <w:t>El Gobierno</w:t>
      </w:r>
      <w:r w:rsidRPr="008F4098">
        <w:rPr>
          <w:rFonts w:ascii="Book Antiqua" w:hAnsi="Book Antiqua"/>
          <w:i/>
          <w:iCs/>
          <w:color w:val="000000" w:themeColor="text1"/>
          <w:lang w:val="es-ES"/>
        </w:rPr>
        <w:t xml:space="preserve"> de Puerto Rico reafirma su compromiso de adoptar las medidas necesarias para atender las necesidades y propósitos antes expuestos. Para ello, crea la Autoridad para el Financiamiento de la Infraestructura de Puerto Rico como una corporación pública e instrumentalidad del Gobierno de Puerto Rico, constituida como un cuerpo corporativo y político independiente, excluida de las disposiciones de la </w:t>
      </w:r>
      <w:r w:rsidRPr="008F4098">
        <w:rPr>
          <w:rFonts w:ascii="Book Antiqua" w:eastAsia="Book Antiqua" w:hAnsi="Book Antiqua" w:cs="Book Antiqua"/>
          <w:i/>
          <w:iCs/>
          <w:color w:val="000000" w:themeColor="text1"/>
        </w:rPr>
        <w:t xml:space="preserve">Ley 73-2019, según enmendada, conocida como </w:t>
      </w:r>
      <w:r>
        <w:rPr>
          <w:rFonts w:ascii="Book Antiqua" w:eastAsia="Book Antiqua" w:hAnsi="Book Antiqua" w:cs="Book Antiqua"/>
          <w:i/>
          <w:iCs/>
          <w:color w:val="000000" w:themeColor="text1"/>
        </w:rPr>
        <w:t>“</w:t>
      </w:r>
      <w:r w:rsidRPr="0014209A">
        <w:rPr>
          <w:rFonts w:ascii="Book Antiqua" w:eastAsia="Book Antiqua" w:hAnsi="Book Antiqua" w:cs="Book Antiqua"/>
          <w:i/>
          <w:iCs/>
          <w:color w:val="000000" w:themeColor="text1"/>
        </w:rPr>
        <w:t>Ley de la Administración de Servicios Generales para la Centralización de las Compras del Gobierno de Puerto Rico de 2019</w:t>
      </w:r>
      <w:r>
        <w:rPr>
          <w:rFonts w:ascii="Book Antiqua" w:eastAsia="Book Antiqua" w:hAnsi="Book Antiqua" w:cs="Book Antiqua"/>
          <w:i/>
          <w:iCs/>
          <w:color w:val="000000" w:themeColor="text1"/>
        </w:rPr>
        <w:t>”</w:t>
      </w:r>
      <w:r w:rsidRPr="008F4098">
        <w:rPr>
          <w:rFonts w:ascii="Book Antiqua" w:hAnsi="Book Antiqua"/>
          <w:i/>
          <w:iCs/>
          <w:color w:val="000000" w:themeColor="text1"/>
          <w:lang w:val="es-ES"/>
        </w:rPr>
        <w:t>, o de cualquier legislación que la sustituya, y estará autorizada a ser recipiente o administrar fondos federales, siempre que la legislación federal del programa en cuestión así lo disponga, en beneficio del pueblo de Puerto Rico y organizaciones sin fines de lucro. Además, se dispone la creación del Fondo Rotatorio de Control de la Contaminación del Agua y del Fondo Rotatorio Estatal de Agua Potable.</w:t>
      </w:r>
      <w:r>
        <w:rPr>
          <w:rFonts w:ascii="Book Antiqua" w:hAnsi="Book Antiqua"/>
          <w:color w:val="000000" w:themeColor="text1"/>
          <w:lang w:val="es-ES"/>
        </w:rPr>
        <w:t xml:space="preserve">” </w:t>
      </w:r>
    </w:p>
    <w:p w14:paraId="37168F47" w14:textId="77777777" w:rsidR="00191362" w:rsidRPr="00E6099F" w:rsidRDefault="00191362" w:rsidP="00191362">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 xml:space="preserve">Sección </w:t>
      </w:r>
      <w:r>
        <w:rPr>
          <w:rFonts w:ascii="Book Antiqua" w:eastAsia="Book Antiqua" w:hAnsi="Book Antiqua" w:cs="Book Antiqua"/>
          <w:color w:val="000000" w:themeColor="text1"/>
        </w:rPr>
        <w:t>2</w:t>
      </w:r>
      <w:r w:rsidRPr="00525F1B">
        <w:rPr>
          <w:rFonts w:ascii="Book Antiqua" w:eastAsia="Book Antiqua" w:hAnsi="Book Antiqua" w:cs="Book Antiqua"/>
          <w:color w:val="000000" w:themeColor="text1"/>
        </w:rPr>
        <w:t>.</w:t>
      </w:r>
      <w:r>
        <w:rPr>
          <w:rFonts w:ascii="Book Antiqua" w:eastAsiaTheme="minorHAnsi" w:hAnsi="Book Antiqua" w:cs="Times"/>
          <w:bCs/>
          <w:color w:val="000000" w:themeColor="text1"/>
        </w:rPr>
        <w:t>-</w:t>
      </w:r>
      <w:r w:rsidRPr="00525F1B">
        <w:rPr>
          <w:rFonts w:ascii="Book Antiqua" w:hAnsi="Book Antiqua"/>
          <w:color w:val="000000" w:themeColor="text1"/>
        </w:rPr>
        <w:t xml:space="preserve">Se </w:t>
      </w:r>
      <w:r>
        <w:rPr>
          <w:rFonts w:ascii="Book Antiqua" w:hAnsi="Book Antiqua"/>
          <w:color w:val="000000" w:themeColor="text1"/>
        </w:rPr>
        <w:t>enmienda el inciso (i), se añade un nuevo inciso (j) y se renumeran los subsiguientes incisos, del</w:t>
      </w:r>
      <w:r w:rsidRPr="00C44A48">
        <w:rPr>
          <w:rFonts w:ascii="Book Antiqua" w:hAnsi="Book Antiqua"/>
          <w:color w:val="000000" w:themeColor="text1"/>
        </w:rPr>
        <w:t xml:space="preserve"> </w:t>
      </w:r>
      <w:r>
        <w:rPr>
          <w:rFonts w:ascii="Book Antiqua" w:hAnsi="Book Antiqua"/>
          <w:color w:val="000000" w:themeColor="text1"/>
        </w:rPr>
        <w:t xml:space="preserve">Artículo 3 de la </w:t>
      </w:r>
      <w:r w:rsidRPr="00740348">
        <w:rPr>
          <w:rFonts w:ascii="Book Antiqua" w:eastAsia="Book Antiqua" w:hAnsi="Book Antiqua" w:cs="Book Antiqua"/>
          <w:color w:val="000000" w:themeColor="text1"/>
        </w:rPr>
        <w:t>Ley 44 de 21 de junio de 1988, según enmendada, conocida como la “Ley de la Autoridad para el Financiamiento de la Infraestructura de Puerto Rico”</w:t>
      </w:r>
      <w:r w:rsidRPr="00525F1B">
        <w:rPr>
          <w:rFonts w:ascii="Book Antiqua" w:hAnsi="Book Antiqua"/>
          <w:color w:val="000000" w:themeColor="text1"/>
        </w:rPr>
        <w:t xml:space="preserve">, el cual se leerá como sigue: </w:t>
      </w:r>
    </w:p>
    <w:p w14:paraId="77835BA6" w14:textId="77777777" w:rsidR="00191362" w:rsidRPr="00E6099F" w:rsidRDefault="00191362" w:rsidP="00191362">
      <w:pPr>
        <w:pStyle w:val="BodyText"/>
        <w:spacing w:line="480" w:lineRule="auto"/>
        <w:ind w:firstLine="720"/>
        <w:rPr>
          <w:rFonts w:ascii="Book Antiqua" w:hAnsi="Book Antiqua"/>
          <w:color w:val="000000" w:themeColor="text1"/>
          <w:lang w:val="es-ES"/>
        </w:rPr>
      </w:pPr>
      <w:r w:rsidRPr="00E6099F">
        <w:rPr>
          <w:rFonts w:ascii="Book Antiqua" w:hAnsi="Book Antiqua"/>
          <w:color w:val="000000" w:themeColor="text1"/>
          <w:lang w:val="es-ES"/>
        </w:rPr>
        <w:t>“Artículo 3. — Definiciones.</w:t>
      </w:r>
    </w:p>
    <w:p w14:paraId="055FF834" w14:textId="77777777" w:rsidR="00191362" w:rsidRPr="00E6099F" w:rsidRDefault="00191362" w:rsidP="00191362">
      <w:pPr>
        <w:pStyle w:val="BodyText"/>
        <w:spacing w:line="480" w:lineRule="auto"/>
        <w:ind w:firstLine="720"/>
        <w:rPr>
          <w:rFonts w:ascii="Book Antiqua" w:hAnsi="Book Antiqua"/>
          <w:color w:val="000000" w:themeColor="text1"/>
          <w:lang w:val="es-ES"/>
        </w:rPr>
      </w:pPr>
      <w:r w:rsidRPr="00E6099F">
        <w:rPr>
          <w:rFonts w:ascii="Book Antiqua" w:hAnsi="Book Antiqua"/>
          <w:color w:val="000000" w:themeColor="text1"/>
          <w:lang w:val="es-ES"/>
        </w:rPr>
        <w:t>Las siguientes palabras y términos, cuando sean usados o se haga referencia a los mismos en esta Ley, tendrán los significados que se indican a continuación, a no ser que del contexto se entienda claramente otra cosa:</w:t>
      </w:r>
    </w:p>
    <w:p w14:paraId="4DC190F9" w14:textId="77777777" w:rsidR="00191362" w:rsidRPr="003D7B86" w:rsidRDefault="00191362" w:rsidP="00191362">
      <w:pPr>
        <w:pStyle w:val="BodyText"/>
        <w:numPr>
          <w:ilvl w:val="0"/>
          <w:numId w:val="16"/>
        </w:numPr>
        <w:spacing w:line="480" w:lineRule="auto"/>
        <w:rPr>
          <w:rFonts w:ascii="Book Antiqua" w:hAnsi="Book Antiqua"/>
          <w:color w:val="000000" w:themeColor="text1"/>
        </w:rPr>
      </w:pPr>
      <w:r w:rsidRPr="00E6099F">
        <w:rPr>
          <w:rFonts w:ascii="Book Antiqua" w:hAnsi="Book Antiqua"/>
          <w:color w:val="000000" w:themeColor="text1"/>
          <w:lang w:val="es-ES"/>
        </w:rPr>
        <w:t xml:space="preserve">… </w:t>
      </w:r>
    </w:p>
    <w:p w14:paraId="15E36F22" w14:textId="77777777" w:rsidR="00191362" w:rsidRPr="00434DCF" w:rsidRDefault="00191362" w:rsidP="00191362">
      <w:pPr>
        <w:pStyle w:val="BodyText"/>
        <w:numPr>
          <w:ilvl w:val="0"/>
          <w:numId w:val="16"/>
        </w:numPr>
        <w:spacing w:line="480" w:lineRule="auto"/>
        <w:rPr>
          <w:rFonts w:ascii="Book Antiqua" w:hAnsi="Book Antiqua"/>
          <w:i/>
          <w:iCs/>
          <w:color w:val="000000" w:themeColor="text1"/>
        </w:rPr>
      </w:pPr>
      <w:r w:rsidRPr="00E6099F">
        <w:rPr>
          <w:rFonts w:ascii="Book Antiqua" w:hAnsi="Book Antiqua"/>
          <w:color w:val="000000" w:themeColor="text1"/>
        </w:rPr>
        <w:lastRenderedPageBreak/>
        <w:t xml:space="preserve">Entidad Beneficiada — Significará todo municipio, corporación pública, subdivisión política o instrumentalidad del </w:t>
      </w:r>
      <w:r w:rsidRPr="00E6099F">
        <w:rPr>
          <w:rFonts w:ascii="Book Antiqua" w:hAnsi="Book Antiqua"/>
          <w:i/>
          <w:iCs/>
          <w:color w:val="000000" w:themeColor="text1"/>
          <w:lang w:val="es-ES"/>
        </w:rPr>
        <w:t>Gobierno de Puerto Rico</w:t>
      </w:r>
      <w:r w:rsidRPr="00E6099F">
        <w:rPr>
          <w:rFonts w:ascii="Book Antiqua" w:hAnsi="Book Antiqua"/>
          <w:color w:val="000000" w:themeColor="text1"/>
          <w:lang w:val="es-ES"/>
        </w:rPr>
        <w:t xml:space="preserve"> </w:t>
      </w:r>
      <w:r w:rsidRPr="00C142B8">
        <w:rPr>
          <w:rFonts w:ascii="Book Antiqua" w:hAnsi="Book Antiqua"/>
          <w:b/>
          <w:bCs/>
          <w:color w:val="000000" w:themeColor="text1"/>
          <w:lang w:val="es-ES"/>
        </w:rPr>
        <w:t>[Estado Libre Asociado]</w:t>
      </w:r>
      <w:r w:rsidRPr="00583ED5">
        <w:rPr>
          <w:rFonts w:ascii="Book Antiqua" w:hAnsi="Book Antiqua"/>
          <w:i/>
          <w:iCs/>
          <w:color w:val="000000" w:themeColor="text1"/>
          <w:lang w:val="es-ES"/>
        </w:rPr>
        <w:t>, así como a</w:t>
      </w:r>
      <w:r w:rsidRPr="00583ED5">
        <w:rPr>
          <w:rFonts w:ascii="Book Antiqua" w:hAnsi="Book Antiqua"/>
          <w:i/>
          <w:iCs/>
          <w:color w:val="000000" w:themeColor="text1"/>
        </w:rPr>
        <w:t xml:space="preserve"> organizaciones </w:t>
      </w:r>
      <w:r w:rsidRPr="00E6099F">
        <w:rPr>
          <w:rFonts w:ascii="Book Antiqua" w:hAnsi="Book Antiqua"/>
          <w:i/>
          <w:iCs/>
          <w:color w:val="000000" w:themeColor="text1"/>
        </w:rPr>
        <w:t>sin</w:t>
      </w:r>
      <w:r w:rsidRPr="00911292">
        <w:rPr>
          <w:rFonts w:ascii="Book Antiqua" w:hAnsi="Book Antiqua"/>
          <w:i/>
          <w:iCs/>
          <w:color w:val="000000" w:themeColor="text1"/>
        </w:rPr>
        <w:t xml:space="preserve"> fines de lucro debidamente registradas y en cumplimiento con las disposiciones de </w:t>
      </w:r>
      <w:r w:rsidRPr="00583ED5">
        <w:rPr>
          <w:rFonts w:ascii="Book Antiqua" w:hAnsi="Book Antiqua"/>
          <w:i/>
          <w:iCs/>
          <w:color w:val="000000" w:themeColor="text1"/>
        </w:rPr>
        <w:t>la Ley 164-2009,</w:t>
      </w:r>
      <w:r w:rsidRPr="00911292">
        <w:rPr>
          <w:rFonts w:ascii="Book Antiqua" w:hAnsi="Book Antiqua"/>
          <w:i/>
          <w:iCs/>
          <w:color w:val="000000" w:themeColor="text1"/>
        </w:rPr>
        <w:t xml:space="preserve"> según enmendada, conocida como </w:t>
      </w:r>
      <w:r w:rsidRPr="00583ED5">
        <w:rPr>
          <w:rFonts w:ascii="Book Antiqua" w:hAnsi="Book Antiqua"/>
          <w:i/>
          <w:iCs/>
          <w:color w:val="000000" w:themeColor="text1"/>
        </w:rPr>
        <w:t>Ley General de Corporaciones, y que cuenten</w:t>
      </w:r>
      <w:r w:rsidRPr="003766BD">
        <w:rPr>
          <w:rFonts w:ascii="Book Antiqua" w:hAnsi="Book Antiqua"/>
          <w:i/>
          <w:iCs/>
          <w:color w:val="000000" w:themeColor="text1"/>
        </w:rPr>
        <w:t xml:space="preserve"> con</w:t>
      </w:r>
      <w:r>
        <w:rPr>
          <w:rFonts w:ascii="Book Antiqua" w:hAnsi="Book Antiqua"/>
          <w:i/>
          <w:iCs/>
          <w:color w:val="000000" w:themeColor="text1"/>
        </w:rPr>
        <w:t xml:space="preserve"> la certificación de </w:t>
      </w:r>
      <w:r w:rsidRPr="003766BD">
        <w:rPr>
          <w:rFonts w:ascii="Book Antiqua" w:hAnsi="Book Antiqua"/>
          <w:i/>
          <w:iCs/>
          <w:color w:val="000000" w:themeColor="text1"/>
        </w:rPr>
        <w:t>exención contributiva federal y/o estatal</w:t>
      </w:r>
      <w:r>
        <w:rPr>
          <w:rFonts w:ascii="Book Antiqua" w:hAnsi="Book Antiqua"/>
          <w:i/>
          <w:iCs/>
          <w:color w:val="000000" w:themeColor="text1"/>
        </w:rPr>
        <w:t>. La Autoridad podrá proveer</w:t>
      </w:r>
      <w:r w:rsidRPr="00E6099F">
        <w:rPr>
          <w:rFonts w:ascii="Book Antiqua" w:hAnsi="Book Antiqua"/>
          <w:color w:val="000000" w:themeColor="text1"/>
        </w:rPr>
        <w:t xml:space="preserve"> </w:t>
      </w:r>
      <w:r w:rsidRPr="00A5575C">
        <w:rPr>
          <w:rFonts w:ascii="Book Antiqua" w:hAnsi="Book Antiqua"/>
          <w:b/>
          <w:bCs/>
          <w:color w:val="000000" w:themeColor="text1"/>
        </w:rPr>
        <w:t>[a la cual se provea]</w:t>
      </w:r>
      <w:r w:rsidRPr="00E6099F">
        <w:rPr>
          <w:rFonts w:ascii="Book Antiqua" w:hAnsi="Book Antiqua"/>
          <w:color w:val="000000" w:themeColor="text1"/>
        </w:rPr>
        <w:t xml:space="preserve"> asistencia financiera, administrativa, consultiva, técnica, de asesoramiento o de otra naturaleza</w:t>
      </w:r>
      <w:r>
        <w:rPr>
          <w:rFonts w:ascii="Book Antiqua" w:hAnsi="Book Antiqua"/>
          <w:color w:val="000000" w:themeColor="text1"/>
        </w:rPr>
        <w:t xml:space="preserve"> </w:t>
      </w:r>
      <w:r>
        <w:rPr>
          <w:rFonts w:ascii="Book Antiqua" w:hAnsi="Book Antiqua"/>
          <w:i/>
          <w:iCs/>
          <w:color w:val="000000" w:themeColor="text1"/>
        </w:rPr>
        <w:t>a estas entidades</w:t>
      </w:r>
      <w:r w:rsidRPr="00E6099F">
        <w:rPr>
          <w:rFonts w:ascii="Book Antiqua" w:hAnsi="Book Antiqua"/>
          <w:color w:val="000000" w:themeColor="text1"/>
        </w:rPr>
        <w:t xml:space="preserve">, </w:t>
      </w:r>
      <w:r>
        <w:rPr>
          <w:rFonts w:ascii="Book Antiqua" w:hAnsi="Book Antiqua"/>
          <w:i/>
          <w:iCs/>
          <w:color w:val="000000" w:themeColor="text1"/>
        </w:rPr>
        <w:t xml:space="preserve">conforme a </w:t>
      </w:r>
      <w:r w:rsidRPr="001716AD">
        <w:rPr>
          <w:rFonts w:ascii="Book Antiqua" w:hAnsi="Book Antiqua"/>
          <w:b/>
          <w:bCs/>
          <w:color w:val="000000" w:themeColor="text1"/>
        </w:rPr>
        <w:t xml:space="preserve">[de acuerdo con] </w:t>
      </w:r>
      <w:r w:rsidRPr="00E6099F">
        <w:rPr>
          <w:rFonts w:ascii="Book Antiqua" w:hAnsi="Book Antiqua"/>
          <w:color w:val="000000" w:themeColor="text1"/>
        </w:rPr>
        <w:t xml:space="preserve">las disposiciones de esta Ley. </w:t>
      </w:r>
      <w:r w:rsidRPr="006205C5">
        <w:rPr>
          <w:rFonts w:ascii="Book Antiqua" w:hAnsi="Book Antiqua"/>
          <w:i/>
          <w:iCs/>
          <w:color w:val="000000" w:themeColor="text1"/>
        </w:rPr>
        <w:t xml:space="preserve">Además, </w:t>
      </w:r>
      <w:r>
        <w:rPr>
          <w:rFonts w:ascii="Book Antiqua" w:hAnsi="Book Antiqua"/>
          <w:i/>
          <w:iCs/>
          <w:color w:val="000000" w:themeColor="text1"/>
        </w:rPr>
        <w:t xml:space="preserve">bajo esta definición, se </w:t>
      </w:r>
      <w:r w:rsidRPr="006205C5">
        <w:rPr>
          <w:rFonts w:ascii="Book Antiqua" w:hAnsi="Book Antiqua"/>
          <w:i/>
          <w:iCs/>
          <w:color w:val="000000" w:themeColor="text1"/>
        </w:rPr>
        <w:t>incluye al Gobierno Federal y cualquiera de sus entidades representativas que administren fondos federales</w:t>
      </w:r>
      <w:r w:rsidRPr="00E6099F">
        <w:rPr>
          <w:rFonts w:ascii="Book Antiqua" w:hAnsi="Book Antiqua"/>
          <w:i/>
          <w:iCs/>
          <w:color w:val="000000" w:themeColor="text1"/>
        </w:rPr>
        <w:t xml:space="preserve">. </w:t>
      </w:r>
    </w:p>
    <w:p w14:paraId="512B3A8D" w14:textId="77777777" w:rsidR="00191362" w:rsidRPr="0004692C" w:rsidRDefault="00191362" w:rsidP="00191362">
      <w:pPr>
        <w:pStyle w:val="BodyText"/>
        <w:numPr>
          <w:ilvl w:val="0"/>
          <w:numId w:val="16"/>
        </w:numPr>
        <w:spacing w:line="480" w:lineRule="auto"/>
        <w:rPr>
          <w:rFonts w:ascii="Book Antiqua" w:hAnsi="Book Antiqua"/>
          <w:i/>
          <w:iCs/>
          <w:color w:val="000000" w:themeColor="text1"/>
        </w:rPr>
      </w:pPr>
      <w:r>
        <w:rPr>
          <w:rFonts w:ascii="Book Antiqua" w:hAnsi="Book Antiqua"/>
          <w:color w:val="000000" w:themeColor="text1"/>
        </w:rPr>
        <w:t>…</w:t>
      </w:r>
    </w:p>
    <w:p w14:paraId="02720CD7" w14:textId="77777777" w:rsidR="00191362" w:rsidRPr="0004692C" w:rsidRDefault="00191362" w:rsidP="00191362">
      <w:pPr>
        <w:pStyle w:val="BodyText"/>
        <w:spacing w:line="480" w:lineRule="auto"/>
        <w:ind w:left="720" w:firstLine="360"/>
        <w:rPr>
          <w:rFonts w:ascii="Book Antiqua" w:hAnsi="Book Antiqua"/>
          <w:i/>
          <w:iCs/>
          <w:color w:val="000000" w:themeColor="text1"/>
        </w:rPr>
      </w:pPr>
      <w:r>
        <w:rPr>
          <w:rFonts w:ascii="Book Antiqua" w:hAnsi="Book Antiqua"/>
          <w:color w:val="000000" w:themeColor="text1"/>
        </w:rPr>
        <w:t>…</w:t>
      </w:r>
    </w:p>
    <w:p w14:paraId="6C6350DF" w14:textId="77777777" w:rsidR="00191362" w:rsidRPr="00C34BB0" w:rsidRDefault="00191362" w:rsidP="00191362">
      <w:pPr>
        <w:pStyle w:val="BodyText"/>
        <w:numPr>
          <w:ilvl w:val="0"/>
          <w:numId w:val="17"/>
        </w:numPr>
        <w:spacing w:line="480" w:lineRule="auto"/>
        <w:rPr>
          <w:rFonts w:ascii="Book Antiqua" w:hAnsi="Book Antiqua"/>
          <w:b/>
          <w:bCs/>
          <w:color w:val="000000" w:themeColor="text1"/>
        </w:rPr>
      </w:pPr>
      <w:r w:rsidRPr="00014F10">
        <w:rPr>
          <w:rFonts w:ascii="Book Antiqua" w:hAnsi="Book Antiqua"/>
          <w:color w:val="000000" w:themeColor="text1"/>
        </w:rPr>
        <w:t xml:space="preserve">Infraestructura — </w:t>
      </w:r>
      <w:r w:rsidRPr="00C34BB0">
        <w:rPr>
          <w:rFonts w:ascii="Book Antiqua" w:hAnsi="Book Antiqua"/>
          <w:b/>
          <w:bCs/>
          <w:color w:val="000000" w:themeColor="text1"/>
        </w:rPr>
        <w:t>[</w:t>
      </w:r>
      <w:bookmarkStart w:id="3" w:name="_Hlk193371860"/>
      <w:r w:rsidRPr="00C34BB0">
        <w:rPr>
          <w:rFonts w:ascii="Book Antiqua" w:hAnsi="Book Antiqua"/>
          <w:b/>
          <w:bCs/>
          <w:color w:val="000000" w:themeColor="text1"/>
        </w:rPr>
        <w:t>Significará aquellas obras capitales y facilidades de interés público sustancial, tales como</w:t>
      </w:r>
      <w:bookmarkEnd w:id="3"/>
      <w:r>
        <w:rPr>
          <w:rFonts w:ascii="Book Antiqua" w:hAnsi="Book Antiqua"/>
          <w:b/>
          <w:bCs/>
          <w:color w:val="000000" w:themeColor="text1"/>
        </w:rPr>
        <w:t xml:space="preserve"> </w:t>
      </w:r>
      <w:r w:rsidRPr="00C34BB0">
        <w:rPr>
          <w:rFonts w:ascii="Book Antiqua" w:hAnsi="Book Antiqua"/>
          <w:b/>
          <w:bCs/>
          <w:color w:val="000000" w:themeColor="text1"/>
        </w:rPr>
        <w:t xml:space="preserve">sistemas de acueductos y alcantarillados incluyendo todos los sistemas para suplir, tratar y distribuir agua, sistemas de tratamiento y eliminación de aguas de albañal, mejoras que sean financiadas bajo las disposiciones de la Ley Federal de Agua Limpia y de la Ley Federal de Agua Potable o cualquier otra legislación o reglamento Federal similar o relacionado, sistemas de eliminación de desperdicios sólidos y peligrosos, sistemas de recuperación de recursos, sistemas de energía eléctrica, autopistas, carreteras, paseos peatonales, facilidades de estacionamiento, aeropuertos, centros de convenciones, </w:t>
      </w:r>
      <w:r w:rsidRPr="00C34BB0">
        <w:rPr>
          <w:rFonts w:ascii="Book Antiqua" w:hAnsi="Book Antiqua"/>
          <w:b/>
          <w:bCs/>
          <w:color w:val="000000" w:themeColor="text1"/>
        </w:rPr>
        <w:lastRenderedPageBreak/>
        <w:t>puentes, puertos marítimos, túneles, sistemas de transportación incluyendo los de transportación colectiva, sistemas de comunicación incluyendo teléfonos, facilidades industriales, tierras y recursos naturales, vivienda pública y toda clase de facilidades de infraestructura turística, médica y agroindustrial.]</w:t>
      </w:r>
    </w:p>
    <w:p w14:paraId="392260C4" w14:textId="77777777" w:rsidR="00191362" w:rsidRPr="00A55297" w:rsidRDefault="00191362" w:rsidP="00191362">
      <w:pPr>
        <w:pStyle w:val="BodyText"/>
        <w:spacing w:line="480" w:lineRule="auto"/>
        <w:ind w:left="1080"/>
        <w:rPr>
          <w:rFonts w:ascii="Book Antiqua" w:hAnsi="Book Antiqua"/>
          <w:i/>
          <w:iCs/>
          <w:color w:val="000000" w:themeColor="text1"/>
        </w:rPr>
      </w:pPr>
      <w:r w:rsidRPr="00A55297">
        <w:rPr>
          <w:rFonts w:ascii="Book Antiqua" w:hAnsi="Book Antiqua"/>
          <w:i/>
          <w:iCs/>
          <w:color w:val="000000" w:themeColor="text1"/>
        </w:rPr>
        <w:t>Significará aquellas obras capitales y facilidades de interés público sustancial, tales como:</w:t>
      </w:r>
    </w:p>
    <w:p w14:paraId="76E72361" w14:textId="77777777" w:rsidR="00191362" w:rsidRPr="00A55297" w:rsidRDefault="00191362" w:rsidP="00191362">
      <w:pPr>
        <w:pStyle w:val="BodyText"/>
        <w:numPr>
          <w:ilvl w:val="0"/>
          <w:numId w:val="15"/>
        </w:numPr>
        <w:spacing w:line="480" w:lineRule="auto"/>
        <w:rPr>
          <w:rFonts w:ascii="Book Antiqua" w:hAnsi="Book Antiqua"/>
          <w:i/>
          <w:iCs/>
          <w:color w:val="000000" w:themeColor="text1"/>
        </w:rPr>
      </w:pPr>
      <w:r w:rsidRPr="00A55297">
        <w:rPr>
          <w:rFonts w:ascii="Book Antiqua" w:hAnsi="Book Antiqua"/>
          <w:i/>
          <w:iCs/>
          <w:color w:val="000000" w:themeColor="text1"/>
        </w:rPr>
        <w:t>Sistemas de acueductos y alcantarillados, incluyendo todos los sistemas para suplir, tratar y distribuir agua, sistemas de tratamiento y eliminación de aguas de albañal, mejoras que sean financiadas bajo las disposiciones de la Ley Federal de Agua Limpia y de la Ley Federal de Agua Potable o cualquier otra legislación o reglamento Federal similar o relacionado, sistemas de eliminación de desperdicios sólidos y peligrosos, sistemas de recuperación de recursos, sistemas de energía eléctrica, sistemas de tanques de abastecimiento de combustibles para emergencias, autopistas, carreteras, paseos peatonales, facilidades de estacionamiento, aeropuertos, centros de convenciones, puentes, puertos marítimos, túneles, sistemas de transportación incluyendo los de transportación colectiva, sistemas de comunicación incluyendo teléfonos, facilidades industriales, tierras y recursos naturales, vivienda pública, escuelas y toda clase de facilidades de infraestructura turística, médica, deportiva gubernamental y agroindustrial, entre otros.</w:t>
      </w:r>
    </w:p>
    <w:p w14:paraId="1C453AD3" w14:textId="77777777" w:rsidR="00191362" w:rsidRPr="00E6099F" w:rsidRDefault="00191362" w:rsidP="00191362">
      <w:pPr>
        <w:pStyle w:val="BodyText"/>
        <w:numPr>
          <w:ilvl w:val="0"/>
          <w:numId w:val="15"/>
        </w:numPr>
        <w:spacing w:line="480" w:lineRule="auto"/>
        <w:rPr>
          <w:rFonts w:ascii="Book Antiqua" w:hAnsi="Book Antiqua"/>
          <w:i/>
          <w:iCs/>
          <w:color w:val="000000" w:themeColor="text1"/>
        </w:rPr>
      </w:pPr>
      <w:r w:rsidRPr="00A55297">
        <w:rPr>
          <w:rFonts w:ascii="Book Antiqua" w:hAnsi="Book Antiqua"/>
          <w:i/>
          <w:iCs/>
          <w:color w:val="000000" w:themeColor="text1"/>
        </w:rPr>
        <w:lastRenderedPageBreak/>
        <w:t>Toda actividad relacionada con la infraestructura previamente mencionada en la que la Autoridad para el Financiamiento de la Infraestructura intervenga, ya sea en beneficio del Pueblo de Puerto Rico en general, de una entidad beneficiada en particular, o por encomienda o autorización del gobierno estatal, municipal o federal, quedará excluida de las disposiciones de la Ley 73-2019 o de cualquier legislación que la sustituya.</w:t>
      </w:r>
    </w:p>
    <w:p w14:paraId="26EE6A6D" w14:textId="77777777" w:rsidR="00191362" w:rsidRDefault="00191362" w:rsidP="00191362">
      <w:pPr>
        <w:pStyle w:val="BodyText"/>
        <w:numPr>
          <w:ilvl w:val="0"/>
          <w:numId w:val="17"/>
        </w:numPr>
        <w:spacing w:line="480" w:lineRule="auto"/>
        <w:rPr>
          <w:rFonts w:ascii="Book Antiqua" w:hAnsi="Book Antiqua"/>
          <w:i/>
          <w:iCs/>
          <w:color w:val="000000" w:themeColor="text1"/>
        </w:rPr>
      </w:pPr>
      <w:r w:rsidRPr="00D919DB">
        <w:rPr>
          <w:rFonts w:ascii="Book Antiqua" w:hAnsi="Book Antiqua"/>
          <w:i/>
          <w:iCs/>
          <w:color w:val="000000" w:themeColor="text1"/>
        </w:rPr>
        <w:t>Infraestructura Cr</w:t>
      </w:r>
      <w:r>
        <w:rPr>
          <w:rFonts w:ascii="Book Antiqua" w:hAnsi="Book Antiqua"/>
          <w:i/>
          <w:iCs/>
          <w:color w:val="000000" w:themeColor="text1"/>
        </w:rPr>
        <w:t>í</w:t>
      </w:r>
      <w:r w:rsidRPr="00D919DB">
        <w:rPr>
          <w:rFonts w:ascii="Book Antiqua" w:hAnsi="Book Antiqua"/>
          <w:i/>
          <w:iCs/>
          <w:color w:val="000000" w:themeColor="text1"/>
        </w:rPr>
        <w:t>tica —Significará todas aquellas estructuras desde las cuales se prestan o proporcionan servicios y funciones esenciales para la supervivencia de los ciudadanos, la continuidad de las operaciones de seguridad pública y la recuperación ante desastres. Esto incluye, pero no se limita a, refugios, centros de operaciones de emergencia, instalaciones de salud pública, sistemas de agua potable, alcantarillado y tratamiento de aguas residuales, entre otras.</w:t>
      </w:r>
    </w:p>
    <w:p w14:paraId="23758CCC" w14:textId="77777777" w:rsidR="00191362" w:rsidRDefault="00191362" w:rsidP="00191362">
      <w:pPr>
        <w:pStyle w:val="BodyText"/>
        <w:numPr>
          <w:ilvl w:val="0"/>
          <w:numId w:val="17"/>
        </w:numPr>
        <w:spacing w:line="480" w:lineRule="auto"/>
        <w:rPr>
          <w:rFonts w:ascii="Book Antiqua" w:hAnsi="Book Antiqua"/>
          <w:i/>
          <w:iCs/>
          <w:color w:val="000000" w:themeColor="text1"/>
        </w:rPr>
      </w:pPr>
      <w:r w:rsidRPr="008E3800">
        <w:rPr>
          <w:rFonts w:ascii="Book Antiqua" w:hAnsi="Book Antiqua"/>
          <w:b/>
          <w:bCs/>
          <w:color w:val="000000" w:themeColor="text1"/>
        </w:rPr>
        <w:t>[j]</w:t>
      </w:r>
      <w:r w:rsidRPr="008E3800">
        <w:rPr>
          <w:rFonts w:ascii="Book Antiqua" w:hAnsi="Book Antiqua"/>
          <w:color w:val="000000" w:themeColor="text1"/>
        </w:rPr>
        <w:t xml:space="preserve"> …</w:t>
      </w:r>
    </w:p>
    <w:p w14:paraId="6FA74699" w14:textId="77777777" w:rsidR="00191362" w:rsidRDefault="00191362" w:rsidP="00191362">
      <w:pPr>
        <w:pStyle w:val="BodyText"/>
        <w:numPr>
          <w:ilvl w:val="0"/>
          <w:numId w:val="17"/>
        </w:numPr>
        <w:spacing w:line="480" w:lineRule="auto"/>
        <w:rPr>
          <w:rFonts w:ascii="Book Antiqua" w:hAnsi="Book Antiqua"/>
          <w:i/>
          <w:iCs/>
          <w:color w:val="000000" w:themeColor="text1"/>
        </w:rPr>
      </w:pPr>
      <w:r w:rsidRPr="008E3800">
        <w:rPr>
          <w:rFonts w:ascii="Book Antiqua" w:hAnsi="Book Antiqua"/>
          <w:b/>
          <w:bCs/>
          <w:color w:val="000000" w:themeColor="text1"/>
        </w:rPr>
        <w:t>[k]</w:t>
      </w:r>
      <w:r w:rsidRPr="008E3800">
        <w:rPr>
          <w:rFonts w:ascii="Book Antiqua" w:hAnsi="Book Antiqua"/>
          <w:color w:val="000000" w:themeColor="text1"/>
        </w:rPr>
        <w:t xml:space="preserve"> …</w:t>
      </w:r>
    </w:p>
    <w:p w14:paraId="7F4C4946" w14:textId="77777777" w:rsidR="00191362" w:rsidRDefault="00191362" w:rsidP="00191362">
      <w:pPr>
        <w:pStyle w:val="BodyText"/>
        <w:numPr>
          <w:ilvl w:val="0"/>
          <w:numId w:val="17"/>
        </w:numPr>
        <w:spacing w:line="480" w:lineRule="auto"/>
        <w:rPr>
          <w:rFonts w:ascii="Book Antiqua" w:hAnsi="Book Antiqua"/>
          <w:i/>
          <w:iCs/>
          <w:color w:val="000000" w:themeColor="text1"/>
        </w:rPr>
      </w:pPr>
      <w:r w:rsidRPr="008E3800">
        <w:rPr>
          <w:rFonts w:ascii="Book Antiqua" w:hAnsi="Book Antiqua"/>
          <w:b/>
          <w:bCs/>
          <w:color w:val="000000" w:themeColor="text1"/>
        </w:rPr>
        <w:t>[l]</w:t>
      </w:r>
      <w:r w:rsidRPr="008E3800">
        <w:rPr>
          <w:rFonts w:ascii="Book Antiqua" w:hAnsi="Book Antiqua"/>
          <w:color w:val="000000" w:themeColor="text1"/>
        </w:rPr>
        <w:t xml:space="preserve"> …</w:t>
      </w:r>
    </w:p>
    <w:p w14:paraId="2CA3FFA3" w14:textId="77777777" w:rsidR="00191362" w:rsidRDefault="00191362" w:rsidP="00191362">
      <w:pPr>
        <w:pStyle w:val="BodyText"/>
        <w:numPr>
          <w:ilvl w:val="0"/>
          <w:numId w:val="17"/>
        </w:numPr>
        <w:spacing w:line="480" w:lineRule="auto"/>
        <w:rPr>
          <w:rFonts w:ascii="Book Antiqua" w:hAnsi="Book Antiqua"/>
          <w:i/>
          <w:iCs/>
          <w:color w:val="000000" w:themeColor="text1"/>
        </w:rPr>
      </w:pPr>
      <w:r w:rsidRPr="008E3800">
        <w:rPr>
          <w:rFonts w:ascii="Book Antiqua" w:hAnsi="Book Antiqua"/>
          <w:b/>
          <w:bCs/>
          <w:color w:val="000000" w:themeColor="text1"/>
        </w:rPr>
        <w:t>[m]</w:t>
      </w:r>
      <w:r w:rsidRPr="008E3800">
        <w:rPr>
          <w:rFonts w:ascii="Book Antiqua" w:hAnsi="Book Antiqua"/>
          <w:color w:val="000000" w:themeColor="text1"/>
        </w:rPr>
        <w:t xml:space="preserve"> …</w:t>
      </w:r>
    </w:p>
    <w:p w14:paraId="2A92D7C6" w14:textId="77777777" w:rsidR="00191362" w:rsidRDefault="00191362" w:rsidP="00191362">
      <w:pPr>
        <w:pStyle w:val="BodyText"/>
        <w:numPr>
          <w:ilvl w:val="0"/>
          <w:numId w:val="17"/>
        </w:numPr>
        <w:spacing w:line="480" w:lineRule="auto"/>
        <w:rPr>
          <w:rFonts w:ascii="Book Antiqua" w:hAnsi="Book Antiqua"/>
          <w:i/>
          <w:iCs/>
          <w:color w:val="000000" w:themeColor="text1"/>
        </w:rPr>
      </w:pPr>
      <w:r w:rsidRPr="008E3800">
        <w:rPr>
          <w:rFonts w:ascii="Book Antiqua" w:hAnsi="Book Antiqua"/>
          <w:b/>
          <w:bCs/>
          <w:color w:val="000000" w:themeColor="text1"/>
        </w:rPr>
        <w:t>[n]</w:t>
      </w:r>
      <w:r w:rsidRPr="008E3800">
        <w:rPr>
          <w:rFonts w:ascii="Book Antiqua" w:hAnsi="Book Antiqua"/>
          <w:color w:val="000000" w:themeColor="text1"/>
        </w:rPr>
        <w:t xml:space="preserve"> …</w:t>
      </w:r>
    </w:p>
    <w:p w14:paraId="5E6C8C50" w14:textId="77777777" w:rsidR="00191362" w:rsidRDefault="00191362" w:rsidP="00191362">
      <w:pPr>
        <w:pStyle w:val="BodyText"/>
        <w:numPr>
          <w:ilvl w:val="0"/>
          <w:numId w:val="17"/>
        </w:numPr>
        <w:spacing w:line="480" w:lineRule="auto"/>
        <w:rPr>
          <w:rFonts w:ascii="Book Antiqua" w:hAnsi="Book Antiqua"/>
          <w:i/>
          <w:iCs/>
          <w:color w:val="000000" w:themeColor="text1"/>
        </w:rPr>
      </w:pPr>
      <w:r w:rsidRPr="008E3800">
        <w:rPr>
          <w:rFonts w:ascii="Book Antiqua" w:hAnsi="Book Antiqua"/>
          <w:b/>
          <w:bCs/>
          <w:color w:val="000000" w:themeColor="text1"/>
        </w:rPr>
        <w:t>[o]</w:t>
      </w:r>
      <w:r w:rsidRPr="008E3800">
        <w:rPr>
          <w:rFonts w:ascii="Book Antiqua" w:hAnsi="Book Antiqua"/>
          <w:color w:val="000000" w:themeColor="text1"/>
        </w:rPr>
        <w:t xml:space="preserve"> …</w:t>
      </w:r>
    </w:p>
    <w:p w14:paraId="054FBA8C" w14:textId="77777777" w:rsidR="00191362" w:rsidRDefault="00191362" w:rsidP="00191362">
      <w:pPr>
        <w:pStyle w:val="BodyText"/>
        <w:numPr>
          <w:ilvl w:val="0"/>
          <w:numId w:val="17"/>
        </w:numPr>
        <w:spacing w:line="480" w:lineRule="auto"/>
        <w:rPr>
          <w:rFonts w:ascii="Book Antiqua" w:hAnsi="Book Antiqua"/>
          <w:i/>
          <w:iCs/>
          <w:color w:val="000000" w:themeColor="text1"/>
        </w:rPr>
      </w:pPr>
      <w:r w:rsidRPr="008E3800">
        <w:rPr>
          <w:rFonts w:ascii="Book Antiqua" w:hAnsi="Book Antiqua"/>
          <w:b/>
          <w:bCs/>
          <w:color w:val="000000" w:themeColor="text1"/>
        </w:rPr>
        <w:t>[p]</w:t>
      </w:r>
      <w:r w:rsidRPr="008E3800">
        <w:rPr>
          <w:rFonts w:ascii="Book Antiqua" w:hAnsi="Book Antiqua"/>
          <w:color w:val="000000" w:themeColor="text1"/>
        </w:rPr>
        <w:t xml:space="preserve"> …</w:t>
      </w:r>
    </w:p>
    <w:p w14:paraId="5EB44C66" w14:textId="77777777" w:rsidR="00191362" w:rsidRDefault="00191362" w:rsidP="00191362">
      <w:pPr>
        <w:pStyle w:val="BodyText"/>
        <w:numPr>
          <w:ilvl w:val="0"/>
          <w:numId w:val="17"/>
        </w:numPr>
        <w:spacing w:line="480" w:lineRule="auto"/>
        <w:rPr>
          <w:rFonts w:ascii="Book Antiqua" w:hAnsi="Book Antiqua"/>
          <w:i/>
          <w:iCs/>
          <w:color w:val="000000" w:themeColor="text1"/>
        </w:rPr>
      </w:pPr>
      <w:r w:rsidRPr="008E3800">
        <w:rPr>
          <w:rFonts w:ascii="Book Antiqua" w:hAnsi="Book Antiqua"/>
          <w:b/>
          <w:bCs/>
          <w:color w:val="000000" w:themeColor="text1"/>
        </w:rPr>
        <w:t>[q]</w:t>
      </w:r>
      <w:r w:rsidRPr="008E3800">
        <w:rPr>
          <w:rFonts w:ascii="Book Antiqua" w:hAnsi="Book Antiqua"/>
          <w:color w:val="000000" w:themeColor="text1"/>
        </w:rPr>
        <w:t xml:space="preserve"> …</w:t>
      </w:r>
    </w:p>
    <w:p w14:paraId="45E3C018" w14:textId="77777777" w:rsidR="00191362" w:rsidRDefault="00191362" w:rsidP="00191362">
      <w:pPr>
        <w:pStyle w:val="BodyText"/>
        <w:numPr>
          <w:ilvl w:val="0"/>
          <w:numId w:val="17"/>
        </w:numPr>
        <w:spacing w:line="480" w:lineRule="auto"/>
        <w:rPr>
          <w:rFonts w:ascii="Book Antiqua" w:hAnsi="Book Antiqua"/>
          <w:i/>
          <w:iCs/>
          <w:color w:val="000000" w:themeColor="text1"/>
        </w:rPr>
      </w:pPr>
      <w:r w:rsidRPr="008E3800">
        <w:rPr>
          <w:rFonts w:ascii="Book Antiqua" w:hAnsi="Book Antiqua"/>
          <w:b/>
          <w:bCs/>
          <w:color w:val="000000" w:themeColor="text1"/>
        </w:rPr>
        <w:t>[r]</w:t>
      </w:r>
      <w:r w:rsidRPr="008E3800">
        <w:rPr>
          <w:rFonts w:ascii="Book Antiqua" w:hAnsi="Book Antiqua"/>
          <w:color w:val="000000" w:themeColor="text1"/>
        </w:rPr>
        <w:t xml:space="preserve"> …</w:t>
      </w:r>
    </w:p>
    <w:p w14:paraId="4D4D26CB" w14:textId="77777777" w:rsidR="00191362" w:rsidRPr="000421D1" w:rsidRDefault="00191362" w:rsidP="00191362">
      <w:pPr>
        <w:pStyle w:val="BodyText"/>
        <w:numPr>
          <w:ilvl w:val="0"/>
          <w:numId w:val="17"/>
        </w:numPr>
        <w:spacing w:line="480" w:lineRule="auto"/>
        <w:rPr>
          <w:rFonts w:ascii="Book Antiqua" w:hAnsi="Book Antiqua"/>
          <w:i/>
          <w:iCs/>
          <w:color w:val="000000" w:themeColor="text1"/>
        </w:rPr>
      </w:pPr>
      <w:r w:rsidRPr="008E3800">
        <w:rPr>
          <w:rFonts w:ascii="Book Antiqua" w:hAnsi="Book Antiqua"/>
          <w:b/>
          <w:bCs/>
          <w:color w:val="000000" w:themeColor="text1"/>
        </w:rPr>
        <w:t>[s]</w:t>
      </w:r>
      <w:r w:rsidRPr="008E3800">
        <w:rPr>
          <w:rFonts w:ascii="Book Antiqua" w:hAnsi="Book Antiqua"/>
          <w:color w:val="000000" w:themeColor="text1"/>
        </w:rPr>
        <w:t>…”</w:t>
      </w:r>
    </w:p>
    <w:p w14:paraId="23D61DED" w14:textId="77777777" w:rsidR="00191362" w:rsidRPr="00525F1B" w:rsidRDefault="00191362" w:rsidP="00191362">
      <w:pPr>
        <w:pStyle w:val="BodyText"/>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lastRenderedPageBreak/>
        <w:t xml:space="preserve">Sección </w:t>
      </w:r>
      <w:r w:rsidRPr="00525F1B">
        <w:rPr>
          <w:rFonts w:ascii="Book Antiqua" w:eastAsia="Book Antiqua" w:hAnsi="Book Antiqua" w:cs="Book Antiqua"/>
          <w:color w:val="000000" w:themeColor="text1"/>
        </w:rPr>
        <w:t>4.</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 xml:space="preserve">Reglamentación. </w:t>
      </w:r>
    </w:p>
    <w:p w14:paraId="6846E151" w14:textId="77777777" w:rsidR="00191362" w:rsidRPr="00525F1B" w:rsidRDefault="00191362" w:rsidP="00191362">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 xml:space="preserve">Se faculta a la </w:t>
      </w:r>
      <w:r>
        <w:rPr>
          <w:rFonts w:ascii="Book Antiqua" w:hAnsi="Book Antiqua"/>
          <w:color w:val="000000" w:themeColor="text1"/>
        </w:rPr>
        <w:t>Autoridad para el Financiamiento de la Infraestructura</w:t>
      </w:r>
      <w:r w:rsidRPr="00525F1B">
        <w:rPr>
          <w:rFonts w:ascii="Book Antiqua" w:hAnsi="Book Antiqua"/>
          <w:color w:val="000000" w:themeColor="text1"/>
        </w:rPr>
        <w:t xml:space="preserve"> a promulgar aquella reglamentación que entiendan </w:t>
      </w:r>
      <w:bookmarkStart w:id="4" w:name="_Hlk192504157"/>
      <w:r w:rsidRPr="00525F1B">
        <w:rPr>
          <w:rFonts w:ascii="Book Antiqua" w:hAnsi="Book Antiqua"/>
          <w:color w:val="000000" w:themeColor="text1"/>
        </w:rPr>
        <w:t>pertinente para la mejor implementación de las disposiciones y propósitos de esta Ley</w:t>
      </w:r>
      <w:bookmarkEnd w:id="4"/>
      <w:r w:rsidRPr="00525F1B">
        <w:rPr>
          <w:rFonts w:ascii="Book Antiqua" w:hAnsi="Book Antiqua"/>
          <w:color w:val="000000" w:themeColor="text1"/>
        </w:rPr>
        <w:t>.</w:t>
      </w:r>
    </w:p>
    <w:p w14:paraId="023EC090" w14:textId="77777777" w:rsidR="00191362" w:rsidRPr="00525F1B" w:rsidRDefault="00191362" w:rsidP="00191362">
      <w:pPr>
        <w:pStyle w:val="BodyText"/>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t xml:space="preserve">Sección </w:t>
      </w:r>
      <w:r w:rsidRPr="00525F1B">
        <w:rPr>
          <w:rFonts w:ascii="Book Antiqua" w:eastAsia="Book Antiqua" w:hAnsi="Book Antiqua" w:cs="Book Antiqua"/>
          <w:color w:val="000000" w:themeColor="text1"/>
        </w:rPr>
        <w:t>5.</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 xml:space="preserve">Derogación tácita. </w:t>
      </w:r>
    </w:p>
    <w:p w14:paraId="3C6E0983" w14:textId="77777777" w:rsidR="00191362" w:rsidRPr="00525F1B" w:rsidRDefault="00191362" w:rsidP="00191362">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Cualquier disposición de ley o reglamentación que sea incompatible con las disposiciones de esta Ley queda por la presente derogada hasta donde existiere tal incompatibilidad.</w:t>
      </w:r>
    </w:p>
    <w:p w14:paraId="646FBF15" w14:textId="77777777" w:rsidR="00191362" w:rsidRPr="00525F1B" w:rsidRDefault="00191362" w:rsidP="00191362">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 xml:space="preserve">Sección </w:t>
      </w:r>
      <w:r w:rsidRPr="00525F1B">
        <w:rPr>
          <w:rFonts w:ascii="Book Antiqua" w:eastAsia="Book Antiqua" w:hAnsi="Book Antiqua" w:cs="Book Antiqua"/>
          <w:color w:val="000000" w:themeColor="text1"/>
        </w:rPr>
        <w:t>6.</w:t>
      </w:r>
      <w:r>
        <w:rPr>
          <w:rFonts w:ascii="Book Antiqua" w:eastAsiaTheme="minorHAnsi" w:hAnsi="Book Antiqua" w:cs="Times"/>
          <w:bCs/>
          <w:color w:val="000000" w:themeColor="text1"/>
        </w:rPr>
        <w:t>-</w:t>
      </w:r>
      <w:r w:rsidRPr="00525F1B">
        <w:rPr>
          <w:rFonts w:ascii="Book Antiqua" w:hAnsi="Book Antiqua"/>
          <w:color w:val="000000" w:themeColor="text1"/>
        </w:rPr>
        <w:t>Separabilidad.</w:t>
      </w:r>
    </w:p>
    <w:p w14:paraId="2E0266F7" w14:textId="77777777" w:rsidR="00191362" w:rsidRPr="00525F1B" w:rsidRDefault="00191362" w:rsidP="00191362">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w:t>
      </w:r>
    </w:p>
    <w:p w14:paraId="2D34DF82" w14:textId="77777777" w:rsidR="00191362" w:rsidRPr="00525F1B" w:rsidRDefault="00191362" w:rsidP="00191362">
      <w:pPr>
        <w:pStyle w:val="BodyText"/>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lastRenderedPageBreak/>
        <w:t xml:space="preserve">Sección </w:t>
      </w:r>
      <w:r w:rsidRPr="00525F1B">
        <w:rPr>
          <w:rFonts w:ascii="Book Antiqua" w:eastAsia="Book Antiqua" w:hAnsi="Book Antiqua" w:cs="Book Antiqua"/>
          <w:color w:val="000000" w:themeColor="text1"/>
        </w:rPr>
        <w:t>7.</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Vigencia.</w:t>
      </w:r>
    </w:p>
    <w:p w14:paraId="79550695" w14:textId="6F6DC553" w:rsidR="00FF2214" w:rsidRPr="00A770A7" w:rsidRDefault="00191362" w:rsidP="00191362">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Esta Ley entrará en vigor inmediatamente después de su aprobación</w:t>
      </w:r>
      <w:bookmarkEnd w:id="1"/>
      <w:bookmarkEnd w:id="2"/>
      <w:r w:rsidRPr="00525F1B">
        <w:rPr>
          <w:rFonts w:ascii="Book Antiqua" w:hAnsi="Book Antiqua"/>
          <w:color w:val="000000" w:themeColor="text1"/>
          <w:lang w:val="es-ES"/>
        </w:rPr>
        <w:t>.</w:t>
      </w:r>
    </w:p>
    <w:sectPr w:rsidR="00FF2214" w:rsidRPr="00A770A7">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Default="00425710">
      <w:r>
        <w:separator/>
      </w:r>
    </w:p>
  </w:endnote>
  <w:endnote w:type="continuationSeparator" w:id="0">
    <w:p w14:paraId="79F099AB" w14:textId="77777777" w:rsidR="00425710" w:rsidRDefault="00425710">
      <w:r>
        <w:continuationSeparator/>
      </w:r>
    </w:p>
  </w:endnote>
  <w:endnote w:type="continuationNotice" w:id="1">
    <w:p w14:paraId="3B1D331F" w14:textId="77777777" w:rsidR="00425710"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2E77121C-11A5-454A-86BC-6FE4F4B53679}"/>
    <w:embedBold r:id="rId2" w:fontKey="{5CB73E97-C9B7-4320-B385-D85C0A83CE7D}"/>
    <w:embedItalic r:id="rId3" w:fontKey="{736EE1E3-A9EC-4838-BFD7-7981AE1F8FD2}"/>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FB15A6E3-A099-4D01-8F7B-3719D64BCCBE}"/>
  </w:font>
  <w:font w:name="Georgia">
    <w:panose1 w:val="02040502050405020303"/>
    <w:charset w:val="00"/>
    <w:family w:val="roman"/>
    <w:pitch w:val="variable"/>
    <w:sig w:usb0="00000287" w:usb1="00000000" w:usb2="00000000" w:usb3="00000000" w:csb0="0000009F" w:csb1="00000000"/>
    <w:embedRegular r:id="rId5" w:fontKey="{45AEF04A-1BB0-4942-98D1-837792B9CC9F}"/>
    <w:embedItalic r:id="rId6" w:fontKey="{E922B8F9-87F4-4E0D-BFE1-002A0F46950A}"/>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622B5897-532D-42BA-8F92-44B455479EF2}"/>
    <w:embedItalic r:id="rId8" w:fontKey="{4391FC77-8409-4BB9-BF7C-F2123EDE8403}"/>
  </w:font>
  <w:font w:name="Calibri">
    <w:panose1 w:val="020F0502020204030204"/>
    <w:charset w:val="00"/>
    <w:family w:val="swiss"/>
    <w:pitch w:val="variable"/>
    <w:sig w:usb0="E4002EFF" w:usb1="C200247B" w:usb2="00000009" w:usb3="00000000" w:csb0="000001FF" w:csb1="00000000"/>
    <w:embedRegular r:id="rId9" w:fontKey="{3798D549-A505-4708-AC09-6D915F745664}"/>
  </w:font>
  <w:font w:name="Times">
    <w:panose1 w:val="02020603050405020304"/>
    <w:charset w:val="00"/>
    <w:family w:val="roman"/>
    <w:pitch w:val="variable"/>
    <w:sig w:usb0="E0002EFF" w:usb1="C000785B" w:usb2="00000009" w:usb3="00000000" w:csb0="000001FF" w:csb1="00000000"/>
    <w:embedBold r:id="rId10" w:fontKey="{CF305CB2-1609-4C1C-9B15-F0F7FEC0C11F}"/>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1" w:fontKey="{3E42CDA1-7297-4EEC-9349-464819F1D2C8}"/>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795506AD" w14:textId="77777777">
      <w:trPr>
        <w:trHeight w:val="300"/>
      </w:trPr>
      <w:tc>
        <w:tcPr>
          <w:tcW w:w="3120" w:type="dxa"/>
          <w:tcMar>
            <w:top w:w="0" w:type="dxa"/>
            <w:left w:w="108" w:type="dxa"/>
            <w:bottom w:w="0" w:type="dxa"/>
            <w:right w:w="108" w:type="dxa"/>
          </w:tcMar>
        </w:tcPr>
        <w:p w14:paraId="795506AA"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C" w14:textId="77777777" w:rsidR="00FF2214" w:rsidRDefault="00FF2214">
          <w:pPr>
            <w:tabs>
              <w:tab w:val="center" w:pos="4320"/>
              <w:tab w:val="right" w:pos="8640"/>
            </w:tabs>
            <w:ind w:right="-115"/>
            <w:jc w:val="right"/>
            <w:rPr>
              <w:color w:val="000000"/>
            </w:rPr>
          </w:pPr>
        </w:p>
      </w:tc>
    </w:tr>
  </w:tbl>
  <w:p w14:paraId="795506AE"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F"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795506B3" w14:textId="77777777">
      <w:trPr>
        <w:trHeight w:val="300"/>
      </w:trPr>
      <w:tc>
        <w:tcPr>
          <w:tcW w:w="3120" w:type="dxa"/>
          <w:tcMar>
            <w:top w:w="0" w:type="dxa"/>
            <w:left w:w="108" w:type="dxa"/>
            <w:bottom w:w="0" w:type="dxa"/>
            <w:right w:w="108" w:type="dxa"/>
          </w:tcMar>
        </w:tcPr>
        <w:p w14:paraId="795506B0"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B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B2" w14:textId="77777777" w:rsidR="00FF2214" w:rsidRDefault="00FF2214">
          <w:pPr>
            <w:tabs>
              <w:tab w:val="center" w:pos="4320"/>
              <w:tab w:val="right" w:pos="8640"/>
            </w:tabs>
            <w:ind w:right="-115"/>
            <w:jc w:val="right"/>
            <w:rPr>
              <w:color w:val="000000"/>
            </w:rPr>
          </w:pPr>
        </w:p>
      </w:tc>
    </w:tr>
  </w:tbl>
  <w:p w14:paraId="795506B4"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Default="00425710">
      <w:r>
        <w:separator/>
      </w:r>
    </w:p>
  </w:footnote>
  <w:footnote w:type="continuationSeparator" w:id="0">
    <w:p w14:paraId="167421D6" w14:textId="77777777" w:rsidR="00425710" w:rsidRDefault="00425710">
      <w:r>
        <w:continuationSeparator/>
      </w:r>
    </w:p>
  </w:footnote>
  <w:footnote w:type="continuationNotice" w:id="1">
    <w:p w14:paraId="1AD15F26" w14:textId="77777777" w:rsidR="00425710" w:rsidRDefault="004257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2B48FF88" w:rsidR="00FF2214" w:rsidRDefault="00850770">
    <w:pPr>
      <w:tabs>
        <w:tab w:val="center" w:pos="4320"/>
        <w:tab w:val="right" w:pos="8640"/>
      </w:tabs>
      <w:jc w:val="right"/>
      <w:rPr>
        <w:color w:val="000000"/>
      </w:rPr>
    </w:pPr>
    <w:r>
      <w:rPr>
        <w:color w:val="000000"/>
      </w:rPr>
      <w:t>A-0</w:t>
    </w:r>
    <w:r w:rsidR="00465256">
      <w:rPr>
        <w:color w:val="000000"/>
      </w:rPr>
      <w:t>2</w:t>
    </w:r>
    <w:r w:rsidR="00191362">
      <w:rPr>
        <w:color w:val="000000"/>
      </w:rPr>
      <w:t>8</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7051407">
    <w:abstractNumId w:val="9"/>
  </w:num>
  <w:num w:numId="2" w16cid:durableId="1011832284">
    <w:abstractNumId w:val="4"/>
  </w:num>
  <w:num w:numId="3" w16cid:durableId="1943102285">
    <w:abstractNumId w:val="16"/>
  </w:num>
  <w:num w:numId="4" w16cid:durableId="1106316835">
    <w:abstractNumId w:val="12"/>
  </w:num>
  <w:num w:numId="5" w16cid:durableId="455106598">
    <w:abstractNumId w:val="11"/>
  </w:num>
  <w:num w:numId="6" w16cid:durableId="175340939">
    <w:abstractNumId w:val="1"/>
  </w:num>
  <w:num w:numId="7" w16cid:durableId="1854225982">
    <w:abstractNumId w:val="13"/>
  </w:num>
  <w:num w:numId="8" w16cid:durableId="1919754197">
    <w:abstractNumId w:val="0"/>
  </w:num>
  <w:num w:numId="9" w16cid:durableId="365562201">
    <w:abstractNumId w:val="3"/>
  </w:num>
  <w:num w:numId="10" w16cid:durableId="1904826230">
    <w:abstractNumId w:val="5"/>
  </w:num>
  <w:num w:numId="11" w16cid:durableId="118687224">
    <w:abstractNumId w:val="6"/>
  </w:num>
  <w:num w:numId="12" w16cid:durableId="508376565">
    <w:abstractNumId w:val="10"/>
  </w:num>
  <w:num w:numId="13" w16cid:durableId="216819222">
    <w:abstractNumId w:val="8"/>
  </w:num>
  <w:num w:numId="14" w16cid:durableId="517544549">
    <w:abstractNumId w:val="14"/>
  </w:num>
  <w:num w:numId="15" w16cid:durableId="478498451">
    <w:abstractNumId w:val="7"/>
  </w:num>
  <w:num w:numId="16" w16cid:durableId="46998239">
    <w:abstractNumId w:val="15"/>
  </w:num>
  <w:num w:numId="17" w16cid:durableId="2755973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CAA"/>
    <w:rsid w:val="000502AE"/>
    <w:rsid w:val="00056D71"/>
    <w:rsid w:val="00057EF4"/>
    <w:rsid w:val="0007036F"/>
    <w:rsid w:val="00081FE3"/>
    <w:rsid w:val="0008657D"/>
    <w:rsid w:val="00091F49"/>
    <w:rsid w:val="00093558"/>
    <w:rsid w:val="00094484"/>
    <w:rsid w:val="0009603C"/>
    <w:rsid w:val="000A1DC3"/>
    <w:rsid w:val="000A33B9"/>
    <w:rsid w:val="000B33EC"/>
    <w:rsid w:val="000B757B"/>
    <w:rsid w:val="000C0F6A"/>
    <w:rsid w:val="000C5223"/>
    <w:rsid w:val="000C58FF"/>
    <w:rsid w:val="000C68E5"/>
    <w:rsid w:val="000D2EB5"/>
    <w:rsid w:val="000D30A4"/>
    <w:rsid w:val="000E515E"/>
    <w:rsid w:val="000E6633"/>
    <w:rsid w:val="000F222B"/>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38BE"/>
    <w:rsid w:val="00230215"/>
    <w:rsid w:val="002304C5"/>
    <w:rsid w:val="002318F0"/>
    <w:rsid w:val="00231C2C"/>
    <w:rsid w:val="0023393F"/>
    <w:rsid w:val="002429DB"/>
    <w:rsid w:val="002435A4"/>
    <w:rsid w:val="00251AFB"/>
    <w:rsid w:val="00252646"/>
    <w:rsid w:val="00254DCC"/>
    <w:rsid w:val="002600AE"/>
    <w:rsid w:val="00260FC0"/>
    <w:rsid w:val="002646F8"/>
    <w:rsid w:val="00266688"/>
    <w:rsid w:val="00273031"/>
    <w:rsid w:val="00285A15"/>
    <w:rsid w:val="0028794F"/>
    <w:rsid w:val="00291A4F"/>
    <w:rsid w:val="002A0542"/>
    <w:rsid w:val="002A1D65"/>
    <w:rsid w:val="002A23EE"/>
    <w:rsid w:val="002A4F4F"/>
    <w:rsid w:val="002B2FBB"/>
    <w:rsid w:val="002B5618"/>
    <w:rsid w:val="002B62EE"/>
    <w:rsid w:val="002B7906"/>
    <w:rsid w:val="002C1726"/>
    <w:rsid w:val="002D6159"/>
    <w:rsid w:val="002F21CF"/>
    <w:rsid w:val="002F48BA"/>
    <w:rsid w:val="002F5B16"/>
    <w:rsid w:val="00302F90"/>
    <w:rsid w:val="0030308D"/>
    <w:rsid w:val="00310FDD"/>
    <w:rsid w:val="0031323F"/>
    <w:rsid w:val="00313C97"/>
    <w:rsid w:val="00314E6B"/>
    <w:rsid w:val="00321AB7"/>
    <w:rsid w:val="0032794E"/>
    <w:rsid w:val="00332E7A"/>
    <w:rsid w:val="0033747E"/>
    <w:rsid w:val="00342132"/>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4257"/>
    <w:rsid w:val="00452649"/>
    <w:rsid w:val="00461FBD"/>
    <w:rsid w:val="00462353"/>
    <w:rsid w:val="00462BEA"/>
    <w:rsid w:val="00465256"/>
    <w:rsid w:val="004674AD"/>
    <w:rsid w:val="0048210C"/>
    <w:rsid w:val="0049425A"/>
    <w:rsid w:val="004A0EAF"/>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640D7"/>
    <w:rsid w:val="0056577A"/>
    <w:rsid w:val="00573345"/>
    <w:rsid w:val="0057336F"/>
    <w:rsid w:val="00573C36"/>
    <w:rsid w:val="0057614A"/>
    <w:rsid w:val="00576725"/>
    <w:rsid w:val="00580739"/>
    <w:rsid w:val="00591957"/>
    <w:rsid w:val="005A3527"/>
    <w:rsid w:val="005B3512"/>
    <w:rsid w:val="005B3BBD"/>
    <w:rsid w:val="005C3826"/>
    <w:rsid w:val="005C3AFC"/>
    <w:rsid w:val="005C7524"/>
    <w:rsid w:val="005D3EB3"/>
    <w:rsid w:val="005E3602"/>
    <w:rsid w:val="005E3680"/>
    <w:rsid w:val="005E4152"/>
    <w:rsid w:val="005E63C3"/>
    <w:rsid w:val="005E7EC5"/>
    <w:rsid w:val="005F0A2C"/>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7017C"/>
    <w:rsid w:val="00773ABA"/>
    <w:rsid w:val="0078017D"/>
    <w:rsid w:val="00781480"/>
    <w:rsid w:val="00791FA9"/>
    <w:rsid w:val="00795BD6"/>
    <w:rsid w:val="007A346E"/>
    <w:rsid w:val="007A4745"/>
    <w:rsid w:val="007A5875"/>
    <w:rsid w:val="007B090C"/>
    <w:rsid w:val="007C7157"/>
    <w:rsid w:val="007D76E0"/>
    <w:rsid w:val="007E368D"/>
    <w:rsid w:val="00804D98"/>
    <w:rsid w:val="00805B64"/>
    <w:rsid w:val="00807CED"/>
    <w:rsid w:val="00811B00"/>
    <w:rsid w:val="00812840"/>
    <w:rsid w:val="008316F2"/>
    <w:rsid w:val="00831773"/>
    <w:rsid w:val="008337A4"/>
    <w:rsid w:val="00834801"/>
    <w:rsid w:val="00836710"/>
    <w:rsid w:val="008402C1"/>
    <w:rsid w:val="008450D8"/>
    <w:rsid w:val="00850770"/>
    <w:rsid w:val="008574AE"/>
    <w:rsid w:val="008670BC"/>
    <w:rsid w:val="008863D7"/>
    <w:rsid w:val="0089008A"/>
    <w:rsid w:val="00890C4D"/>
    <w:rsid w:val="00891773"/>
    <w:rsid w:val="008925BB"/>
    <w:rsid w:val="008A1F5E"/>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744C"/>
    <w:rsid w:val="00942E06"/>
    <w:rsid w:val="009437AA"/>
    <w:rsid w:val="00950505"/>
    <w:rsid w:val="00950A46"/>
    <w:rsid w:val="00952875"/>
    <w:rsid w:val="00954675"/>
    <w:rsid w:val="00962C3E"/>
    <w:rsid w:val="00963E17"/>
    <w:rsid w:val="00965195"/>
    <w:rsid w:val="00970540"/>
    <w:rsid w:val="009833D3"/>
    <w:rsid w:val="009927E5"/>
    <w:rsid w:val="009A0ED5"/>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CBE"/>
    <w:rsid w:val="00A26252"/>
    <w:rsid w:val="00A26489"/>
    <w:rsid w:val="00A30925"/>
    <w:rsid w:val="00A3392B"/>
    <w:rsid w:val="00A41F69"/>
    <w:rsid w:val="00A421B7"/>
    <w:rsid w:val="00A44362"/>
    <w:rsid w:val="00A47378"/>
    <w:rsid w:val="00A47BDC"/>
    <w:rsid w:val="00A52322"/>
    <w:rsid w:val="00A52F9B"/>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7F92"/>
    <w:rsid w:val="00B60014"/>
    <w:rsid w:val="00B70B63"/>
    <w:rsid w:val="00B72A6A"/>
    <w:rsid w:val="00B74EC0"/>
    <w:rsid w:val="00B81E44"/>
    <w:rsid w:val="00B84666"/>
    <w:rsid w:val="00B84B1D"/>
    <w:rsid w:val="00B87A1C"/>
    <w:rsid w:val="00B87D3C"/>
    <w:rsid w:val="00B950B6"/>
    <w:rsid w:val="00BA70CD"/>
    <w:rsid w:val="00BB3314"/>
    <w:rsid w:val="00BB3C4F"/>
    <w:rsid w:val="00BB48CC"/>
    <w:rsid w:val="00BB4F4D"/>
    <w:rsid w:val="00BC1AD6"/>
    <w:rsid w:val="00BD11DE"/>
    <w:rsid w:val="00BD4F99"/>
    <w:rsid w:val="00BE4BBF"/>
    <w:rsid w:val="00BE55AC"/>
    <w:rsid w:val="00BE7D02"/>
    <w:rsid w:val="00BF5A14"/>
    <w:rsid w:val="00BF5DE6"/>
    <w:rsid w:val="00C004A4"/>
    <w:rsid w:val="00C05E49"/>
    <w:rsid w:val="00C05E9D"/>
    <w:rsid w:val="00C13DC9"/>
    <w:rsid w:val="00C32AB8"/>
    <w:rsid w:val="00C32AF1"/>
    <w:rsid w:val="00C33CEB"/>
    <w:rsid w:val="00C361CD"/>
    <w:rsid w:val="00C57448"/>
    <w:rsid w:val="00C635EB"/>
    <w:rsid w:val="00C71782"/>
    <w:rsid w:val="00C8076C"/>
    <w:rsid w:val="00C87975"/>
    <w:rsid w:val="00C90DA0"/>
    <w:rsid w:val="00C93262"/>
    <w:rsid w:val="00C97C1A"/>
    <w:rsid w:val="00CA38D8"/>
    <w:rsid w:val="00CA3F74"/>
    <w:rsid w:val="00CA5BDF"/>
    <w:rsid w:val="00CB2AE9"/>
    <w:rsid w:val="00CB6810"/>
    <w:rsid w:val="00CC12B7"/>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50765"/>
    <w:rsid w:val="00D50CD3"/>
    <w:rsid w:val="00D84992"/>
    <w:rsid w:val="00D937E3"/>
    <w:rsid w:val="00D938F9"/>
    <w:rsid w:val="00D95879"/>
    <w:rsid w:val="00D962FB"/>
    <w:rsid w:val="00DA5EB9"/>
    <w:rsid w:val="00DD225A"/>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3A92"/>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506F"/>
    <w:rsid w:val="00EC2169"/>
    <w:rsid w:val="00EC31D3"/>
    <w:rsid w:val="00EC69F6"/>
    <w:rsid w:val="00ED3996"/>
    <w:rsid w:val="00ED3D87"/>
    <w:rsid w:val="00ED5A58"/>
    <w:rsid w:val="00EE009B"/>
    <w:rsid w:val="00EF2711"/>
    <w:rsid w:val="00EF2D8D"/>
    <w:rsid w:val="00F026C9"/>
    <w:rsid w:val="00F16B71"/>
    <w:rsid w:val="00F245C1"/>
    <w:rsid w:val="00F27415"/>
    <w:rsid w:val="00F3308A"/>
    <w:rsid w:val="00F36138"/>
    <w:rsid w:val="00F42967"/>
    <w:rsid w:val="00F519A3"/>
    <w:rsid w:val="00F55BC6"/>
    <w:rsid w:val="00F571EB"/>
    <w:rsid w:val="00F65464"/>
    <w:rsid w:val="00F70223"/>
    <w:rsid w:val="00F70BEF"/>
    <w:rsid w:val="00F70D38"/>
    <w:rsid w:val="00F739FE"/>
    <w:rsid w:val="00F858BD"/>
    <w:rsid w:val="00FA0CB1"/>
    <w:rsid w:val="00FA11F4"/>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2740</Words>
  <Characters>15621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4</cp:revision>
  <cp:lastPrinted>2025-01-22T19:05:00Z</cp:lastPrinted>
  <dcterms:created xsi:type="dcterms:W3CDTF">2025-03-28T18:36:00Z</dcterms:created>
  <dcterms:modified xsi:type="dcterms:W3CDTF">2025-03-31T13:40:00Z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