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5A335" w14:textId="23E917FE" w:rsidR="003E6878" w:rsidRDefault="003E6878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(ENTIRILLADO ELECTRÓNICO)</w:t>
      </w:r>
    </w:p>
    <w:p w14:paraId="79550656" w14:textId="4847B132" w:rsidR="00FF2214" w:rsidRPr="009025A4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9025A4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9025A4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930E48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930E48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6880C0D3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BA665F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463</w:t>
      </w:r>
    </w:p>
    <w:p w14:paraId="4A8A7A6F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42F63E01" w:rsidR="00950505" w:rsidRPr="00930E48" w:rsidRDefault="009025A4" w:rsidP="00950505">
      <w:pPr>
        <w:jc w:val="center"/>
        <w:rPr>
          <w:rFonts w:ascii="Book Antiqua" w:hAnsi="Book Antiqua"/>
          <w:b/>
          <w:color w:val="000000" w:themeColor="text1"/>
          <w:sz w:val="4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28 </w:t>
      </w:r>
      <w:r w:rsidRPr="00930E48">
        <w:rPr>
          <w:rFonts w:ascii="Book Antiqua" w:hAnsi="Book Antiqua"/>
          <w:color w:val="000000" w:themeColor="text1"/>
          <w:lang w:val="es-PR"/>
        </w:rPr>
        <w:t>DE MARZO DE 2025</w:t>
      </w:r>
    </w:p>
    <w:p w14:paraId="1E7B6D3E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1877F211" w:rsidR="00950505" w:rsidRPr="00B00227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BC63DB">
        <w:rPr>
          <w:rFonts w:ascii="Book Antiqua" w:hAnsi="Book Antiqua"/>
          <w:lang w:val="es-ES"/>
        </w:rPr>
        <w:t xml:space="preserve">el representante </w:t>
      </w:r>
      <w:r w:rsidR="00B02CD9" w:rsidRPr="00BC63DB">
        <w:rPr>
          <w:rFonts w:ascii="Book Antiqua" w:hAnsi="Book Antiqua"/>
          <w:i/>
          <w:iCs/>
          <w:lang w:val="es-PR"/>
        </w:rPr>
        <w:t>Méndez Núñez</w:t>
      </w:r>
      <w:r w:rsidR="00B02CD9">
        <w:rPr>
          <w:rFonts w:ascii="Book Antiqua" w:hAnsi="Book Antiqua"/>
          <w:i/>
          <w:iCs/>
          <w:lang w:val="es-PR"/>
        </w:rPr>
        <w:t>;</w:t>
      </w:r>
      <w:r w:rsidR="00B02CD9" w:rsidRPr="00BC63DB">
        <w:rPr>
          <w:rFonts w:ascii="Book Antiqua" w:hAnsi="Book Antiqua"/>
          <w:i/>
          <w:iCs/>
          <w:lang w:val="es-PR"/>
        </w:rPr>
        <w:t xml:space="preserve">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Lebrón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Ramírez, Torres Zamora, Román López, Aponte Hernández, Carlo Acosta,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Charbonier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Chinea, Colón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del Valle Correa;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Estévez Vélez,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Franqui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Atiles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González Aguayo, González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González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Hernández Concepción, Jiménez Torres;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Martínez Vázquez, Medina Calderón;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Morey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Noble, Muriel Sánchez, Navarro Suárez, Nieves Rosario, Ocasio Ramos, Pacheco Burgos, Parés Otero;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Dávila;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Cordero, Pérez Ortiz;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Ramírez, Ramos Rivera;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18A0DB58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1C000282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930E48">
        <w:rPr>
          <w:rFonts w:ascii="Book Antiqua" w:hAnsi="Book Antiqua"/>
          <w:color w:val="000000" w:themeColor="text1"/>
          <w:lang w:val="es-PR"/>
        </w:rPr>
        <w:t>Referido a</w:t>
      </w:r>
      <w:r w:rsidR="00E15DD8">
        <w:rPr>
          <w:rFonts w:ascii="Book Antiqua" w:hAnsi="Book Antiqua"/>
          <w:color w:val="000000" w:themeColor="text1"/>
          <w:lang w:val="es-PR"/>
        </w:rPr>
        <w:t xml:space="preserve"> la Comisión de Gobierno</w:t>
      </w:r>
    </w:p>
    <w:p w14:paraId="4B9C3823" w14:textId="77777777" w:rsidR="00950505" w:rsidRPr="00930E48" w:rsidRDefault="00950505" w:rsidP="0095050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930E48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78DC9F4" w14:textId="0A5472B5" w:rsidR="003166B5" w:rsidRDefault="00850770" w:rsidP="003166B5">
      <w:pPr>
        <w:ind w:left="540" w:hanging="540"/>
        <w:contextualSpacing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602AB4">
        <w:rPr>
          <w:rFonts w:ascii="Book Antiqua" w:eastAsia="Book Antiqua" w:hAnsi="Book Antiqua" w:cs="Book Antiqua"/>
          <w:strike/>
          <w:color w:val="000000" w:themeColor="text1"/>
          <w:lang w:val="es-PR"/>
        </w:rPr>
        <w:t xml:space="preserve">enmendar </w:t>
      </w:r>
      <w:r w:rsidR="004C4A58" w:rsidRPr="00602AB4">
        <w:rPr>
          <w:rFonts w:ascii="Book Antiqua" w:eastAsia="Book Antiqua" w:hAnsi="Book Antiqua" w:cs="Book Antiqua"/>
          <w:strike/>
          <w:color w:val="000000" w:themeColor="text1"/>
          <w:lang w:val="es-PR"/>
        </w:rPr>
        <w:t>e</w:t>
      </w:r>
      <w:r w:rsidR="00836115" w:rsidRPr="00602AB4">
        <w:rPr>
          <w:rFonts w:ascii="Book Antiqua" w:eastAsia="Book Antiqua" w:hAnsi="Book Antiqua" w:cs="Book Antiqua"/>
          <w:strike/>
          <w:color w:val="000000" w:themeColor="text1"/>
          <w:lang w:val="es-PR"/>
        </w:rPr>
        <w:t>l</w:t>
      </w:r>
      <w:r w:rsidR="00836115" w:rsidRPr="00B866D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02AB4" w:rsidRPr="004C4A58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añadir</w:t>
      </w:r>
      <w:r w:rsidR="00602AB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un </w:t>
      </w:r>
      <w:proofErr w:type="spellStart"/>
      <w:r w:rsidR="0072110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sub-</w:t>
      </w:r>
      <w:r w:rsidR="00602AB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inciso</w:t>
      </w:r>
      <w:proofErr w:type="spellEnd"/>
      <w:r w:rsidR="00602AB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(v)</w:t>
      </w:r>
      <w:r w:rsidR="0072110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en el inciso</w:t>
      </w:r>
      <w:r w:rsidR="003166B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</w:t>
      </w:r>
      <w:r w:rsidR="0072110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(a) d</w:t>
      </w:r>
      <w:r w:rsidR="0096582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el</w:t>
      </w:r>
      <w:r w:rsidR="00602AB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B866DF">
        <w:rPr>
          <w:rFonts w:ascii="Book Antiqua" w:eastAsia="Book Antiqua" w:hAnsi="Book Antiqua" w:cs="Book Antiqua"/>
          <w:color w:val="000000" w:themeColor="text1"/>
          <w:lang w:val="es-PR"/>
        </w:rPr>
        <w:t>Artículo 9</w:t>
      </w:r>
      <w:r w:rsidR="00836115" w:rsidRPr="008B4F8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la Ley 29-2009, según enmendada, conocida como “Ley de Alianzas Público Privadas” para</w:t>
      </w:r>
      <w:r w:rsidR="004C4A5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8B4F86">
        <w:rPr>
          <w:rFonts w:ascii="Book Antiqua" w:eastAsia="Book Antiqua" w:hAnsi="Book Antiqua" w:cs="Book Antiqua"/>
          <w:color w:val="000000" w:themeColor="text1"/>
          <w:lang w:val="es-PR"/>
        </w:rPr>
        <w:t>que en todo contrato, subasta, licitación y, particularmente en contratos de alianza, se incluya certificación, en la cual la persona o empresa que interesa tener o luego obtenga un acuerdo de alianza público-privada con el Gobierno de Puerto Rico, establezca que no subcontratará la provisión de bienes o servicios objetos del acuerdo a miembros de su unidad familiar, sus accionistas, socios, entidades relacionadas ni ex empleados; para establecer la facultad de reglamentar;</w:t>
      </w:r>
      <w:r w:rsidR="00B715F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6115" w:rsidRPr="008B4F86">
        <w:rPr>
          <w:rFonts w:ascii="Book Antiqua" w:eastAsia="Book Antiqua" w:hAnsi="Book Antiqua" w:cs="Book Antiqua"/>
          <w:color w:val="000000" w:themeColor="text1"/>
          <w:lang w:val="es-PR"/>
        </w:rPr>
        <w:t>y para otros fines relacionados.</w:t>
      </w:r>
    </w:p>
    <w:p w14:paraId="20986CCF" w14:textId="77777777" w:rsidR="003166B5" w:rsidRDefault="003166B5" w:rsidP="00965827">
      <w:pPr>
        <w:keepNext/>
        <w:ind w:left="540" w:hanging="540"/>
        <w:contextualSpacing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63AE53B1" w14:textId="254D468E" w:rsidR="00010836" w:rsidRPr="00930E48" w:rsidRDefault="00850770" w:rsidP="00965827">
      <w:pPr>
        <w:keepNext/>
        <w:ind w:left="540" w:hanging="540"/>
        <w:contextualSpacing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5E71D0FC" w14:textId="77777777" w:rsidR="00A5416B" w:rsidRDefault="00A5416B" w:rsidP="00965827">
      <w:pPr>
        <w:keepNext/>
        <w:contextualSpacing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127EF474" w14:textId="7F2A5B33" w:rsidR="005B0FB3" w:rsidRDefault="00836115" w:rsidP="00965827">
      <w:pPr>
        <w:keepNext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8B4F86">
        <w:rPr>
          <w:rFonts w:ascii="Book Antiqua" w:hAnsi="Book Antiqua" w:cs="Avenir-Book"/>
          <w:color w:val="000000" w:themeColor="text1"/>
          <w:lang w:val="es-PR"/>
        </w:rPr>
        <w:t xml:space="preserve">Una de las razones principales para </w:t>
      </w:r>
      <w:r w:rsidRPr="00F1656D">
        <w:rPr>
          <w:rFonts w:ascii="Book Antiqua" w:hAnsi="Book Antiqua" w:cs="Avenir-Book"/>
          <w:strike/>
          <w:color w:val="000000" w:themeColor="text1"/>
          <w:lang w:val="es-PR"/>
        </w:rPr>
        <w:t>la</w:t>
      </w:r>
      <w:r w:rsidRPr="008B4F86">
        <w:rPr>
          <w:rFonts w:ascii="Book Antiqua" w:hAnsi="Book Antiqua" w:cs="Avenir-Book"/>
          <w:color w:val="000000" w:themeColor="text1"/>
          <w:lang w:val="es-PR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contratar a la industria privada </w:t>
      </w:r>
      <w:r w:rsidRPr="00F1656D">
        <w:rPr>
          <w:rFonts w:ascii="Book Antiqua" w:hAnsi="Book Antiqua" w:cs="Avenir-Book"/>
          <w:strike/>
          <w:color w:val="000000" w:themeColor="text1"/>
          <w:lang w:val="es-ES"/>
        </w:rPr>
        <w:t>para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F1656D" w:rsidRPr="00F1656D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en la</w:t>
      </w:r>
      <w:r w:rsidR="00F1656D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F1656D">
        <w:rPr>
          <w:rFonts w:ascii="Book Antiqua" w:hAnsi="Book Antiqua" w:cs="Avenir-Book"/>
          <w:strike/>
          <w:color w:val="000000" w:themeColor="text1"/>
          <w:lang w:val="es-ES"/>
        </w:rPr>
        <w:t>proveer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F1656D" w:rsidRPr="005B0FB3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provi</w:t>
      </w:r>
      <w:r w:rsidR="005B0FB3" w:rsidRPr="005B0FB3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si</w:t>
      </w:r>
      <w:r w:rsidR="005B0FB3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ó</w:t>
      </w:r>
      <w:r w:rsidR="005B0FB3" w:rsidRPr="005B0FB3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n</w:t>
      </w:r>
      <w:r w:rsidR="005B0FB3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 xml:space="preserve"> de</w:t>
      </w:r>
      <w:r w:rsidR="005B0FB3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bienes y servicios al Gobierno </w:t>
      </w:r>
      <w:r w:rsidRPr="005B0FB3">
        <w:rPr>
          <w:rFonts w:ascii="Book Antiqua" w:hAnsi="Book Antiqua" w:cs="Avenir-Book"/>
          <w:strike/>
          <w:color w:val="000000" w:themeColor="text1"/>
          <w:lang w:val="es-ES"/>
        </w:rPr>
        <w:t>lo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es el ahorro que se </w:t>
      </w:r>
      <w:r w:rsidRPr="00057A7A">
        <w:rPr>
          <w:rFonts w:ascii="Book Antiqua" w:hAnsi="Book Antiqua" w:cs="Avenir-Book"/>
          <w:strike/>
          <w:color w:val="000000" w:themeColor="text1"/>
          <w:lang w:val="es-ES"/>
        </w:rPr>
        <w:t>supone</w:t>
      </w:r>
      <w:r w:rsidR="00057A7A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057A7A" w:rsidRPr="00057A7A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espera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057A7A">
        <w:rPr>
          <w:rFonts w:ascii="Book Antiqua" w:hAnsi="Book Antiqua" w:cs="Avenir-Book"/>
          <w:strike/>
          <w:color w:val="000000" w:themeColor="text1"/>
          <w:lang w:val="es-ES"/>
        </w:rPr>
        <w:t>que se genera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057A7A" w:rsidRPr="00057A7A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generar</w:t>
      </w:r>
      <w:r w:rsidR="00057A7A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para el fisco. </w:t>
      </w:r>
      <w:r w:rsidR="005D0BBC" w:rsidRPr="005D0BBC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Sin embargo,</w:t>
      </w:r>
      <w:r w:rsidR="005D0BBC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50156F">
        <w:rPr>
          <w:rFonts w:ascii="Book Antiqua" w:hAnsi="Book Antiqua" w:cs="Avenir-Book"/>
          <w:strike/>
          <w:color w:val="000000" w:themeColor="text1"/>
          <w:lang w:val="es-ES"/>
        </w:rPr>
        <w:t>En el momento en que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50156F" w:rsidRPr="0050156F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cuando los</w:t>
      </w:r>
      <w:r w:rsidR="0050156F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>contratistas que han obtenido la buena pro</w:t>
      </w:r>
      <w:r w:rsidRPr="005A7A6A">
        <w:rPr>
          <w:rFonts w:ascii="Book Antiqua" w:hAnsi="Book Antiqua" w:cs="Avenir-Book"/>
          <w:strike/>
          <w:color w:val="000000" w:themeColor="text1"/>
          <w:lang w:val="es-ES"/>
        </w:rPr>
        <w:t>, q</w:t>
      </w:r>
      <w:r w:rsidRPr="00723203">
        <w:rPr>
          <w:rFonts w:ascii="Book Antiqua" w:hAnsi="Book Antiqua" w:cs="Avenir-Book"/>
          <w:strike/>
          <w:color w:val="000000" w:themeColor="text1"/>
          <w:lang w:val="es-ES"/>
        </w:rPr>
        <w:t>ue han hecho representaciones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723203" w:rsidRPr="00723203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representan</w:t>
      </w:r>
      <w:r w:rsidR="005A7A6A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do</w:t>
      </w:r>
      <w:r w:rsidR="00723203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al Gobierno </w:t>
      </w:r>
      <w:r w:rsidRPr="00723203">
        <w:rPr>
          <w:rFonts w:ascii="Book Antiqua" w:hAnsi="Book Antiqua" w:cs="Avenir-Book"/>
          <w:strike/>
          <w:color w:val="000000" w:themeColor="text1"/>
          <w:lang w:val="es-ES"/>
        </w:rPr>
        <w:t>de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que pueden ofrecer los servicios o entregar los productos según las condiciones pactadas, subcontratan a otros las labores o la entrega de los bienes objeto del contrato original, se generan ineficiencias que encarecen injustificadamente los costos para el Estado.</w:t>
      </w:r>
    </w:p>
    <w:p w14:paraId="2BE03747" w14:textId="77777777" w:rsidR="00836115" w:rsidRPr="008B4F86" w:rsidRDefault="00836115" w:rsidP="00836115">
      <w:pPr>
        <w:ind w:firstLine="720"/>
        <w:jc w:val="both"/>
        <w:rPr>
          <w:rFonts w:ascii="Book Antiqua" w:hAnsi="Book Antiqua" w:cs="Avenir-Book"/>
          <w:color w:val="000000" w:themeColor="text1"/>
          <w:lang w:val="es-ES"/>
        </w:rPr>
      </w:pPr>
    </w:p>
    <w:p w14:paraId="3C90EB22" w14:textId="3C12A508" w:rsidR="00D34B26" w:rsidRDefault="00836115" w:rsidP="00C25487">
      <w:pPr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D34B26">
        <w:rPr>
          <w:rFonts w:ascii="Book Antiqua" w:hAnsi="Book Antiqua" w:cs="Avenir-Book"/>
          <w:strike/>
          <w:color w:val="000000" w:themeColor="text1"/>
          <w:lang w:val="es-ES"/>
        </w:rPr>
        <w:t xml:space="preserve">En recientes </w:t>
      </w:r>
      <w:r w:rsidRPr="00D0418A">
        <w:rPr>
          <w:rFonts w:ascii="Book Antiqua" w:hAnsi="Book Antiqua" w:cs="Avenir-Book"/>
          <w:strike/>
          <w:color w:val="000000" w:themeColor="text1"/>
          <w:lang w:val="es-ES"/>
        </w:rPr>
        <w:t>tiempos, hemos visto como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D0418A" w:rsidRPr="00D0418A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Recientemente</w:t>
      </w:r>
      <w:r w:rsidR="00D0418A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,</w:t>
      </w:r>
      <w:r w:rsidR="00D0418A" w:rsidRPr="00D0418A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 xml:space="preserve"> se ha observado que</w:t>
      </w:r>
      <w:r w:rsidR="00D0418A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contratistas del Gobierno subcontratan o hacen arreglos de negocios con compañías relacionadas o compañías de exempleados para proveer servicios contratados, a precios </w:t>
      </w:r>
      <w:r w:rsidRPr="00AF5A8E">
        <w:rPr>
          <w:rFonts w:ascii="Book Antiqua" w:hAnsi="Book Antiqua" w:cs="Avenir-Book"/>
          <w:strike/>
          <w:color w:val="000000" w:themeColor="text1"/>
          <w:lang w:val="es-ES"/>
        </w:rPr>
        <w:t>extremadamente altos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AF5A8E" w:rsidRPr="00AF5A8E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elevados</w:t>
      </w:r>
      <w:r w:rsidR="00AF5A8E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que terminan siendo costeados por el </w:t>
      </w:r>
      <w:r w:rsidRPr="00446F86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Pueblo</w:t>
      </w:r>
      <w:r w:rsidR="00446F86" w:rsidRPr="00446F86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 xml:space="preserve"> de Puerto Rico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. Estos </w:t>
      </w:r>
      <w:r w:rsidRPr="007E0061">
        <w:rPr>
          <w:rFonts w:ascii="Book Antiqua" w:hAnsi="Book Antiqua" w:cs="Avenir-Book"/>
          <w:strike/>
          <w:color w:val="000000" w:themeColor="text1"/>
          <w:lang w:val="es-ES"/>
        </w:rPr>
        <w:t>no eran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casos </w:t>
      </w:r>
      <w:r w:rsidRPr="001858FB">
        <w:rPr>
          <w:rFonts w:ascii="Book Antiqua" w:hAnsi="Book Antiqua" w:cs="Avenir-Book"/>
          <w:strike/>
          <w:color w:val="000000" w:themeColor="text1"/>
          <w:lang w:val="es-ES"/>
        </w:rPr>
        <w:t>de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1858FB" w:rsidRPr="001858FB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no involucra</w:t>
      </w:r>
      <w:r w:rsidR="00033423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ba</w:t>
      </w:r>
      <w:r w:rsidR="000D60DE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n</w:t>
      </w:r>
      <w:r w:rsidR="001858FB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servicios especializados o altamente técnicos con un mercado limitado de suplidores; existían otras compañías en el mercado que </w:t>
      </w:r>
      <w:r w:rsidRPr="00BC7B9D">
        <w:rPr>
          <w:rFonts w:ascii="Book Antiqua" w:hAnsi="Book Antiqua" w:cs="Avenir-Book"/>
          <w:strike/>
          <w:color w:val="000000" w:themeColor="text1"/>
          <w:lang w:val="es-ES"/>
        </w:rPr>
        <w:t>pudieron haber ofrecidos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BC7B9D" w:rsidRPr="00BC7B9D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podían haber ofrecido</w:t>
      </w:r>
      <w:r w:rsidR="00BC7B9D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>esos mismos servicios a precios más razonables.</w:t>
      </w:r>
    </w:p>
    <w:p w14:paraId="4014BF78" w14:textId="77777777" w:rsidR="00D34B26" w:rsidRDefault="00D34B26" w:rsidP="00D34B26">
      <w:pPr>
        <w:rPr>
          <w:lang w:val="es-PR"/>
        </w:rPr>
      </w:pPr>
    </w:p>
    <w:p w14:paraId="11BBDCBE" w14:textId="4C59B749" w:rsidR="00DF2ED9" w:rsidRDefault="00836115" w:rsidP="00C25487">
      <w:pPr>
        <w:autoSpaceDE w:val="0"/>
        <w:autoSpaceDN w:val="0"/>
        <w:adjustRightInd w:val="0"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Por lo tanto, para fomentar la competencia justa y proteger al fisco, esta Asamblea Legislativa tiene la intención de prohibir que las entidades que lleguen a acuerdos de alianzas público-privadas con el Gobierno de Puerto Rico, a su vez, subcontraten los bienes o servicios pactados a sus familiares, a otras empresas relacionadas, a sus socios o accionistas, o a ciertos exempleados. Las excepciones que </w:t>
      </w:r>
      <w:r w:rsidRPr="00DF2ED9">
        <w:rPr>
          <w:rFonts w:ascii="Book Antiqua" w:hAnsi="Book Antiqua" w:cs="Avenir-Book"/>
          <w:strike/>
          <w:color w:val="000000" w:themeColor="text1"/>
          <w:lang w:val="es-ES"/>
        </w:rPr>
        <w:t>reconocemos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DF2ED9" w:rsidRPr="00DF2ED9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 xml:space="preserve">se reconocerán 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serán cuando se </w:t>
      </w:r>
      <w:r w:rsidRPr="00D020D2">
        <w:rPr>
          <w:rFonts w:ascii="Book Antiqua" w:hAnsi="Book Antiqua" w:cs="Avenir-Book"/>
          <w:strike/>
          <w:color w:val="000000" w:themeColor="text1"/>
          <w:lang w:val="es-ES"/>
        </w:rPr>
        <w:t>establezca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C46E67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determine</w:t>
      </w:r>
      <w:r w:rsidR="00C46E67" w:rsidRPr="00C46E67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que dicha subcontratación sea la única y mejor opción en términos de precios y servicios para ejecutar o mantener las labores </w:t>
      </w:r>
      <w:r w:rsidRPr="005A7266">
        <w:rPr>
          <w:rFonts w:ascii="Book Antiqua" w:hAnsi="Book Antiqua" w:cs="Avenir-Book"/>
          <w:strike/>
          <w:color w:val="000000" w:themeColor="text1"/>
          <w:lang w:val="es-ES"/>
        </w:rPr>
        <w:t>que les requiere en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5A7266" w:rsidRPr="005A7266">
        <w:rPr>
          <w:rFonts w:ascii="Book Antiqua" w:hAnsi="Book Antiqua" w:cs="Avenir-Book"/>
          <w:i/>
          <w:iCs/>
          <w:color w:val="000000" w:themeColor="text1"/>
          <w:u w:val="single"/>
          <w:lang w:val="es-ES"/>
        </w:rPr>
        <w:t>requeridas por</w:t>
      </w:r>
      <w:r w:rsidR="005A726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dichos contratos. </w:t>
      </w:r>
    </w:p>
    <w:p w14:paraId="75F04F89" w14:textId="77777777" w:rsidR="00DF2ED9" w:rsidRDefault="00DF2ED9" w:rsidP="00DF2ED9">
      <w:pPr>
        <w:rPr>
          <w:lang w:val="es-PR"/>
        </w:rPr>
      </w:pPr>
    </w:p>
    <w:p w14:paraId="659411B0" w14:textId="77777777" w:rsidR="00836115" w:rsidRPr="008B4F86" w:rsidRDefault="00836115" w:rsidP="00C25487">
      <w:pPr>
        <w:autoSpaceDE w:val="0"/>
        <w:autoSpaceDN w:val="0"/>
        <w:adjustRightInd w:val="0"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8B4F86">
        <w:rPr>
          <w:rFonts w:ascii="Book Antiqua" w:hAnsi="Book Antiqua" w:cs="Avenir-Book"/>
          <w:color w:val="000000" w:themeColor="text1"/>
          <w:lang w:val="es-ES"/>
        </w:rPr>
        <w:t xml:space="preserve">Con estas enmiendas, pretendemos continuar el mandato del Pueblo de Puerto Rico, que ordenó un gobierno de mano firme y un compromiso inquebrantable en contra de la corrupción, pública y privada, que tanto daño le han causado a las finanzas públicas, así como a las aspiraciones de progreso de nuestra gente. </w:t>
      </w:r>
    </w:p>
    <w:p w14:paraId="3994D1F1" w14:textId="77777777" w:rsidR="00A5416B" w:rsidRPr="00836115" w:rsidRDefault="00A5416B" w:rsidP="00A5416B">
      <w:pPr>
        <w:rPr>
          <w:rFonts w:ascii="Book Antiqua" w:eastAsia="Book Antiqua" w:hAnsi="Book Antiqua" w:cs="Book Antiqua"/>
          <w:color w:val="000000" w:themeColor="text1"/>
          <w:lang w:val="es-ES"/>
        </w:rPr>
      </w:pPr>
    </w:p>
    <w:p w14:paraId="7955066D" w14:textId="77777777" w:rsidR="00FF2214" w:rsidRPr="00930E48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3369741B" w14:textId="77777777" w:rsidR="00836115" w:rsidRPr="008B4F86" w:rsidRDefault="00836115" w:rsidP="00836115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bookmarkStart w:id="0" w:name="_Hlk193787671"/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1.-Se enmienda el Artículo 9 de la Ley 29-2009, según enmendada, para añadir un nuevo </w:t>
      </w:r>
      <w:proofErr w:type="spellStart"/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 xml:space="preserve"> (v), en el actual inciso (a) que se leerá como sigue:</w:t>
      </w:r>
    </w:p>
    <w:p w14:paraId="6F980825" w14:textId="77777777" w:rsidR="00836115" w:rsidRPr="008B4F86" w:rsidRDefault="00836115" w:rsidP="00836115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>“Artículo 9. — Procedimiento de Selección de un Proponente y Adjudicación de una Alianza.</w:t>
      </w:r>
    </w:p>
    <w:p w14:paraId="367D7990" w14:textId="77777777" w:rsidR="00836115" w:rsidRPr="008B4F86" w:rsidRDefault="00836115" w:rsidP="00836115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(a) Requisitos y Condiciones Aplicables a los que Aspiren ser Considerados como Proponentes.</w:t>
      </w:r>
    </w:p>
    <w:p w14:paraId="06AD688D" w14:textId="77777777" w:rsidR="00836115" w:rsidRPr="008B4F86" w:rsidRDefault="00836115" w:rsidP="00836115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>Cualquier Proponente que aspire a ser contratado para una Alianza tendrá que cumplir con los siguientes requisitos y condiciones, además de aquellos requisitos que se dispongan en la solicitud de cualificación o en la solicitud de propuestas que se diseñe para dicha Alianza, que nunca podrán menoscabar la justa competencia y el interés público, a saber:</w:t>
      </w:r>
    </w:p>
    <w:p w14:paraId="45909787" w14:textId="77777777" w:rsidR="00836115" w:rsidRPr="008B4F8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5711F99F" w14:textId="77777777" w:rsidR="00836115" w:rsidRPr="008B4F8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67A231F5" w14:textId="77777777" w:rsidR="00836115" w:rsidRPr="008B4F8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>….</w:t>
      </w:r>
    </w:p>
    <w:p w14:paraId="5463851B" w14:textId="77777777" w:rsidR="00836115" w:rsidRPr="008B4F8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08F63561" w14:textId="77777777" w:rsidR="00836115" w:rsidRPr="008B4F86" w:rsidRDefault="00836115" w:rsidP="00836115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Certificará que </w:t>
      </w:r>
      <w:r w:rsidRPr="00472D99">
        <w:rPr>
          <w:rFonts w:ascii="Book Antiqua" w:eastAsia="Book Antiqua" w:hAnsi="Book Antiqua" w:cs="Book Antiqua"/>
          <w:i/>
          <w:iCs/>
          <w:strike/>
          <w:color w:val="000000" w:themeColor="text1"/>
          <w:lang w:val="es-PR"/>
        </w:rPr>
        <w:t>ni</w:t>
      </w:r>
      <w:r w:rsidRPr="008B4F8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él, </w:t>
      </w:r>
      <w:r w:rsidRPr="00172B5B">
        <w:rPr>
          <w:rFonts w:ascii="Book Antiqua" w:eastAsia="Book Antiqua" w:hAnsi="Book Antiqua" w:cs="Book Antiqua"/>
          <w:i/>
          <w:iCs/>
          <w:strike/>
          <w:color w:val="000000" w:themeColor="text1"/>
          <w:lang w:val="es-PR"/>
        </w:rPr>
        <w:t>ni</w:t>
      </w:r>
      <w:r w:rsidRPr="008B4F8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ella, y en el caso de una persona jurídica, sus directores o directoras u oficiales, y en caso de una corporación privada, los accionistas con control directo o sustancial sobre la política corporativa, y en casos de una sociedad, sus socios, y en el caso de personas naturales o jurídicas, cualquier otra persona natural o jurídica que sea el álter ego o conducto económico pasivo de la misma, tienen políticas o procedimientos internos que prohíben la contratación de miembros de su unidad familiar o ex empleados o entidades relacionadas para realizar tareas o subcontratar tareas relacionadas con el contrato de Alianza. La única excepción a la disposición de este </w:t>
      </w:r>
      <w:proofErr w:type="spellStart"/>
      <w:r w:rsidRPr="008B4F8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sub-inciso</w:t>
      </w:r>
      <w:proofErr w:type="spellEnd"/>
      <w:r w:rsidRPr="008B4F8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será que la persona, natural o jurídica que pretende establecer un contrato de alianza demuestre, a juicio de la Autoridad, que esta contratación, nombramiento o subcontratación es la única y mejor opción en términos de precios y </w:t>
      </w:r>
      <w:r w:rsidRPr="008B4F8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lastRenderedPageBreak/>
        <w:t>servicio del contrato en que se trate. Esta prohibición, y su excepción, permanecerán en vigor durante todo el tiempo en que dure el contrato de Alianza que se otorgare, como un deber continuo de la persona o entidad contratante para cumplir y hacer cumplir como norma de política pública contra el nepotismo. Toda excepción deberá constar por escrito en el acuerdo de alianza y será aplicada de la manera más restrictiva posible.</w:t>
      </w:r>
    </w:p>
    <w:p w14:paraId="686A722C" w14:textId="77777777" w:rsidR="00836115" w:rsidRPr="008B4F86" w:rsidRDefault="00836115" w:rsidP="00836115">
      <w:pPr>
        <w:pStyle w:val="ListParagraph"/>
        <w:spacing w:line="480" w:lineRule="auto"/>
        <w:ind w:left="1080"/>
        <w:jc w:val="both"/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Para propósitos de este </w:t>
      </w:r>
      <w:proofErr w:type="spellStart"/>
      <w:r w:rsidRPr="008B4F8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sub-inciso</w:t>
      </w:r>
      <w:proofErr w:type="spellEnd"/>
      <w:r w:rsidRPr="008B4F8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el término “unidad familiar” significará aquellos miembros de la familia de la persona o entidad contratante, incluyendo su cónyuge, descendientes y ascendientes, hasta el segundo grado de consanguinidad y afinidad, así como los accionistas o socios de negocios; el término “ex empleado” significará aquella persona que haya trabajado con la entidad contratante durante los dos (2) años anteriores al establecimiento de un contrato de Alianza; y el término “entidad relacionada” significará cualquier persona jurídica que posea más de un diez por ciento (10%) de control en común con la entidad contratante o que tenga, en una posición de control o de gerencia, a cualquier miembro de la unidad familiar o ex empleado de la empresa.</w:t>
      </w:r>
    </w:p>
    <w:p w14:paraId="56AAFB11" w14:textId="77777777" w:rsidR="00836115" w:rsidRPr="008B4F86" w:rsidRDefault="00836115" w:rsidP="00836115">
      <w:pPr>
        <w:pStyle w:val="ListParagraph"/>
        <w:spacing w:line="480" w:lineRule="auto"/>
        <w:ind w:left="108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>(b) Procedimiento de Selección…”</w:t>
      </w:r>
    </w:p>
    <w:p w14:paraId="786EA964" w14:textId="74D52FFF" w:rsidR="00836115" w:rsidRPr="008B4F86" w:rsidRDefault="00836115" w:rsidP="00836115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</w:t>
      </w:r>
      <w:r w:rsidR="00A13A06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>. Reglamentación.</w:t>
      </w:r>
    </w:p>
    <w:p w14:paraId="486568F3" w14:textId="5C5C5206" w:rsidR="00836115" w:rsidRPr="008B4F86" w:rsidRDefault="00836115" w:rsidP="00836115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8B4F86">
        <w:rPr>
          <w:rFonts w:ascii="Book Antiqua" w:hAnsi="Book Antiqua"/>
          <w:color w:val="000000" w:themeColor="text1"/>
          <w:lang w:val="es-PR"/>
        </w:rPr>
        <w:t xml:space="preserve">Se ordena y faculta a la Oficina del Contralor de Puerto Rico y a la Autoridad para las Alianzas Público-Privadas de Puerto Rico, así como a cualquier otra entidad gubernamental que tenga que reglamentar normas relacionadas con el contrato de alianza con el Gobierno de Puerto Rico </w:t>
      </w:r>
      <w:r w:rsidRPr="000E4073">
        <w:rPr>
          <w:rFonts w:ascii="Book Antiqua" w:hAnsi="Book Antiqua"/>
          <w:strike/>
          <w:color w:val="000000" w:themeColor="text1"/>
          <w:lang w:val="es-PR"/>
        </w:rPr>
        <w:t>deberá adoptar</w:t>
      </w:r>
      <w:r w:rsidRPr="008B4F86">
        <w:rPr>
          <w:rFonts w:ascii="Book Antiqua" w:hAnsi="Book Antiqua"/>
          <w:color w:val="000000" w:themeColor="text1"/>
          <w:lang w:val="es-PR"/>
        </w:rPr>
        <w:t xml:space="preserve"> </w:t>
      </w:r>
      <w:r w:rsidR="000E4073" w:rsidRPr="000E4073">
        <w:rPr>
          <w:rFonts w:ascii="Book Antiqua" w:hAnsi="Book Antiqua"/>
          <w:i/>
          <w:iCs/>
          <w:color w:val="000000" w:themeColor="text1"/>
          <w:u w:val="single"/>
          <w:lang w:val="es-PR"/>
        </w:rPr>
        <w:t>a promulgar</w:t>
      </w:r>
      <w:r w:rsidR="000E4073">
        <w:rPr>
          <w:rFonts w:ascii="Book Antiqua" w:hAnsi="Book Antiqua"/>
          <w:color w:val="000000" w:themeColor="text1"/>
          <w:lang w:val="es-PR"/>
        </w:rPr>
        <w:t xml:space="preserve"> </w:t>
      </w:r>
      <w:r w:rsidRPr="008B4F86">
        <w:rPr>
          <w:rFonts w:ascii="Book Antiqua" w:hAnsi="Book Antiqua"/>
          <w:color w:val="000000" w:themeColor="text1"/>
          <w:lang w:val="es-PR"/>
        </w:rPr>
        <w:t xml:space="preserve">todas las normas, </w:t>
      </w:r>
      <w:r w:rsidRPr="008B4F86">
        <w:rPr>
          <w:rFonts w:ascii="Book Antiqua" w:hAnsi="Book Antiqua"/>
          <w:color w:val="000000" w:themeColor="text1"/>
          <w:lang w:val="es-PR"/>
        </w:rPr>
        <w:lastRenderedPageBreak/>
        <w:t xml:space="preserve">reglas o reglamentos, incluyendo enmendar cualquier norma ya existente, para poder velar por el fiel cumplimiento de esta Ley. </w:t>
      </w:r>
    </w:p>
    <w:p w14:paraId="7578036C" w14:textId="5A5E6D7D" w:rsidR="00836115" w:rsidRPr="008B4F86" w:rsidRDefault="00836115" w:rsidP="00836115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</w:t>
      </w:r>
      <w:r w:rsidR="00A13A06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 xml:space="preserve">.- Vigencia. </w:t>
      </w:r>
    </w:p>
    <w:p w14:paraId="79550695" w14:textId="2996B913" w:rsidR="00FF2214" w:rsidRPr="00836115" w:rsidRDefault="00836115" w:rsidP="00836115">
      <w:pPr>
        <w:spacing w:line="480" w:lineRule="auto"/>
        <w:ind w:firstLine="720"/>
        <w:jc w:val="both"/>
        <w:rPr>
          <w:color w:val="000000" w:themeColor="text1"/>
          <w:lang w:val="es-ES"/>
        </w:rPr>
      </w:pPr>
      <w:r w:rsidRPr="008B4F86">
        <w:rPr>
          <w:rFonts w:ascii="Book Antiqua" w:eastAsia="Book Antiqua" w:hAnsi="Book Antiqua" w:cs="Book Antiqua"/>
          <w:color w:val="000000" w:themeColor="text1"/>
          <w:lang w:val="es-PR"/>
        </w:rPr>
        <w:t>Esta Ley entrará en vigor inmediatamente después de su aprobación.</w:t>
      </w:r>
      <w:bookmarkEnd w:id="0"/>
    </w:p>
    <w:sectPr w:rsidR="00FF2214" w:rsidRPr="00836115" w:rsidSect="00836115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91DEB" w14:textId="77777777" w:rsidR="00682E22" w:rsidRDefault="00682E22">
      <w:r>
        <w:separator/>
      </w:r>
    </w:p>
  </w:endnote>
  <w:endnote w:type="continuationSeparator" w:id="0">
    <w:p w14:paraId="3EDB07D6" w14:textId="77777777" w:rsidR="00682E22" w:rsidRDefault="00682E22">
      <w:r>
        <w:continuationSeparator/>
      </w:r>
    </w:p>
  </w:endnote>
  <w:endnote w:type="continuationNotice" w:id="1">
    <w:p w14:paraId="69130AFC" w14:textId="77777777" w:rsidR="00682E22" w:rsidRDefault="00682E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F53510D4-231E-491D-B503-4DDA449AE13A}"/>
    <w:embedBold r:id="rId2" w:fontKey="{1F46246F-BD0B-4BA5-9211-F8718CDD8B30}"/>
    <w:embedItalic r:id="rId3" w:fontKey="{DD220A5F-4C5E-4B53-BEB0-E60751037A7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EC7C889C-2781-4E56-BF2E-4F2943FE37E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E68FC528-E167-4507-BEE7-E076FA49191C}"/>
    <w:embedItalic r:id="rId6" w:fontKey="{FB830573-51E8-49CB-9657-914EAADC575F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AA7936FA-E636-407B-9465-C44C73EF5C34}"/>
    <w:embedItalic r:id="rId8" w:fontKey="{C9BE4C05-D42F-4304-BC4A-8C44576D9BDC}"/>
  </w:font>
  <w:font w:name="Avenir-Book">
    <w:altName w:val="Calibri"/>
    <w:charset w:val="00"/>
    <w:family w:val="swiss"/>
    <w:pitch w:val="default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CE1A4D5C-7355-48E9-A03B-9DC0820F50D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52BC462B-FD15-4EB6-9B3B-09B7E379555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7186E" w14:textId="77777777" w:rsidR="00682E22" w:rsidRDefault="00682E22">
      <w:r>
        <w:separator/>
      </w:r>
    </w:p>
  </w:footnote>
  <w:footnote w:type="continuationSeparator" w:id="0">
    <w:p w14:paraId="0EF4B1E8" w14:textId="77777777" w:rsidR="00682E22" w:rsidRDefault="00682E22">
      <w:r>
        <w:continuationSeparator/>
      </w:r>
    </w:p>
  </w:footnote>
  <w:footnote w:type="continuationNotice" w:id="1">
    <w:p w14:paraId="7D36DD1E" w14:textId="77777777" w:rsidR="00682E22" w:rsidRDefault="00682E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1F005407" w:rsidR="00FF2214" w:rsidRDefault="00850770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</w:t>
    </w:r>
    <w:r w:rsidR="00CC16C2">
      <w:rPr>
        <w:color w:val="000000"/>
      </w:rPr>
      <w:t>3</w:t>
    </w:r>
    <w:r w:rsidR="00836115">
      <w:rPr>
        <w:color w:val="000000"/>
      </w:rPr>
      <w:t>2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0"/>
  </w:num>
  <w:num w:numId="2" w16cid:durableId="1011832284">
    <w:abstractNumId w:val="4"/>
  </w:num>
  <w:num w:numId="3" w16cid:durableId="1943102285">
    <w:abstractNumId w:val="17"/>
  </w:num>
  <w:num w:numId="4" w16cid:durableId="1106316835">
    <w:abstractNumId w:val="13"/>
  </w:num>
  <w:num w:numId="5" w16cid:durableId="455106598">
    <w:abstractNumId w:val="12"/>
  </w:num>
  <w:num w:numId="6" w16cid:durableId="175340939">
    <w:abstractNumId w:val="1"/>
  </w:num>
  <w:num w:numId="7" w16cid:durableId="1854225982">
    <w:abstractNumId w:val="14"/>
  </w:num>
  <w:num w:numId="8" w16cid:durableId="1919754197">
    <w:abstractNumId w:val="0"/>
  </w:num>
  <w:num w:numId="9" w16cid:durableId="365562201">
    <w:abstractNumId w:val="3"/>
  </w:num>
  <w:num w:numId="10" w16cid:durableId="1904826230">
    <w:abstractNumId w:val="6"/>
  </w:num>
  <w:num w:numId="11" w16cid:durableId="118687224">
    <w:abstractNumId w:val="7"/>
  </w:num>
  <w:num w:numId="12" w16cid:durableId="508376565">
    <w:abstractNumId w:val="11"/>
  </w:num>
  <w:num w:numId="13" w16cid:durableId="216819222">
    <w:abstractNumId w:val="9"/>
  </w:num>
  <w:num w:numId="14" w16cid:durableId="517544549">
    <w:abstractNumId w:val="15"/>
  </w:num>
  <w:num w:numId="15" w16cid:durableId="478498451">
    <w:abstractNumId w:val="8"/>
  </w:num>
  <w:num w:numId="16" w16cid:durableId="46998239">
    <w:abstractNumId w:val="16"/>
  </w:num>
  <w:num w:numId="17" w16cid:durableId="275597364">
    <w:abstractNumId w:val="2"/>
  </w:num>
  <w:num w:numId="18" w16cid:durableId="11627024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33423"/>
    <w:rsid w:val="00040CAA"/>
    <w:rsid w:val="000502AE"/>
    <w:rsid w:val="00056D71"/>
    <w:rsid w:val="00057A7A"/>
    <w:rsid w:val="00057EF4"/>
    <w:rsid w:val="0007036F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1F2B"/>
    <w:rsid w:val="000D2EB5"/>
    <w:rsid w:val="000D30A4"/>
    <w:rsid w:val="000D60DE"/>
    <w:rsid w:val="000E4073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7A8"/>
    <w:rsid w:val="00172B5B"/>
    <w:rsid w:val="0017795B"/>
    <w:rsid w:val="00181E58"/>
    <w:rsid w:val="001858FB"/>
    <w:rsid w:val="00185EA9"/>
    <w:rsid w:val="00191362"/>
    <w:rsid w:val="00194A5E"/>
    <w:rsid w:val="00194D59"/>
    <w:rsid w:val="001961CB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01A4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0542"/>
    <w:rsid w:val="002A1D65"/>
    <w:rsid w:val="002A23EE"/>
    <w:rsid w:val="002A4F4F"/>
    <w:rsid w:val="002B2FBB"/>
    <w:rsid w:val="002B5618"/>
    <w:rsid w:val="002B62EE"/>
    <w:rsid w:val="002B7906"/>
    <w:rsid w:val="002C1726"/>
    <w:rsid w:val="002D6159"/>
    <w:rsid w:val="002F21CF"/>
    <w:rsid w:val="002F48BA"/>
    <w:rsid w:val="002F5B16"/>
    <w:rsid w:val="00302F90"/>
    <w:rsid w:val="0030308D"/>
    <w:rsid w:val="003061F5"/>
    <w:rsid w:val="00310FDD"/>
    <w:rsid w:val="0031323F"/>
    <w:rsid w:val="00313C97"/>
    <w:rsid w:val="00314E6B"/>
    <w:rsid w:val="003166B5"/>
    <w:rsid w:val="00321AB7"/>
    <w:rsid w:val="0032794E"/>
    <w:rsid w:val="00332E7A"/>
    <w:rsid w:val="0033747E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55C9"/>
    <w:rsid w:val="003B6F6C"/>
    <w:rsid w:val="003C79D6"/>
    <w:rsid w:val="003D3B08"/>
    <w:rsid w:val="003D42BF"/>
    <w:rsid w:val="003D4499"/>
    <w:rsid w:val="003E0CF2"/>
    <w:rsid w:val="003E2D11"/>
    <w:rsid w:val="003E30F3"/>
    <w:rsid w:val="003E6878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46F86"/>
    <w:rsid w:val="00452649"/>
    <w:rsid w:val="00461FBD"/>
    <w:rsid w:val="00462353"/>
    <w:rsid w:val="00462BEA"/>
    <w:rsid w:val="00465256"/>
    <w:rsid w:val="004672B6"/>
    <w:rsid w:val="004674AD"/>
    <w:rsid w:val="00472D99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4A58"/>
    <w:rsid w:val="004C6236"/>
    <w:rsid w:val="004D03F5"/>
    <w:rsid w:val="004D0CDB"/>
    <w:rsid w:val="004D7071"/>
    <w:rsid w:val="004E04A9"/>
    <w:rsid w:val="004E6136"/>
    <w:rsid w:val="004F6B8B"/>
    <w:rsid w:val="005003F6"/>
    <w:rsid w:val="0050156F"/>
    <w:rsid w:val="00502B14"/>
    <w:rsid w:val="00503836"/>
    <w:rsid w:val="00503C13"/>
    <w:rsid w:val="00504742"/>
    <w:rsid w:val="00506CA0"/>
    <w:rsid w:val="00511693"/>
    <w:rsid w:val="00521CE8"/>
    <w:rsid w:val="005229AD"/>
    <w:rsid w:val="00523C42"/>
    <w:rsid w:val="00524FBA"/>
    <w:rsid w:val="00526AC9"/>
    <w:rsid w:val="00527B13"/>
    <w:rsid w:val="00534596"/>
    <w:rsid w:val="005427F8"/>
    <w:rsid w:val="00543529"/>
    <w:rsid w:val="00546040"/>
    <w:rsid w:val="00547B4C"/>
    <w:rsid w:val="005524B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3527"/>
    <w:rsid w:val="005A7266"/>
    <w:rsid w:val="005A7A6A"/>
    <w:rsid w:val="005B0FB3"/>
    <w:rsid w:val="005B3512"/>
    <w:rsid w:val="005B3BBD"/>
    <w:rsid w:val="005C3826"/>
    <w:rsid w:val="005C3AFC"/>
    <w:rsid w:val="005C7524"/>
    <w:rsid w:val="005D0BBC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246B"/>
    <w:rsid w:val="00602AB4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82E22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3570"/>
    <w:rsid w:val="007164D0"/>
    <w:rsid w:val="007167E7"/>
    <w:rsid w:val="00721107"/>
    <w:rsid w:val="00723203"/>
    <w:rsid w:val="007255E2"/>
    <w:rsid w:val="00725A20"/>
    <w:rsid w:val="00730772"/>
    <w:rsid w:val="00731270"/>
    <w:rsid w:val="0073352B"/>
    <w:rsid w:val="00736EAA"/>
    <w:rsid w:val="00740BAC"/>
    <w:rsid w:val="0074785C"/>
    <w:rsid w:val="00752A08"/>
    <w:rsid w:val="00753E10"/>
    <w:rsid w:val="00755AEC"/>
    <w:rsid w:val="00755DDC"/>
    <w:rsid w:val="00760792"/>
    <w:rsid w:val="00764FC2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0061"/>
    <w:rsid w:val="007E368D"/>
    <w:rsid w:val="00804D98"/>
    <w:rsid w:val="00805B64"/>
    <w:rsid w:val="00807CED"/>
    <w:rsid w:val="00812840"/>
    <w:rsid w:val="00824452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70BC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25A4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65827"/>
    <w:rsid w:val="00970540"/>
    <w:rsid w:val="009833D3"/>
    <w:rsid w:val="009927E5"/>
    <w:rsid w:val="009A0ED5"/>
    <w:rsid w:val="009B47BF"/>
    <w:rsid w:val="009D1C75"/>
    <w:rsid w:val="009D5726"/>
    <w:rsid w:val="009D61E3"/>
    <w:rsid w:val="009D7450"/>
    <w:rsid w:val="009D79EC"/>
    <w:rsid w:val="009E36AA"/>
    <w:rsid w:val="009F15AE"/>
    <w:rsid w:val="009F3C51"/>
    <w:rsid w:val="00A02203"/>
    <w:rsid w:val="00A04577"/>
    <w:rsid w:val="00A11BAB"/>
    <w:rsid w:val="00A13A06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624F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AF5A8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7F92"/>
    <w:rsid w:val="00B60014"/>
    <w:rsid w:val="00B70B63"/>
    <w:rsid w:val="00B715F2"/>
    <w:rsid w:val="00B72A6A"/>
    <w:rsid w:val="00B74EC0"/>
    <w:rsid w:val="00B81E44"/>
    <w:rsid w:val="00B84666"/>
    <w:rsid w:val="00B84B1D"/>
    <w:rsid w:val="00B866DF"/>
    <w:rsid w:val="00B87A1C"/>
    <w:rsid w:val="00B87D3C"/>
    <w:rsid w:val="00B950B6"/>
    <w:rsid w:val="00BA3CB8"/>
    <w:rsid w:val="00BA665F"/>
    <w:rsid w:val="00BA70CD"/>
    <w:rsid w:val="00BB3314"/>
    <w:rsid w:val="00BB3C4F"/>
    <w:rsid w:val="00BB48CC"/>
    <w:rsid w:val="00BB4F4D"/>
    <w:rsid w:val="00BC1AD6"/>
    <w:rsid w:val="00BC7B9D"/>
    <w:rsid w:val="00BD11DE"/>
    <w:rsid w:val="00BD4F99"/>
    <w:rsid w:val="00BE4BBF"/>
    <w:rsid w:val="00BE55AC"/>
    <w:rsid w:val="00BE7D02"/>
    <w:rsid w:val="00BF5A14"/>
    <w:rsid w:val="00BF5DE6"/>
    <w:rsid w:val="00BF74F1"/>
    <w:rsid w:val="00C004A4"/>
    <w:rsid w:val="00C05E49"/>
    <w:rsid w:val="00C05E9D"/>
    <w:rsid w:val="00C13DC9"/>
    <w:rsid w:val="00C25487"/>
    <w:rsid w:val="00C32AB8"/>
    <w:rsid w:val="00C32AF1"/>
    <w:rsid w:val="00C33CEB"/>
    <w:rsid w:val="00C361CD"/>
    <w:rsid w:val="00C3746D"/>
    <w:rsid w:val="00C45576"/>
    <w:rsid w:val="00C46E67"/>
    <w:rsid w:val="00C57448"/>
    <w:rsid w:val="00C635EB"/>
    <w:rsid w:val="00C71782"/>
    <w:rsid w:val="00C8076C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EE1"/>
    <w:rsid w:val="00D020D2"/>
    <w:rsid w:val="00D0418A"/>
    <w:rsid w:val="00D17DFE"/>
    <w:rsid w:val="00D21E5F"/>
    <w:rsid w:val="00D230F4"/>
    <w:rsid w:val="00D24065"/>
    <w:rsid w:val="00D312C4"/>
    <w:rsid w:val="00D34B26"/>
    <w:rsid w:val="00D42696"/>
    <w:rsid w:val="00D43E19"/>
    <w:rsid w:val="00D50765"/>
    <w:rsid w:val="00D50CD3"/>
    <w:rsid w:val="00D84992"/>
    <w:rsid w:val="00D937E3"/>
    <w:rsid w:val="00D938F9"/>
    <w:rsid w:val="00D95879"/>
    <w:rsid w:val="00D962FB"/>
    <w:rsid w:val="00DA5EB9"/>
    <w:rsid w:val="00DA6CC5"/>
    <w:rsid w:val="00DB385B"/>
    <w:rsid w:val="00DD0E68"/>
    <w:rsid w:val="00DD225A"/>
    <w:rsid w:val="00DD4EC2"/>
    <w:rsid w:val="00DD633A"/>
    <w:rsid w:val="00DE2043"/>
    <w:rsid w:val="00DE4C0D"/>
    <w:rsid w:val="00DF2ED9"/>
    <w:rsid w:val="00DF4DB8"/>
    <w:rsid w:val="00DF5718"/>
    <w:rsid w:val="00DF5E51"/>
    <w:rsid w:val="00E03053"/>
    <w:rsid w:val="00E05064"/>
    <w:rsid w:val="00E138E0"/>
    <w:rsid w:val="00E142DA"/>
    <w:rsid w:val="00E15DD8"/>
    <w:rsid w:val="00E228A2"/>
    <w:rsid w:val="00E22AE3"/>
    <w:rsid w:val="00E22CE1"/>
    <w:rsid w:val="00E2741C"/>
    <w:rsid w:val="00E30811"/>
    <w:rsid w:val="00E31356"/>
    <w:rsid w:val="00E43A92"/>
    <w:rsid w:val="00E45E9B"/>
    <w:rsid w:val="00E64141"/>
    <w:rsid w:val="00E65583"/>
    <w:rsid w:val="00E67017"/>
    <w:rsid w:val="00E673B7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F026C9"/>
    <w:rsid w:val="00F1656D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5464"/>
    <w:rsid w:val="00F66E6E"/>
    <w:rsid w:val="00F70223"/>
    <w:rsid w:val="00F70BEF"/>
    <w:rsid w:val="00F70D38"/>
    <w:rsid w:val="00F739FE"/>
    <w:rsid w:val="00F858BD"/>
    <w:rsid w:val="00FA0CB1"/>
    <w:rsid w:val="00FA11F4"/>
    <w:rsid w:val="00FA59AC"/>
    <w:rsid w:val="00FB470E"/>
    <w:rsid w:val="00FB77D5"/>
    <w:rsid w:val="00FD065B"/>
    <w:rsid w:val="00FD093E"/>
    <w:rsid w:val="00FE2D53"/>
    <w:rsid w:val="00FF2209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1107</Words>
  <Characters>6313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Camyl Moreno Pantojas</cp:lastModifiedBy>
  <cp:revision>2</cp:revision>
  <cp:lastPrinted>2025-03-26T22:05:00Z</cp:lastPrinted>
  <dcterms:created xsi:type="dcterms:W3CDTF">2025-05-19T17:55:00Z</dcterms:created>
  <dcterms:modified xsi:type="dcterms:W3CDTF">2025-05-19T17:55:00Z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