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27275F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27275F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27275F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930E48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930E48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47B3D5DF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791ABA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464</w:t>
      </w:r>
    </w:p>
    <w:p w14:paraId="4A8A7A6F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60E764C2" w:rsidR="00950505" w:rsidRPr="00930E48" w:rsidRDefault="0027275F" w:rsidP="00950505">
      <w:pPr>
        <w:jc w:val="center"/>
        <w:rPr>
          <w:rFonts w:ascii="Book Antiqua" w:hAnsi="Book Antiqua"/>
          <w:b/>
          <w:color w:val="000000" w:themeColor="text1"/>
          <w:sz w:val="4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28 </w:t>
      </w:r>
      <w:r w:rsidRPr="00930E48">
        <w:rPr>
          <w:rFonts w:ascii="Book Antiqua" w:hAnsi="Book Antiqua"/>
          <w:color w:val="000000" w:themeColor="text1"/>
          <w:lang w:val="es-PR"/>
        </w:rPr>
        <w:t>DE MARZO DE 2025</w:t>
      </w:r>
    </w:p>
    <w:p w14:paraId="1E7B6D3E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28115346" w:rsidR="00950505" w:rsidRPr="00B00227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BC63DB">
        <w:rPr>
          <w:rFonts w:ascii="Book Antiqua" w:hAnsi="Book Antiqua"/>
          <w:lang w:val="es-ES"/>
        </w:rPr>
        <w:t xml:space="preserve">el representante </w:t>
      </w:r>
      <w:r w:rsidR="00B02CD9" w:rsidRPr="00BC63DB">
        <w:rPr>
          <w:rFonts w:ascii="Book Antiqua" w:hAnsi="Book Antiqua"/>
          <w:i/>
          <w:iCs/>
          <w:lang w:val="es-PR"/>
        </w:rPr>
        <w:t>Méndez Núñez</w:t>
      </w:r>
      <w:r w:rsidR="00B02CD9">
        <w:rPr>
          <w:rFonts w:ascii="Book Antiqua" w:hAnsi="Book Antiqua"/>
          <w:i/>
          <w:iCs/>
          <w:lang w:val="es-PR"/>
        </w:rPr>
        <w:t>;</w:t>
      </w:r>
      <w:r w:rsidR="00B02CD9" w:rsidRPr="00BC63DB">
        <w:rPr>
          <w:rFonts w:ascii="Book Antiqua" w:hAnsi="Book Antiqua"/>
          <w:i/>
          <w:iCs/>
          <w:lang w:val="es-PR"/>
        </w:rPr>
        <w:t xml:space="preserve">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Lebrón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del Valle Correa;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Estévez Vélez, Franqui Atiles;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González Aguayo, González González;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Hernández Concepción, Jiménez Torres;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Martínez Vázquez, Medina Calderón;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Morey Noble, Muriel Sánchez, Navarro Suárez, Nieves Rosario, Ocasio Ramos, Pacheco Burgos, Parés Otero;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Dávila;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Cordero, Pérez Ortiz;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Ramírez, Ramos Rivera;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18A0DB58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036351C3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930E48">
        <w:rPr>
          <w:rFonts w:ascii="Book Antiqua" w:hAnsi="Book Antiqua"/>
          <w:color w:val="000000" w:themeColor="text1"/>
          <w:lang w:val="es-PR"/>
        </w:rPr>
        <w:t>Referido a</w:t>
      </w:r>
      <w:r w:rsidR="002E149A">
        <w:rPr>
          <w:rFonts w:ascii="Book Antiqua" w:hAnsi="Book Antiqua"/>
          <w:color w:val="000000" w:themeColor="text1"/>
          <w:lang w:val="es-PR"/>
        </w:rPr>
        <w:t xml:space="preserve"> la Comisión de </w:t>
      </w:r>
      <w:r w:rsidR="00750FEA">
        <w:rPr>
          <w:rFonts w:ascii="Book Antiqua" w:hAnsi="Book Antiqua"/>
          <w:color w:val="000000" w:themeColor="text1"/>
          <w:lang w:val="es-PR"/>
        </w:rPr>
        <w:t>Gobierno</w:t>
      </w:r>
    </w:p>
    <w:p w14:paraId="4B9C3823" w14:textId="77777777" w:rsidR="00950505" w:rsidRPr="00930E48" w:rsidRDefault="00950505" w:rsidP="0095050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930E48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8809CEC" w14:textId="27F0F0B8" w:rsidR="00BE6A63" w:rsidRPr="002F48BA" w:rsidRDefault="00850770" w:rsidP="0027275F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E6A63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añadir un nuevo Artículo </w:t>
      </w:r>
      <w:r w:rsidR="00BE6A63">
        <w:rPr>
          <w:rFonts w:ascii="Book Antiqua" w:eastAsia="Book Antiqua" w:hAnsi="Book Antiqua" w:cs="Book Antiqua"/>
          <w:color w:val="000000" w:themeColor="text1"/>
          <w:lang w:val="es-PR"/>
        </w:rPr>
        <w:t>6.09</w:t>
      </w:r>
      <w:r w:rsidR="00BE6A63" w:rsidRPr="00DB10AC">
        <w:rPr>
          <w:rFonts w:ascii="Book Antiqua" w:eastAsia="Book Antiqua" w:hAnsi="Book Antiqua" w:cs="Book Antiqua"/>
          <w:color w:val="000000" w:themeColor="text1"/>
          <w:lang w:val="es-PR"/>
        </w:rPr>
        <w:t xml:space="preserve"> y renumerar los artículos subsiguientes de la Ley 351-2000, según enmendada, conocida como </w:t>
      </w:r>
      <w:r w:rsidR="00437A12">
        <w:rPr>
          <w:rFonts w:ascii="Book Antiqua" w:eastAsia="Book Antiqua" w:hAnsi="Book Antiqua" w:cs="Book Antiqua"/>
          <w:color w:val="000000" w:themeColor="text1"/>
          <w:lang w:val="es-PR"/>
        </w:rPr>
        <w:t>“</w:t>
      </w:r>
      <w:r w:rsidR="00BE6A63" w:rsidRPr="00DB10AC">
        <w:rPr>
          <w:rFonts w:ascii="Book Antiqua" w:eastAsia="Book Antiqua" w:hAnsi="Book Antiqua" w:cs="Book Antiqua"/>
          <w:color w:val="000000" w:themeColor="text1"/>
          <w:lang w:val="es-PR"/>
        </w:rPr>
        <w:t>Ley del Distrito del Centro de Convenciones de Puerto Rico</w:t>
      </w:r>
      <w:r w:rsidR="00437A12">
        <w:rPr>
          <w:rFonts w:ascii="Book Antiqua" w:eastAsia="Book Antiqua" w:hAnsi="Book Antiqua" w:cs="Book Antiqua"/>
          <w:color w:val="000000" w:themeColor="text1"/>
          <w:lang w:val="es-PR"/>
        </w:rPr>
        <w:t>”</w:t>
      </w:r>
      <w:r w:rsidR="00BE6A63" w:rsidRPr="00DB10AC">
        <w:rPr>
          <w:rFonts w:ascii="Book Antiqua" w:eastAsia="Book Antiqua" w:hAnsi="Book Antiqua" w:cs="Book Antiqua"/>
          <w:color w:val="000000" w:themeColor="text1"/>
          <w:lang w:val="es-PR"/>
        </w:rPr>
        <w:t>, a los fines de restituir la autonomía operativa y administrativa de la Autoridad del Distrito del Centro de Convenciones de Puerto Rico y facultarla para establecer sus propios procedimientos de adquisición, conforme a sus necesidades particulares</w:t>
      </w:r>
      <w:r w:rsidR="00BE6A63" w:rsidRPr="00F56F11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</w:t>
      </w:r>
      <w:r w:rsidR="00BE6A63">
        <w:rPr>
          <w:rFonts w:ascii="Book Antiqua" w:eastAsia="Book Antiqua" w:hAnsi="Book Antiqua" w:cs="Book Antiqua"/>
          <w:color w:val="000000" w:themeColor="text1"/>
          <w:lang w:val="es-PR"/>
        </w:rPr>
        <w:t xml:space="preserve">.  </w:t>
      </w:r>
    </w:p>
    <w:p w14:paraId="726F9974" w14:textId="791109DC" w:rsidR="000B77A8" w:rsidRPr="00930E48" w:rsidRDefault="000B77A8" w:rsidP="0027275F">
      <w:pPr>
        <w:ind w:left="540" w:hanging="540"/>
        <w:jc w:val="both"/>
        <w:rPr>
          <w:rFonts w:ascii="Book Antiqua" w:eastAsia="Aptos" w:hAnsi="Book Antiqua"/>
          <w:color w:val="000000" w:themeColor="text1"/>
          <w:kern w:val="2"/>
          <w:lang w:val="es-PR"/>
          <w14:ligatures w14:val="standardContextual"/>
        </w:rPr>
      </w:pPr>
    </w:p>
    <w:p w14:paraId="63AE53B1" w14:textId="3B22399B" w:rsidR="00010836" w:rsidRPr="00930E48" w:rsidRDefault="00850770" w:rsidP="0027275F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5E71D0FC" w14:textId="77777777" w:rsidR="00A5416B" w:rsidRDefault="00A5416B" w:rsidP="0027275F">
      <w:pPr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60C8D06A" w14:textId="77777777" w:rsidR="00BE6A63" w:rsidRPr="00E2095C" w:rsidRDefault="00BE6A63" w:rsidP="0027275F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 xml:space="preserve">La Ley 73-2019, según enmendada, conocida </w:t>
      </w:r>
      <w:r w:rsidRPr="009151D6">
        <w:rPr>
          <w:rFonts w:ascii="Book Antiqua" w:eastAsia="Book Antiqua" w:hAnsi="Book Antiqua" w:cs="Book Antiqua"/>
          <w:color w:val="000000" w:themeColor="text1"/>
          <w:lang w:val="es-PR"/>
        </w:rPr>
        <w:t>como “Ley de la Administración de Servicios Generales para la Centralización de las Compras del Gobierno de Puerto Rico”,</w:t>
      </w: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 xml:space="preserve"> establece un marco uniforme para la adquisición de bienes, obras y servicios no profesionales por parte de las entidades gubernamentales, con el objetivo de promover la eficiencia, la transparencia y la sana administración pública. Esta legislación centraliza </w:t>
      </w: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los procesos de compras del Gobierno de Puerto Rico bajo la jurisdicción de la Administración de Servicios Generales (ASG).</w:t>
      </w:r>
    </w:p>
    <w:p w14:paraId="1F623D7A" w14:textId="77777777" w:rsidR="00BE6A63" w:rsidRDefault="00BE6A63" w:rsidP="00BE6A6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2F05F15" w14:textId="3CE103F9" w:rsidR="00BE6A63" w:rsidRPr="00E2095C" w:rsidRDefault="00BE6A63" w:rsidP="00BE6A6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 xml:space="preserve">Sin embargo, la aplicación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de la </w:t>
      </w: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 xml:space="preserve">Ley 73-2019 a entidades con funciones especializadas y operaciones particulares puede resultar contraproducente y limitar su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eficiencia</w:t>
      </w: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Ejemplo de ello, es el</w:t>
      </w: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 xml:space="preserve"> caso de la Autoridad del Distrito de Convenciones, creada mediante la Ley 351-2000, según enmendada, conocida como “Ley del Distrito del Centro de Convenciones de Puerto Rico”. Esta instrumentalidad tiene como propósito operar y administrar un distrito diseñado para fomentar el desarrollo económico, turístico y de entretenimiento en la Isla.</w:t>
      </w:r>
    </w:p>
    <w:p w14:paraId="6F8BE7BE" w14:textId="77777777" w:rsidR="00BE6A63" w:rsidRDefault="00BE6A63" w:rsidP="00BE6A6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A7C63AD" w14:textId="3FDBD51F" w:rsidR="00BE6A63" w:rsidRPr="00E2095C" w:rsidRDefault="00BE6A63" w:rsidP="00BE6A6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 xml:space="preserve">La naturaleza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particular</w:t>
      </w: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 xml:space="preserve"> de la Autoridad del Distrito de Convenciones —cuyo modelo de gestión exige agilidad operacional, toma de decisiones expedita y procesos administrativos flexibles— contrasta marcadamente con los procedimientos centralizados establecidos por la Ley 73-2019. Además, la Autoridad compite directamente con destinos internacionales por la captación de eventos, convenciones y espectáculos, por lo que necesita operar con una eficiencia comparable a la del sector privado para mantenerse competitiva.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>Someter sus procesos de adquisición a los controles de ASG compromete su capacidad de responder oportunamente a las exigencias del mercado y limita su potencial como motor de desarrollo económico para Puerto Rico. En reconocimiento de estas realidades, se hace imprescindible excluir formalmente a la Autoridad del Distrito de Convenciones del ámbito de aplicación de la Ley 73-2019.</w:t>
      </w:r>
    </w:p>
    <w:p w14:paraId="6E609F3E" w14:textId="77777777" w:rsidR="00BE6A63" w:rsidRDefault="00BE6A63" w:rsidP="00BE6A6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1089C6C" w14:textId="58608C55" w:rsidR="00BE6A63" w:rsidRDefault="00BE6A63" w:rsidP="00BE6A63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 xml:space="preserve">Esta </w:t>
      </w:r>
      <w:r w:rsidR="00E41FCC">
        <w:rPr>
          <w:rFonts w:ascii="Book Antiqua" w:eastAsia="Book Antiqua" w:hAnsi="Book Antiqua" w:cs="Book Antiqua"/>
          <w:color w:val="000000" w:themeColor="text1"/>
          <w:lang w:val="es-PR"/>
        </w:rPr>
        <w:t>Ley</w:t>
      </w:r>
      <w:r w:rsidRPr="00E2095C">
        <w:rPr>
          <w:rFonts w:ascii="Book Antiqua" w:eastAsia="Book Antiqua" w:hAnsi="Book Antiqua" w:cs="Book Antiqua"/>
          <w:color w:val="000000" w:themeColor="text1"/>
          <w:lang w:val="es-PR"/>
        </w:rPr>
        <w:t>, por tanto, persigue enmendar la Ley 351-2000 a los fines de establecer expresamente dicha exclusión, reconociendo el carácter estratégico y empresarial de la Autoridad, y permitiéndole continuar cumpliendo su misión con autonomía, agilidad, efectividad y transparencia, mediante sus propios mecanismos internos de control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994D1F1" w14:textId="77777777" w:rsidR="00A5416B" w:rsidRPr="00BE6A63" w:rsidRDefault="00A5416B" w:rsidP="00A5416B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6D" w14:textId="77777777" w:rsidR="00FF2214" w:rsidRPr="00930E48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08B36EF3" w14:textId="77777777" w:rsidR="00BE6A63" w:rsidRPr="00E6099F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bookmarkStart w:id="0" w:name="{20D8}"/>
      <w:bookmarkStart w:id="1" w:name="_Hlk189832381"/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1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 xml:space="preserve">Se </w:t>
      </w:r>
      <w:r>
        <w:rPr>
          <w:rFonts w:ascii="Book Antiqua" w:hAnsi="Book Antiqua"/>
          <w:color w:val="000000" w:themeColor="text1"/>
        </w:rPr>
        <w:t>añade un nuevo Artículo 6.09 a la Ley 351-2000, según enmendada</w:t>
      </w:r>
      <w:r w:rsidRPr="00525F1B">
        <w:rPr>
          <w:rFonts w:ascii="Book Antiqua" w:hAnsi="Book Antiqua"/>
          <w:color w:val="000000" w:themeColor="text1"/>
        </w:rPr>
        <w:t xml:space="preserve">, </w:t>
      </w:r>
      <w:r>
        <w:rPr>
          <w:rFonts w:ascii="Book Antiqua" w:hAnsi="Book Antiqua"/>
          <w:color w:val="000000" w:themeColor="text1"/>
        </w:rPr>
        <w:t>para que se lea</w:t>
      </w:r>
      <w:r w:rsidRPr="00525F1B">
        <w:rPr>
          <w:rFonts w:ascii="Book Antiqua" w:hAnsi="Book Antiqua"/>
          <w:color w:val="000000" w:themeColor="text1"/>
        </w:rPr>
        <w:t xml:space="preserve"> como sigue: </w:t>
      </w:r>
    </w:p>
    <w:p w14:paraId="66B4244F" w14:textId="77777777" w:rsidR="00BE6A63" w:rsidRPr="007A5D8B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i/>
          <w:iCs/>
          <w:color w:val="000000" w:themeColor="text1"/>
          <w:lang w:val="es-ES"/>
        </w:rPr>
      </w:pPr>
      <w:r w:rsidRPr="007A5D8B">
        <w:rPr>
          <w:rFonts w:ascii="Book Antiqua" w:hAnsi="Book Antiqua"/>
          <w:i/>
          <w:iCs/>
          <w:color w:val="000000" w:themeColor="text1"/>
          <w:lang w:val="es-ES"/>
        </w:rPr>
        <w:t xml:space="preserve">“Artículo </w:t>
      </w:r>
      <w:r>
        <w:rPr>
          <w:rFonts w:ascii="Book Antiqua" w:hAnsi="Book Antiqua"/>
          <w:i/>
          <w:iCs/>
          <w:color w:val="000000" w:themeColor="text1"/>
          <w:lang w:val="es-ES"/>
        </w:rPr>
        <w:t>6.0</w:t>
      </w:r>
      <w:r w:rsidRPr="007A5D8B">
        <w:rPr>
          <w:rFonts w:ascii="Book Antiqua" w:hAnsi="Book Antiqua"/>
          <w:i/>
          <w:iCs/>
          <w:color w:val="000000" w:themeColor="text1"/>
          <w:lang w:val="es-ES"/>
        </w:rPr>
        <w:t xml:space="preserve">9. — </w:t>
      </w:r>
      <w:r>
        <w:rPr>
          <w:rFonts w:ascii="Book Antiqua" w:hAnsi="Book Antiqua"/>
          <w:i/>
          <w:iCs/>
          <w:color w:val="000000" w:themeColor="text1"/>
          <w:lang w:val="es-ES"/>
        </w:rPr>
        <w:t>No aplicabilidad de la Ley Núm</w:t>
      </w:r>
      <w:r w:rsidRPr="007A5D8B">
        <w:rPr>
          <w:rFonts w:ascii="Book Antiqua" w:hAnsi="Book Antiqua"/>
          <w:i/>
          <w:iCs/>
          <w:color w:val="000000" w:themeColor="text1"/>
          <w:lang w:val="es-ES"/>
        </w:rPr>
        <w:t>.</w:t>
      </w:r>
      <w:r>
        <w:rPr>
          <w:rFonts w:ascii="Book Antiqua" w:hAnsi="Book Antiqua"/>
          <w:i/>
          <w:iCs/>
          <w:color w:val="000000" w:themeColor="text1"/>
          <w:lang w:val="es-ES"/>
        </w:rPr>
        <w:t xml:space="preserve"> 73-2019.</w:t>
      </w:r>
      <w:r w:rsidRPr="007A5D8B">
        <w:rPr>
          <w:rFonts w:ascii="Book Antiqua" w:hAnsi="Book Antiqua"/>
          <w:i/>
          <w:iCs/>
          <w:color w:val="000000" w:themeColor="text1"/>
          <w:lang w:val="es-ES"/>
        </w:rPr>
        <w:t xml:space="preserve"> </w:t>
      </w:r>
    </w:p>
    <w:p w14:paraId="27E1E835" w14:textId="61ADAEE5" w:rsidR="00BE6A63" w:rsidRPr="007A5D8B" w:rsidRDefault="00BE6A63" w:rsidP="00BE6A63">
      <w:pPr>
        <w:pStyle w:val="BodyText"/>
        <w:spacing w:line="480" w:lineRule="auto"/>
        <w:ind w:left="720" w:firstLine="720"/>
        <w:rPr>
          <w:rFonts w:ascii="Book Antiqua" w:hAnsi="Book Antiqua"/>
          <w:color w:val="000000" w:themeColor="text1"/>
        </w:rPr>
      </w:pPr>
      <w:r w:rsidRPr="00AA2217">
        <w:rPr>
          <w:rFonts w:ascii="Book Antiqua" w:hAnsi="Book Antiqua"/>
          <w:i/>
          <w:iCs/>
          <w:color w:val="000000" w:themeColor="text1"/>
        </w:rPr>
        <w:t xml:space="preserve">La </w:t>
      </w:r>
      <w:r>
        <w:rPr>
          <w:rFonts w:ascii="Book Antiqua" w:hAnsi="Book Antiqua"/>
          <w:i/>
          <w:iCs/>
          <w:color w:val="000000" w:themeColor="text1"/>
        </w:rPr>
        <w:t>Autoridad</w:t>
      </w:r>
      <w:r w:rsidRPr="00AA2217">
        <w:rPr>
          <w:rFonts w:ascii="Book Antiqua" w:hAnsi="Book Antiqua"/>
          <w:i/>
          <w:iCs/>
          <w:color w:val="000000" w:themeColor="text1"/>
        </w:rPr>
        <w:t xml:space="preserve"> estará excluida de las disposiciones de la Ley 73-2019, según enmendada, conocida como “Ley de la Administración de Servicios Generales para la Centralización de las Compras del Gobierno de Puerto Rico de 2019”</w:t>
      </w:r>
      <w:r>
        <w:rPr>
          <w:rFonts w:ascii="Book Antiqua" w:hAnsi="Book Antiqua"/>
          <w:i/>
          <w:iCs/>
          <w:color w:val="000000" w:themeColor="text1"/>
        </w:rPr>
        <w:t xml:space="preserve">, </w:t>
      </w:r>
      <w:r w:rsidRPr="00AA2217">
        <w:rPr>
          <w:rFonts w:ascii="Book Antiqua" w:hAnsi="Book Antiqua"/>
          <w:i/>
          <w:iCs/>
          <w:color w:val="000000" w:themeColor="text1"/>
        </w:rPr>
        <w:t xml:space="preserve">o de cualquier </w:t>
      </w:r>
      <w:r w:rsidRPr="00AA2217">
        <w:rPr>
          <w:rFonts w:ascii="Book Antiqua" w:hAnsi="Book Antiqua"/>
          <w:i/>
          <w:iCs/>
          <w:color w:val="000000" w:themeColor="text1"/>
        </w:rPr>
        <w:lastRenderedPageBreak/>
        <w:t xml:space="preserve">legislación que la sustituya. </w:t>
      </w:r>
      <w:r w:rsidRPr="00F55C98">
        <w:rPr>
          <w:rFonts w:ascii="Book Antiqua" w:hAnsi="Book Antiqua"/>
          <w:i/>
          <w:iCs/>
          <w:color w:val="000000" w:themeColor="text1"/>
        </w:rPr>
        <w:t xml:space="preserve">La </w:t>
      </w:r>
      <w:r>
        <w:rPr>
          <w:rFonts w:ascii="Book Antiqua" w:hAnsi="Book Antiqua"/>
          <w:i/>
          <w:iCs/>
          <w:color w:val="000000" w:themeColor="text1"/>
        </w:rPr>
        <w:t>Autoridad</w:t>
      </w:r>
      <w:r w:rsidRPr="00F55C98">
        <w:rPr>
          <w:rFonts w:ascii="Book Antiqua" w:hAnsi="Book Antiqua"/>
          <w:i/>
          <w:iCs/>
          <w:color w:val="000000" w:themeColor="text1"/>
        </w:rPr>
        <w:t xml:space="preserve"> establecerá procedimientos internos para la adquisición de bienes, obras y servicios mediante procesos de compras y subastas que garanticen la transparencia y el uso adecuado de los fondos públicos.</w:t>
      </w:r>
      <w:r>
        <w:rPr>
          <w:rFonts w:ascii="Book Antiqua" w:hAnsi="Book Antiqua"/>
          <w:i/>
          <w:iCs/>
          <w:color w:val="000000" w:themeColor="text1"/>
        </w:rPr>
        <w:t>”</w:t>
      </w:r>
    </w:p>
    <w:p w14:paraId="2095F63F" w14:textId="792BE673" w:rsidR="00BE6A63" w:rsidRPr="00E6099F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2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 xml:space="preserve">Se </w:t>
      </w:r>
      <w:r>
        <w:rPr>
          <w:rFonts w:ascii="Book Antiqua" w:hAnsi="Book Antiqua"/>
          <w:color w:val="000000" w:themeColor="text1"/>
        </w:rPr>
        <w:t xml:space="preserve">reenumeran los actuales Artículos 6.09, 6.10, 6.11, 6.12, 6.13, 6.14, 6.15, 6.16 y 6.17 como 6.10, 6.11, 6.12, 6.13, 6.14, 6.15, 6.16, 6.17 y 6.18, respectivamente, de la </w:t>
      </w:r>
      <w:r w:rsidR="009D5D29" w:rsidRPr="00DB10AC">
        <w:rPr>
          <w:rFonts w:ascii="Book Antiqua" w:eastAsia="Book Antiqua" w:hAnsi="Book Antiqua" w:cs="Book Antiqua"/>
          <w:color w:val="000000" w:themeColor="text1"/>
        </w:rPr>
        <w:t>Ley 351-2000</w:t>
      </w:r>
      <w:r>
        <w:rPr>
          <w:rFonts w:ascii="Book Antiqua" w:hAnsi="Book Antiqua"/>
          <w:color w:val="000000" w:themeColor="text1"/>
        </w:rPr>
        <w:t>, según enmendada</w:t>
      </w:r>
      <w:r w:rsidRPr="00525F1B">
        <w:rPr>
          <w:rFonts w:ascii="Book Antiqua" w:hAnsi="Book Antiqua"/>
          <w:color w:val="000000" w:themeColor="text1"/>
        </w:rPr>
        <w:t xml:space="preserve">, </w:t>
      </w:r>
      <w:r>
        <w:rPr>
          <w:rFonts w:ascii="Book Antiqua" w:hAnsi="Book Antiqua"/>
          <w:color w:val="000000" w:themeColor="text1"/>
        </w:rPr>
        <w:t>para que se lea</w:t>
      </w:r>
      <w:r w:rsidRPr="00525F1B">
        <w:rPr>
          <w:rFonts w:ascii="Book Antiqua" w:hAnsi="Book Antiqua"/>
          <w:color w:val="000000" w:themeColor="text1"/>
        </w:rPr>
        <w:t xml:space="preserve"> como sigue: </w:t>
      </w:r>
    </w:p>
    <w:p w14:paraId="3414A32F" w14:textId="77777777" w:rsidR="00BE6A63" w:rsidRPr="00796E52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pt-BR"/>
        </w:rPr>
      </w:pPr>
      <w:r w:rsidRPr="00796E52">
        <w:rPr>
          <w:rFonts w:ascii="Book Antiqua" w:hAnsi="Book Antiqua"/>
          <w:color w:val="000000" w:themeColor="text1"/>
          <w:lang w:val="pt-BR"/>
        </w:rPr>
        <w:t xml:space="preserve">“Artículo </w:t>
      </w:r>
      <w:r w:rsidRPr="00796E52">
        <w:rPr>
          <w:rFonts w:ascii="Book Antiqua" w:hAnsi="Book Antiqua"/>
          <w:i/>
          <w:iCs/>
          <w:color w:val="000000" w:themeColor="text1"/>
          <w:lang w:val="pt-BR"/>
        </w:rPr>
        <w:t>6.10</w:t>
      </w:r>
      <w:r w:rsidRPr="00796E52">
        <w:rPr>
          <w:rFonts w:ascii="Book Antiqua" w:hAnsi="Book Antiqua"/>
          <w:b/>
          <w:bCs/>
          <w:color w:val="000000" w:themeColor="text1"/>
          <w:lang w:val="pt-BR"/>
        </w:rPr>
        <w:t>[6.09]</w:t>
      </w:r>
      <w:r w:rsidRPr="00796E52">
        <w:rPr>
          <w:rFonts w:ascii="Book Antiqua" w:hAnsi="Book Antiqua"/>
          <w:color w:val="000000" w:themeColor="text1"/>
          <w:lang w:val="pt-BR"/>
        </w:rPr>
        <w:t xml:space="preserve">. </w:t>
      </w:r>
      <w:r w:rsidRPr="00796E52">
        <w:rPr>
          <w:rFonts w:ascii="Book Antiqua" w:hAnsi="Book Antiqua"/>
          <w:color w:val="000000" w:themeColor="text1"/>
          <w:lang w:val="pt-BR"/>
        </w:rPr>
        <w:tab/>
        <w:t xml:space="preserve">... </w:t>
      </w:r>
    </w:p>
    <w:p w14:paraId="16C502D1" w14:textId="77777777" w:rsidR="00BE6A63" w:rsidRPr="00796E52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pt-BR"/>
        </w:rPr>
      </w:pPr>
      <w:r w:rsidRPr="00796E52">
        <w:rPr>
          <w:rFonts w:ascii="Book Antiqua" w:hAnsi="Book Antiqua"/>
          <w:color w:val="000000" w:themeColor="text1"/>
          <w:lang w:val="pt-BR"/>
        </w:rPr>
        <w:t xml:space="preserve">Articulo </w:t>
      </w:r>
      <w:r w:rsidRPr="00796E52">
        <w:rPr>
          <w:rFonts w:ascii="Book Antiqua" w:hAnsi="Book Antiqua"/>
          <w:i/>
          <w:iCs/>
          <w:color w:val="000000" w:themeColor="text1"/>
          <w:lang w:val="pt-BR"/>
        </w:rPr>
        <w:t>6.11</w:t>
      </w:r>
      <w:r w:rsidRPr="00796E52">
        <w:rPr>
          <w:rFonts w:ascii="Book Antiqua" w:hAnsi="Book Antiqua"/>
          <w:b/>
          <w:bCs/>
          <w:color w:val="000000" w:themeColor="text1"/>
          <w:lang w:val="pt-BR"/>
        </w:rPr>
        <w:t>[6.10]</w:t>
      </w:r>
      <w:r w:rsidRPr="00796E52">
        <w:rPr>
          <w:rFonts w:ascii="Book Antiqua" w:hAnsi="Book Antiqua"/>
          <w:color w:val="000000" w:themeColor="text1"/>
          <w:lang w:val="pt-BR"/>
        </w:rPr>
        <w:t>.</w:t>
      </w:r>
      <w:r w:rsidRPr="00796E52">
        <w:rPr>
          <w:rFonts w:ascii="Book Antiqua" w:hAnsi="Book Antiqua"/>
          <w:color w:val="000000" w:themeColor="text1"/>
          <w:lang w:val="pt-BR"/>
        </w:rPr>
        <w:tab/>
      </w:r>
      <w:r w:rsidRPr="00796E52">
        <w:rPr>
          <w:rFonts w:ascii="Book Antiqua" w:hAnsi="Book Antiqua"/>
          <w:color w:val="000000" w:themeColor="text1"/>
          <w:lang w:val="pt-BR"/>
        </w:rPr>
        <w:tab/>
        <w:t>…</w:t>
      </w:r>
    </w:p>
    <w:p w14:paraId="1F09BD02" w14:textId="77777777" w:rsidR="00BE6A63" w:rsidRPr="00796E52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pt-BR"/>
        </w:rPr>
      </w:pPr>
      <w:r w:rsidRPr="00796E52">
        <w:rPr>
          <w:rFonts w:ascii="Book Antiqua" w:hAnsi="Book Antiqua"/>
          <w:color w:val="000000" w:themeColor="text1"/>
          <w:lang w:val="pt-BR"/>
        </w:rPr>
        <w:t xml:space="preserve">Articulo </w:t>
      </w:r>
      <w:r w:rsidRPr="00796E52">
        <w:rPr>
          <w:rFonts w:ascii="Book Antiqua" w:hAnsi="Book Antiqua"/>
          <w:i/>
          <w:iCs/>
          <w:color w:val="000000" w:themeColor="text1"/>
          <w:lang w:val="pt-BR"/>
        </w:rPr>
        <w:t>6.12</w:t>
      </w:r>
      <w:r w:rsidRPr="00796E52">
        <w:rPr>
          <w:rFonts w:ascii="Book Antiqua" w:hAnsi="Book Antiqua"/>
          <w:b/>
          <w:bCs/>
          <w:color w:val="000000" w:themeColor="text1"/>
          <w:lang w:val="pt-BR"/>
        </w:rPr>
        <w:t>[6.11]</w:t>
      </w:r>
      <w:r w:rsidRPr="00796E52">
        <w:rPr>
          <w:rFonts w:ascii="Book Antiqua" w:hAnsi="Book Antiqua"/>
          <w:color w:val="000000" w:themeColor="text1"/>
          <w:lang w:val="pt-BR"/>
        </w:rPr>
        <w:t>.</w:t>
      </w:r>
      <w:r w:rsidRPr="00796E52">
        <w:rPr>
          <w:rFonts w:ascii="Book Antiqua" w:hAnsi="Book Antiqua"/>
          <w:color w:val="000000" w:themeColor="text1"/>
          <w:lang w:val="pt-BR"/>
        </w:rPr>
        <w:tab/>
      </w:r>
      <w:r w:rsidRPr="00796E52">
        <w:rPr>
          <w:rFonts w:ascii="Book Antiqua" w:hAnsi="Book Antiqua"/>
          <w:color w:val="000000" w:themeColor="text1"/>
          <w:lang w:val="pt-BR"/>
        </w:rPr>
        <w:tab/>
        <w:t>…</w:t>
      </w:r>
    </w:p>
    <w:p w14:paraId="53A4A83A" w14:textId="77777777" w:rsidR="00BE6A63" w:rsidRPr="00796E52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pt-BR"/>
        </w:rPr>
      </w:pPr>
      <w:r w:rsidRPr="00796E52">
        <w:rPr>
          <w:rFonts w:ascii="Book Antiqua" w:hAnsi="Book Antiqua"/>
          <w:color w:val="000000" w:themeColor="text1"/>
          <w:lang w:val="pt-BR"/>
        </w:rPr>
        <w:t xml:space="preserve">Articulo </w:t>
      </w:r>
      <w:r w:rsidRPr="00796E52">
        <w:rPr>
          <w:rFonts w:ascii="Book Antiqua" w:hAnsi="Book Antiqua"/>
          <w:i/>
          <w:iCs/>
          <w:color w:val="000000" w:themeColor="text1"/>
          <w:lang w:val="pt-BR"/>
        </w:rPr>
        <w:t>6.13</w:t>
      </w:r>
      <w:r w:rsidRPr="00796E52">
        <w:rPr>
          <w:rFonts w:ascii="Book Antiqua" w:hAnsi="Book Antiqua"/>
          <w:b/>
          <w:bCs/>
          <w:color w:val="000000" w:themeColor="text1"/>
          <w:lang w:val="pt-BR"/>
        </w:rPr>
        <w:t>[6.12]</w:t>
      </w:r>
      <w:r w:rsidRPr="00796E52">
        <w:rPr>
          <w:rFonts w:ascii="Book Antiqua" w:hAnsi="Book Antiqua"/>
          <w:color w:val="000000" w:themeColor="text1"/>
          <w:lang w:val="pt-BR"/>
        </w:rPr>
        <w:t>.</w:t>
      </w:r>
      <w:r w:rsidRPr="00796E52">
        <w:rPr>
          <w:rFonts w:ascii="Book Antiqua" w:hAnsi="Book Antiqua"/>
          <w:color w:val="000000" w:themeColor="text1"/>
          <w:lang w:val="pt-BR"/>
        </w:rPr>
        <w:tab/>
      </w:r>
      <w:r w:rsidRPr="00796E52">
        <w:rPr>
          <w:rFonts w:ascii="Book Antiqua" w:hAnsi="Book Antiqua"/>
          <w:color w:val="000000" w:themeColor="text1"/>
          <w:lang w:val="pt-BR"/>
        </w:rPr>
        <w:tab/>
        <w:t>…</w:t>
      </w:r>
    </w:p>
    <w:p w14:paraId="6ED6A33E" w14:textId="77777777" w:rsidR="00BE6A63" w:rsidRPr="00796E52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pt-BR"/>
        </w:rPr>
      </w:pPr>
      <w:r w:rsidRPr="00796E52">
        <w:rPr>
          <w:rFonts w:ascii="Book Antiqua" w:hAnsi="Book Antiqua"/>
          <w:color w:val="000000" w:themeColor="text1"/>
          <w:lang w:val="pt-BR"/>
        </w:rPr>
        <w:t xml:space="preserve">Articulo </w:t>
      </w:r>
      <w:r w:rsidRPr="00796E52">
        <w:rPr>
          <w:rFonts w:ascii="Book Antiqua" w:hAnsi="Book Antiqua"/>
          <w:i/>
          <w:iCs/>
          <w:color w:val="000000" w:themeColor="text1"/>
          <w:lang w:val="pt-BR"/>
        </w:rPr>
        <w:t>6.14</w:t>
      </w:r>
      <w:r w:rsidRPr="00796E52">
        <w:rPr>
          <w:rFonts w:ascii="Book Antiqua" w:hAnsi="Book Antiqua"/>
          <w:b/>
          <w:bCs/>
          <w:color w:val="000000" w:themeColor="text1"/>
          <w:lang w:val="pt-BR"/>
        </w:rPr>
        <w:t>[6.13]</w:t>
      </w:r>
      <w:r w:rsidRPr="00796E52">
        <w:rPr>
          <w:rFonts w:ascii="Book Antiqua" w:hAnsi="Book Antiqua"/>
          <w:color w:val="000000" w:themeColor="text1"/>
          <w:lang w:val="pt-BR"/>
        </w:rPr>
        <w:t>.</w:t>
      </w:r>
      <w:r w:rsidRPr="00796E52">
        <w:rPr>
          <w:rFonts w:ascii="Book Antiqua" w:hAnsi="Book Antiqua"/>
          <w:color w:val="000000" w:themeColor="text1"/>
          <w:lang w:val="pt-BR"/>
        </w:rPr>
        <w:tab/>
      </w:r>
      <w:r w:rsidRPr="00796E52">
        <w:rPr>
          <w:rFonts w:ascii="Book Antiqua" w:hAnsi="Book Antiqua"/>
          <w:color w:val="000000" w:themeColor="text1"/>
          <w:lang w:val="pt-BR"/>
        </w:rPr>
        <w:tab/>
        <w:t>…</w:t>
      </w:r>
    </w:p>
    <w:p w14:paraId="3B416A20" w14:textId="77777777" w:rsidR="00BE6A63" w:rsidRPr="00796E52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pt-BR"/>
        </w:rPr>
      </w:pPr>
      <w:r w:rsidRPr="00796E52">
        <w:rPr>
          <w:rFonts w:ascii="Book Antiqua" w:hAnsi="Book Antiqua"/>
          <w:color w:val="000000" w:themeColor="text1"/>
          <w:lang w:val="pt-BR"/>
        </w:rPr>
        <w:t xml:space="preserve">Articulo </w:t>
      </w:r>
      <w:r w:rsidRPr="00796E52">
        <w:rPr>
          <w:rFonts w:ascii="Book Antiqua" w:hAnsi="Book Antiqua"/>
          <w:i/>
          <w:iCs/>
          <w:color w:val="000000" w:themeColor="text1"/>
          <w:lang w:val="pt-BR"/>
        </w:rPr>
        <w:t>6.15</w:t>
      </w:r>
      <w:r w:rsidRPr="00796E52">
        <w:rPr>
          <w:rFonts w:ascii="Book Antiqua" w:hAnsi="Book Antiqua"/>
          <w:b/>
          <w:bCs/>
          <w:color w:val="000000" w:themeColor="text1"/>
          <w:lang w:val="pt-BR"/>
        </w:rPr>
        <w:t>[6.14]</w:t>
      </w:r>
      <w:r w:rsidRPr="00796E52">
        <w:rPr>
          <w:rFonts w:ascii="Book Antiqua" w:hAnsi="Book Antiqua"/>
          <w:color w:val="000000" w:themeColor="text1"/>
          <w:lang w:val="pt-BR"/>
        </w:rPr>
        <w:t>.</w:t>
      </w:r>
      <w:r w:rsidRPr="00796E52">
        <w:rPr>
          <w:rFonts w:ascii="Book Antiqua" w:hAnsi="Book Antiqua"/>
          <w:color w:val="000000" w:themeColor="text1"/>
          <w:lang w:val="pt-BR"/>
        </w:rPr>
        <w:tab/>
      </w:r>
      <w:r w:rsidRPr="00796E52">
        <w:rPr>
          <w:rFonts w:ascii="Book Antiqua" w:hAnsi="Book Antiqua"/>
          <w:color w:val="000000" w:themeColor="text1"/>
          <w:lang w:val="pt-BR"/>
        </w:rPr>
        <w:tab/>
        <w:t>…</w:t>
      </w:r>
    </w:p>
    <w:p w14:paraId="579116FB" w14:textId="77777777" w:rsidR="00BE6A63" w:rsidRPr="00796E52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pt-BR"/>
        </w:rPr>
      </w:pPr>
      <w:r w:rsidRPr="00796E52">
        <w:rPr>
          <w:rFonts w:ascii="Book Antiqua" w:hAnsi="Book Antiqua"/>
          <w:color w:val="000000" w:themeColor="text1"/>
          <w:lang w:val="pt-BR"/>
        </w:rPr>
        <w:t xml:space="preserve">Articulo </w:t>
      </w:r>
      <w:r w:rsidRPr="00796E52">
        <w:rPr>
          <w:rFonts w:ascii="Book Antiqua" w:hAnsi="Book Antiqua"/>
          <w:i/>
          <w:iCs/>
          <w:color w:val="000000" w:themeColor="text1"/>
          <w:lang w:val="pt-BR"/>
        </w:rPr>
        <w:t>6.16</w:t>
      </w:r>
      <w:r w:rsidRPr="00796E52">
        <w:rPr>
          <w:rFonts w:ascii="Book Antiqua" w:hAnsi="Book Antiqua"/>
          <w:b/>
          <w:bCs/>
          <w:color w:val="000000" w:themeColor="text1"/>
          <w:lang w:val="pt-BR"/>
        </w:rPr>
        <w:t>[6.15]</w:t>
      </w:r>
      <w:r w:rsidRPr="00796E52">
        <w:rPr>
          <w:rFonts w:ascii="Book Antiqua" w:hAnsi="Book Antiqua"/>
          <w:color w:val="000000" w:themeColor="text1"/>
          <w:lang w:val="pt-BR"/>
        </w:rPr>
        <w:t>.</w:t>
      </w:r>
      <w:r w:rsidRPr="00796E52">
        <w:rPr>
          <w:rFonts w:ascii="Book Antiqua" w:hAnsi="Book Antiqua"/>
          <w:color w:val="000000" w:themeColor="text1"/>
          <w:lang w:val="pt-BR"/>
        </w:rPr>
        <w:tab/>
      </w:r>
      <w:r w:rsidRPr="00796E52">
        <w:rPr>
          <w:rFonts w:ascii="Book Antiqua" w:hAnsi="Book Antiqua"/>
          <w:color w:val="000000" w:themeColor="text1"/>
          <w:lang w:val="pt-BR"/>
        </w:rPr>
        <w:tab/>
        <w:t>…</w:t>
      </w:r>
    </w:p>
    <w:p w14:paraId="742B6E5A" w14:textId="77777777" w:rsidR="00BE6A63" w:rsidRPr="0027275F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pt-PT"/>
        </w:rPr>
      </w:pPr>
      <w:r w:rsidRPr="0027275F">
        <w:rPr>
          <w:rFonts w:ascii="Book Antiqua" w:hAnsi="Book Antiqua"/>
          <w:color w:val="000000" w:themeColor="text1"/>
          <w:lang w:val="pt-PT"/>
        </w:rPr>
        <w:t xml:space="preserve">Articulo </w:t>
      </w:r>
      <w:r w:rsidRPr="0027275F">
        <w:rPr>
          <w:rFonts w:ascii="Book Antiqua" w:hAnsi="Book Antiqua"/>
          <w:i/>
          <w:iCs/>
          <w:color w:val="000000" w:themeColor="text1"/>
          <w:lang w:val="pt-PT"/>
        </w:rPr>
        <w:t>6.17</w:t>
      </w:r>
      <w:r w:rsidRPr="0027275F">
        <w:rPr>
          <w:rFonts w:ascii="Book Antiqua" w:hAnsi="Book Antiqua"/>
          <w:b/>
          <w:bCs/>
          <w:color w:val="000000" w:themeColor="text1"/>
          <w:lang w:val="pt-PT"/>
        </w:rPr>
        <w:t>[6.16]</w:t>
      </w:r>
      <w:r w:rsidRPr="0027275F">
        <w:rPr>
          <w:rFonts w:ascii="Book Antiqua" w:hAnsi="Book Antiqua"/>
          <w:color w:val="000000" w:themeColor="text1"/>
          <w:lang w:val="pt-PT"/>
        </w:rPr>
        <w:t>.</w:t>
      </w:r>
      <w:r w:rsidRPr="0027275F">
        <w:rPr>
          <w:rFonts w:ascii="Book Antiqua" w:hAnsi="Book Antiqua"/>
          <w:color w:val="000000" w:themeColor="text1"/>
          <w:lang w:val="pt-PT"/>
        </w:rPr>
        <w:tab/>
      </w:r>
      <w:r w:rsidRPr="0027275F">
        <w:rPr>
          <w:rFonts w:ascii="Book Antiqua" w:hAnsi="Book Antiqua"/>
          <w:color w:val="000000" w:themeColor="text1"/>
          <w:lang w:val="pt-PT"/>
        </w:rPr>
        <w:tab/>
        <w:t>…</w:t>
      </w:r>
    </w:p>
    <w:p w14:paraId="4135645D" w14:textId="77777777" w:rsidR="00BE6A63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ES"/>
        </w:rPr>
      </w:pPr>
      <w:r>
        <w:rPr>
          <w:rFonts w:ascii="Book Antiqua" w:hAnsi="Book Antiqua"/>
          <w:color w:val="000000" w:themeColor="text1"/>
          <w:lang w:val="es-ES"/>
        </w:rPr>
        <w:t xml:space="preserve">Articulo </w:t>
      </w:r>
      <w:r>
        <w:rPr>
          <w:rFonts w:ascii="Book Antiqua" w:hAnsi="Book Antiqua"/>
          <w:i/>
          <w:iCs/>
          <w:color w:val="000000" w:themeColor="text1"/>
          <w:lang w:val="es-ES"/>
        </w:rPr>
        <w:t>6.18</w:t>
      </w:r>
      <w:r w:rsidRPr="003F764D">
        <w:rPr>
          <w:rFonts w:ascii="Book Antiqua" w:hAnsi="Book Antiqua"/>
          <w:b/>
          <w:bCs/>
          <w:color w:val="000000" w:themeColor="text1"/>
          <w:lang w:val="es-ES"/>
        </w:rPr>
        <w:t>[</w:t>
      </w:r>
      <w:r>
        <w:rPr>
          <w:rFonts w:ascii="Book Antiqua" w:hAnsi="Book Antiqua"/>
          <w:b/>
          <w:bCs/>
          <w:color w:val="000000" w:themeColor="text1"/>
          <w:lang w:val="es-ES"/>
        </w:rPr>
        <w:t>6.</w:t>
      </w:r>
      <w:r w:rsidRPr="003F764D">
        <w:rPr>
          <w:rFonts w:ascii="Book Antiqua" w:hAnsi="Book Antiqua"/>
          <w:b/>
          <w:bCs/>
          <w:color w:val="000000" w:themeColor="text1"/>
          <w:lang w:val="es-ES"/>
        </w:rPr>
        <w:t>1</w:t>
      </w:r>
      <w:r>
        <w:rPr>
          <w:rFonts w:ascii="Book Antiqua" w:hAnsi="Book Antiqua"/>
          <w:b/>
          <w:bCs/>
          <w:color w:val="000000" w:themeColor="text1"/>
          <w:lang w:val="es-ES"/>
        </w:rPr>
        <w:t>7</w:t>
      </w:r>
      <w:r w:rsidRPr="003F764D">
        <w:rPr>
          <w:rFonts w:ascii="Book Antiqua" w:hAnsi="Book Antiqua"/>
          <w:b/>
          <w:bCs/>
          <w:color w:val="000000" w:themeColor="text1"/>
          <w:lang w:val="es-ES"/>
        </w:rPr>
        <w:t>]</w:t>
      </w:r>
      <w:r>
        <w:rPr>
          <w:rFonts w:ascii="Book Antiqua" w:hAnsi="Book Antiqua"/>
          <w:color w:val="000000" w:themeColor="text1"/>
          <w:lang w:val="es-ES"/>
        </w:rPr>
        <w:t>.</w:t>
      </w:r>
      <w:r>
        <w:rPr>
          <w:rFonts w:ascii="Book Antiqua" w:hAnsi="Book Antiqua"/>
          <w:color w:val="000000" w:themeColor="text1"/>
          <w:lang w:val="es-ES"/>
        </w:rPr>
        <w:tab/>
      </w:r>
      <w:r>
        <w:rPr>
          <w:rFonts w:ascii="Book Antiqua" w:hAnsi="Book Antiqua"/>
          <w:color w:val="000000" w:themeColor="text1"/>
          <w:lang w:val="es-ES"/>
        </w:rPr>
        <w:tab/>
        <w:t>…”</w:t>
      </w:r>
    </w:p>
    <w:p w14:paraId="38580C64" w14:textId="77777777" w:rsidR="00BE6A63" w:rsidRPr="00525F1B" w:rsidRDefault="00BE6A63" w:rsidP="00BE6A63">
      <w:pPr>
        <w:pStyle w:val="BodyText"/>
        <w:spacing w:line="480" w:lineRule="auto"/>
        <w:ind w:firstLine="720"/>
        <w:rPr>
          <w:rFonts w:ascii="Book Antiqua" w:eastAsiaTheme="minorHAnsi" w:hAnsi="Book Antiqua" w:cs="Times"/>
          <w:bCs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3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eastAsiaTheme="minorHAnsi" w:hAnsi="Book Antiqua" w:cs="Times"/>
          <w:bCs/>
          <w:color w:val="000000" w:themeColor="text1"/>
        </w:rPr>
        <w:t xml:space="preserve">Derogación tácita. </w:t>
      </w:r>
    </w:p>
    <w:p w14:paraId="24E0328B" w14:textId="77777777" w:rsidR="00BE6A63" w:rsidRPr="00525F1B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>Cualquier disposición de ley o reglamentación que sea incompatible con las disposiciones de esta Ley queda por la presente derogada hasta donde existiere tal incompatibilidad.</w:t>
      </w:r>
    </w:p>
    <w:p w14:paraId="47FFCCA5" w14:textId="77777777" w:rsidR="00BE6A63" w:rsidRPr="00525F1B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4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hAnsi="Book Antiqua"/>
          <w:color w:val="000000" w:themeColor="text1"/>
        </w:rPr>
        <w:t>Separabilidad.</w:t>
      </w:r>
    </w:p>
    <w:p w14:paraId="3B5AC117" w14:textId="77777777" w:rsidR="00BE6A63" w:rsidRPr="00525F1B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Si cualquier cláusula, párrafo, subpárrafo, oración, palabra, letra, artículo, disposición, sección, subsección, título, capítulo, subcapítulo, acápite o parte de esta Ley </w:t>
      </w:r>
      <w:r w:rsidRPr="00525F1B">
        <w:rPr>
          <w:rFonts w:ascii="Book Antiqua" w:hAnsi="Book Antiqua"/>
          <w:color w:val="000000" w:themeColor="text1"/>
        </w:rPr>
        <w:lastRenderedPageBreak/>
        <w:t>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que así hubiere sido anulada o declarada inconstitucional. Si la aplicación a una persona o a una circunstancia de cualquier cláusula, párrafo, subpárrafo, oración palabra, letra, artículo, disposición, sección, subsección, título, capítulo, subcapítulo, acápite o parte de esta Ley fuera invalidada o declarada inconstitucional, la resolución, dictamen o sentencia a tal efecto dictada no afectará ni invalidará la aplicación del remanente de esta Ley a aquellas personas o circunstancias en las que se pueda aplicar válidamente.</w:t>
      </w:r>
    </w:p>
    <w:p w14:paraId="23AE5F75" w14:textId="77777777" w:rsidR="00BE6A63" w:rsidRPr="00525F1B" w:rsidRDefault="00BE6A63" w:rsidP="00BE6A63">
      <w:pPr>
        <w:pStyle w:val="BodyText"/>
        <w:spacing w:line="480" w:lineRule="auto"/>
        <w:ind w:firstLine="720"/>
        <w:rPr>
          <w:rFonts w:ascii="Book Antiqua" w:eastAsiaTheme="minorHAnsi" w:hAnsi="Book Antiqua" w:cs="Times"/>
          <w:bCs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 xml:space="preserve">Sección </w:t>
      </w:r>
      <w:r>
        <w:rPr>
          <w:rFonts w:ascii="Book Antiqua" w:eastAsia="Book Antiqua" w:hAnsi="Book Antiqua" w:cs="Book Antiqua"/>
          <w:color w:val="000000" w:themeColor="text1"/>
        </w:rPr>
        <w:t>5</w:t>
      </w:r>
      <w:r w:rsidRPr="00525F1B">
        <w:rPr>
          <w:rFonts w:ascii="Book Antiqua" w:eastAsia="Book Antiqua" w:hAnsi="Book Antiqua" w:cs="Book Antiqua"/>
          <w:color w:val="000000" w:themeColor="text1"/>
        </w:rPr>
        <w:t>.</w:t>
      </w:r>
      <w:r>
        <w:rPr>
          <w:rFonts w:ascii="Book Antiqua" w:eastAsiaTheme="minorHAnsi" w:hAnsi="Book Antiqua" w:cs="Times"/>
          <w:bCs/>
          <w:color w:val="000000" w:themeColor="text1"/>
        </w:rPr>
        <w:t>-</w:t>
      </w:r>
      <w:r w:rsidRPr="00525F1B">
        <w:rPr>
          <w:rFonts w:ascii="Book Antiqua" w:eastAsiaTheme="minorHAnsi" w:hAnsi="Book Antiqua" w:cs="Times"/>
          <w:bCs/>
          <w:color w:val="000000" w:themeColor="text1"/>
        </w:rPr>
        <w:t>Vigencia.</w:t>
      </w:r>
    </w:p>
    <w:p w14:paraId="79550695" w14:textId="7BFA7C1E" w:rsidR="00FF2214" w:rsidRPr="00BE6A63" w:rsidRDefault="00BE6A63" w:rsidP="00BE6A63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</w:rPr>
      </w:pPr>
      <w:r w:rsidRPr="00525F1B">
        <w:rPr>
          <w:rFonts w:ascii="Book Antiqua" w:hAnsi="Book Antiqua"/>
          <w:color w:val="000000" w:themeColor="text1"/>
        </w:rPr>
        <w:t>Esta Ley entrará en vigor inmediatamente después de su aprobación</w:t>
      </w:r>
      <w:bookmarkEnd w:id="0"/>
      <w:bookmarkEnd w:id="1"/>
      <w:r w:rsidRPr="00525F1B">
        <w:rPr>
          <w:rFonts w:ascii="Book Antiqua" w:hAnsi="Book Antiqua"/>
          <w:color w:val="000000" w:themeColor="text1"/>
          <w:lang w:val="es-ES"/>
        </w:rPr>
        <w:t>.</w:t>
      </w:r>
    </w:p>
    <w:sectPr w:rsidR="00FF2214" w:rsidRPr="00BE6A63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E2D5C" w14:textId="77777777" w:rsidR="00425710" w:rsidRDefault="00425710">
      <w:r>
        <w:separator/>
      </w:r>
    </w:p>
  </w:endnote>
  <w:endnote w:type="continuationSeparator" w:id="0">
    <w:p w14:paraId="79F099AB" w14:textId="77777777" w:rsidR="00425710" w:rsidRDefault="00425710">
      <w:r>
        <w:continuationSeparator/>
      </w:r>
    </w:p>
  </w:endnote>
  <w:endnote w:type="continuationNotice" w:id="1">
    <w:p w14:paraId="3B1D331F" w14:textId="77777777" w:rsidR="00425710" w:rsidRDefault="004257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59970E44-4F6E-4592-BFF3-50684D396E9B}"/>
    <w:embedBold r:id="rId2" w:fontKey="{7426357A-8A9B-4184-B3AC-D50BDDD9942A}"/>
    <w:embedItalic r:id="rId3" w:fontKey="{484F0655-605F-4675-968A-D142CC203EF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232E6FDD-E16D-44B6-B3CC-A469402858A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D80CA219-8E1A-4A6C-B6ED-233EB06FF191}"/>
    <w:embedItalic r:id="rId6" w:fontKey="{BDBBA5D6-5209-4505-91FC-4A4ED3203B12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3EB76B75-1697-4A55-8D1A-A7995D387D34}"/>
    <w:embedItalic r:id="rId8" w:fontKey="{83FD3CF2-0146-48E7-A928-67D0A9FD25F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D9DEC10F-BFC8-4A10-B79D-444EFC383450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10" w:fontKey="{78A57FD3-67FA-43F2-A869-792F473C22D9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ABA89567-5DA6-436A-9A85-06BBC1F5368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5F10AA5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399F4B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FA0D06A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7688059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1D6323BF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84359" w14:textId="77777777" w:rsidR="00425710" w:rsidRDefault="00425710">
      <w:r>
        <w:separator/>
      </w:r>
    </w:p>
  </w:footnote>
  <w:footnote w:type="continuationSeparator" w:id="0">
    <w:p w14:paraId="167421D6" w14:textId="77777777" w:rsidR="00425710" w:rsidRDefault="00425710">
      <w:r>
        <w:continuationSeparator/>
      </w:r>
    </w:p>
  </w:footnote>
  <w:footnote w:type="continuationNotice" w:id="1">
    <w:p w14:paraId="1AD15F26" w14:textId="77777777" w:rsidR="00425710" w:rsidRDefault="004257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64B01B94" w:rsidR="00FF2214" w:rsidRDefault="00850770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</w:t>
    </w:r>
    <w:r w:rsidR="00CC16C2">
      <w:rPr>
        <w:color w:val="000000"/>
      </w:rPr>
      <w:t>3</w:t>
    </w:r>
    <w:r w:rsidR="00BE6A63">
      <w:rPr>
        <w:color w:val="000000"/>
      </w:rPr>
      <w:t>3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0"/>
  </w:num>
  <w:num w:numId="2" w16cid:durableId="1011832284">
    <w:abstractNumId w:val="4"/>
  </w:num>
  <w:num w:numId="3" w16cid:durableId="1943102285">
    <w:abstractNumId w:val="17"/>
  </w:num>
  <w:num w:numId="4" w16cid:durableId="1106316835">
    <w:abstractNumId w:val="13"/>
  </w:num>
  <w:num w:numId="5" w16cid:durableId="455106598">
    <w:abstractNumId w:val="12"/>
  </w:num>
  <w:num w:numId="6" w16cid:durableId="175340939">
    <w:abstractNumId w:val="1"/>
  </w:num>
  <w:num w:numId="7" w16cid:durableId="1854225982">
    <w:abstractNumId w:val="14"/>
  </w:num>
  <w:num w:numId="8" w16cid:durableId="1919754197">
    <w:abstractNumId w:val="0"/>
  </w:num>
  <w:num w:numId="9" w16cid:durableId="365562201">
    <w:abstractNumId w:val="3"/>
  </w:num>
  <w:num w:numId="10" w16cid:durableId="1904826230">
    <w:abstractNumId w:val="6"/>
  </w:num>
  <w:num w:numId="11" w16cid:durableId="118687224">
    <w:abstractNumId w:val="7"/>
  </w:num>
  <w:num w:numId="12" w16cid:durableId="508376565">
    <w:abstractNumId w:val="11"/>
  </w:num>
  <w:num w:numId="13" w16cid:durableId="216819222">
    <w:abstractNumId w:val="9"/>
  </w:num>
  <w:num w:numId="14" w16cid:durableId="517544549">
    <w:abstractNumId w:val="15"/>
  </w:num>
  <w:num w:numId="15" w16cid:durableId="478498451">
    <w:abstractNumId w:val="8"/>
  </w:num>
  <w:num w:numId="16" w16cid:durableId="46998239">
    <w:abstractNumId w:val="16"/>
  </w:num>
  <w:num w:numId="17" w16cid:durableId="275597364">
    <w:abstractNumId w:val="2"/>
  </w:num>
  <w:num w:numId="18" w16cid:durableId="11627024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6D71"/>
    <w:rsid w:val="00057EF4"/>
    <w:rsid w:val="0007036F"/>
    <w:rsid w:val="000741B3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7A8"/>
    <w:rsid w:val="0017795B"/>
    <w:rsid w:val="00185EA9"/>
    <w:rsid w:val="00191362"/>
    <w:rsid w:val="00194A5E"/>
    <w:rsid w:val="00194D5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275F"/>
    <w:rsid w:val="00273031"/>
    <w:rsid w:val="00285A15"/>
    <w:rsid w:val="0028794F"/>
    <w:rsid w:val="00291A4F"/>
    <w:rsid w:val="002A0542"/>
    <w:rsid w:val="002A1D65"/>
    <w:rsid w:val="002A23EE"/>
    <w:rsid w:val="002A4F4F"/>
    <w:rsid w:val="002B2FBB"/>
    <w:rsid w:val="002B5618"/>
    <w:rsid w:val="002B62EE"/>
    <w:rsid w:val="002B7906"/>
    <w:rsid w:val="002C1726"/>
    <w:rsid w:val="002D6159"/>
    <w:rsid w:val="002E149A"/>
    <w:rsid w:val="002F21CF"/>
    <w:rsid w:val="002F48BA"/>
    <w:rsid w:val="002F5B16"/>
    <w:rsid w:val="00302F90"/>
    <w:rsid w:val="0030308D"/>
    <w:rsid w:val="00310FDD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411B21"/>
    <w:rsid w:val="00411D69"/>
    <w:rsid w:val="004143E0"/>
    <w:rsid w:val="00415E5D"/>
    <w:rsid w:val="00416F13"/>
    <w:rsid w:val="00420CBF"/>
    <w:rsid w:val="004221C5"/>
    <w:rsid w:val="004246A8"/>
    <w:rsid w:val="00425710"/>
    <w:rsid w:val="0042619D"/>
    <w:rsid w:val="00432896"/>
    <w:rsid w:val="00437135"/>
    <w:rsid w:val="00437A12"/>
    <w:rsid w:val="00437DC4"/>
    <w:rsid w:val="004403A8"/>
    <w:rsid w:val="00444257"/>
    <w:rsid w:val="00452649"/>
    <w:rsid w:val="00461FBD"/>
    <w:rsid w:val="00462353"/>
    <w:rsid w:val="00462BEA"/>
    <w:rsid w:val="00465256"/>
    <w:rsid w:val="004674AD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4596"/>
    <w:rsid w:val="005427F8"/>
    <w:rsid w:val="00543529"/>
    <w:rsid w:val="0054604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3527"/>
    <w:rsid w:val="005B3512"/>
    <w:rsid w:val="005B3BBD"/>
    <w:rsid w:val="005C3826"/>
    <w:rsid w:val="005C3AFC"/>
    <w:rsid w:val="005C7524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246B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D72E3"/>
    <w:rsid w:val="006E1314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352B"/>
    <w:rsid w:val="00736EAA"/>
    <w:rsid w:val="00740BAC"/>
    <w:rsid w:val="00750FEA"/>
    <w:rsid w:val="00753E10"/>
    <w:rsid w:val="00755AEC"/>
    <w:rsid w:val="00755DDC"/>
    <w:rsid w:val="00760792"/>
    <w:rsid w:val="0077017C"/>
    <w:rsid w:val="00773ABA"/>
    <w:rsid w:val="0078017D"/>
    <w:rsid w:val="00781480"/>
    <w:rsid w:val="00791ABA"/>
    <w:rsid w:val="00791FA9"/>
    <w:rsid w:val="00795BD6"/>
    <w:rsid w:val="00796E52"/>
    <w:rsid w:val="007A346E"/>
    <w:rsid w:val="007A4745"/>
    <w:rsid w:val="007A5875"/>
    <w:rsid w:val="007B090C"/>
    <w:rsid w:val="007C5C01"/>
    <w:rsid w:val="007C7157"/>
    <w:rsid w:val="007D76E0"/>
    <w:rsid w:val="007E368D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70BC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70540"/>
    <w:rsid w:val="009833D3"/>
    <w:rsid w:val="009927E5"/>
    <w:rsid w:val="009A0ED5"/>
    <w:rsid w:val="009B47BF"/>
    <w:rsid w:val="009D1C75"/>
    <w:rsid w:val="009D5726"/>
    <w:rsid w:val="009D5D29"/>
    <w:rsid w:val="009D61E3"/>
    <w:rsid w:val="009D7450"/>
    <w:rsid w:val="009D79EC"/>
    <w:rsid w:val="009E36AA"/>
    <w:rsid w:val="009F15AE"/>
    <w:rsid w:val="009F3C51"/>
    <w:rsid w:val="00A02203"/>
    <w:rsid w:val="00A04577"/>
    <w:rsid w:val="00A11BAB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6F51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7F92"/>
    <w:rsid w:val="00B60014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13DC9"/>
    <w:rsid w:val="00C25487"/>
    <w:rsid w:val="00C32AB8"/>
    <w:rsid w:val="00C32AF1"/>
    <w:rsid w:val="00C33CEB"/>
    <w:rsid w:val="00C361CD"/>
    <w:rsid w:val="00C57448"/>
    <w:rsid w:val="00C635EB"/>
    <w:rsid w:val="00C71782"/>
    <w:rsid w:val="00C8076C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EE1"/>
    <w:rsid w:val="00D21E5F"/>
    <w:rsid w:val="00D24065"/>
    <w:rsid w:val="00D312C4"/>
    <w:rsid w:val="00D343BF"/>
    <w:rsid w:val="00D42696"/>
    <w:rsid w:val="00D43E19"/>
    <w:rsid w:val="00D50765"/>
    <w:rsid w:val="00D50CD3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30811"/>
    <w:rsid w:val="00E31356"/>
    <w:rsid w:val="00E41FCC"/>
    <w:rsid w:val="00E43A92"/>
    <w:rsid w:val="00E45E9B"/>
    <w:rsid w:val="00E64141"/>
    <w:rsid w:val="00E65583"/>
    <w:rsid w:val="00E67017"/>
    <w:rsid w:val="00E673B7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F026C9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58BD"/>
    <w:rsid w:val="00FA0CB1"/>
    <w:rsid w:val="00FA11F4"/>
    <w:rsid w:val="00FB470E"/>
    <w:rsid w:val="00FB77D5"/>
    <w:rsid w:val="00FD065B"/>
    <w:rsid w:val="00FD093E"/>
    <w:rsid w:val="00FE2D53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Gladys J. Burgos Torres</cp:lastModifiedBy>
  <cp:revision>6</cp:revision>
  <cp:lastPrinted>2025-01-22T19:05:00Z</cp:lastPrinted>
  <dcterms:created xsi:type="dcterms:W3CDTF">2025-03-28T18:45:00Z</dcterms:created>
  <dcterms:modified xsi:type="dcterms:W3CDTF">2025-03-31T13:41:00Z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