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299A1" w14:textId="77777777" w:rsidR="00B132BC" w:rsidRPr="00B132BC" w:rsidRDefault="00B132BC" w:rsidP="00B132BC">
      <w:pPr>
        <w:jc w:val="center"/>
        <w:rPr>
          <w:rFonts w:ascii="Book Antiqua" w:eastAsia="Batang" w:hAnsi="Book Antiqua"/>
          <w:b/>
          <w:bCs/>
          <w:caps/>
          <w:lang w:val="es-PR"/>
        </w:rPr>
      </w:pPr>
      <w:bookmarkStart w:id="0" w:name="_Hlk138253982"/>
      <w:r w:rsidRPr="00B132BC">
        <w:rPr>
          <w:rFonts w:ascii="Book Antiqua" w:eastAsia="Batang" w:hAnsi="Book Antiqua"/>
          <w:b/>
          <w:bCs/>
          <w:caps/>
          <w:lang w:val="es-PR"/>
        </w:rPr>
        <w:t>(TEXTO DE APROBACIÓN FINAL POR LA CÁMARA)</w:t>
      </w:r>
      <w:r w:rsidRPr="00B132BC">
        <w:rPr>
          <w:rFonts w:ascii="Book Antiqua" w:eastAsia="Batang" w:hAnsi="Book Antiqua"/>
          <w:caps/>
          <w:lang w:val="es-ES"/>
        </w:rPr>
        <w:fldChar w:fldCharType="begin"/>
      </w:r>
      <w:r w:rsidRPr="00B132BC">
        <w:rPr>
          <w:rFonts w:ascii="Book Antiqua" w:eastAsia="Batang" w:hAnsi="Book Antiqua"/>
          <w:b/>
          <w:bCs/>
          <w:caps/>
          <w:lang w:val="es-PR"/>
        </w:rPr>
        <w:instrText xml:space="preserve">PRIVATE </w:instrText>
      </w:r>
      <w:r w:rsidRPr="00B132BC">
        <w:rPr>
          <w:rFonts w:ascii="Book Antiqua" w:eastAsia="Batang" w:hAnsi="Book Antiqua"/>
          <w:caps/>
          <w:lang w:val="es-ES"/>
        </w:rPr>
        <w:fldChar w:fldCharType="end"/>
      </w:r>
    </w:p>
    <w:p w14:paraId="538CA668" w14:textId="7475635D" w:rsidR="00B132BC" w:rsidRPr="00B132BC" w:rsidRDefault="00B132BC" w:rsidP="00B132BC">
      <w:pPr>
        <w:jc w:val="center"/>
        <w:rPr>
          <w:rFonts w:ascii="Book Antiqua" w:eastAsia="Batang" w:hAnsi="Book Antiqua"/>
          <w:b/>
          <w:bCs/>
          <w:caps/>
          <w:lang w:val="es-PR"/>
        </w:rPr>
      </w:pPr>
      <w:r w:rsidRPr="00B132BC">
        <w:rPr>
          <w:rFonts w:ascii="Book Antiqua" w:eastAsia="Batang" w:hAnsi="Book Antiqua"/>
          <w:b/>
          <w:bCs/>
          <w:caps/>
          <w:lang w:val="es-PR"/>
        </w:rPr>
        <w:t>(</w:t>
      </w:r>
      <w:r w:rsidR="00E1721A">
        <w:rPr>
          <w:rFonts w:ascii="Book Antiqua" w:eastAsia="Batang" w:hAnsi="Book Antiqua"/>
          <w:b/>
          <w:bCs/>
          <w:caps/>
          <w:lang w:val="es-PR"/>
        </w:rPr>
        <w:t>5</w:t>
      </w:r>
      <w:r w:rsidRPr="00B132BC">
        <w:rPr>
          <w:rFonts w:ascii="Book Antiqua" w:eastAsia="Batang" w:hAnsi="Book Antiqua"/>
          <w:b/>
          <w:bCs/>
          <w:caps/>
          <w:lang w:val="es-PR"/>
        </w:rPr>
        <w:t xml:space="preserve"> DE </w:t>
      </w:r>
      <w:r w:rsidR="00E1721A">
        <w:rPr>
          <w:rFonts w:ascii="Book Antiqua" w:eastAsia="Batang" w:hAnsi="Book Antiqua"/>
          <w:b/>
          <w:bCs/>
          <w:caps/>
          <w:lang w:val="es-PR"/>
        </w:rPr>
        <w:t>mayo</w:t>
      </w:r>
      <w:r w:rsidRPr="00B132BC">
        <w:rPr>
          <w:rFonts w:ascii="Book Antiqua" w:eastAsia="Batang" w:hAnsi="Book Antiqua"/>
          <w:b/>
          <w:bCs/>
          <w:caps/>
          <w:lang w:val="es-PR"/>
        </w:rPr>
        <w:t xml:space="preserve"> DE 2025)</w:t>
      </w:r>
    </w:p>
    <w:p w14:paraId="55D8B35B" w14:textId="2B0212BB" w:rsidR="00B132BC" w:rsidRPr="00B132BC" w:rsidRDefault="00B132BC" w:rsidP="00B132BC">
      <w:pPr>
        <w:jc w:val="center"/>
        <w:rPr>
          <w:rFonts w:ascii="Book Antiqua" w:eastAsia="Batang" w:hAnsi="Book Antiqua"/>
          <w:b/>
          <w:bCs/>
          <w:caps/>
          <w:sz w:val="28"/>
          <w:szCs w:val="28"/>
          <w:lang w:val="es-ES_tradnl"/>
        </w:rPr>
      </w:pPr>
      <w:r w:rsidRPr="00B132BC">
        <w:rPr>
          <w:rFonts w:ascii="Book Antiqua" w:eastAsia="Batang" w:hAnsi="Book Antiqua"/>
          <w:caps/>
          <w:noProof/>
          <w:sz w:val="28"/>
          <w:szCs w:val="28"/>
          <w:lang w:val="es-ES"/>
        </w:rPr>
        <mc:AlternateContent>
          <mc:Choice Requires="wps">
            <w:drawing>
              <wp:anchor distT="0" distB="0" distL="114300" distR="114300" simplePos="0" relativeHeight="251659264" behindDoc="1" locked="0" layoutInCell="0" allowOverlap="1" wp14:anchorId="2A5D6398" wp14:editId="6C80F9F5">
                <wp:simplePos x="0" y="0"/>
                <wp:positionH relativeFrom="margin">
                  <wp:posOffset>0</wp:posOffset>
                </wp:positionH>
                <wp:positionV relativeFrom="paragraph">
                  <wp:posOffset>0</wp:posOffset>
                </wp:positionV>
                <wp:extent cx="5943600" cy="22860"/>
                <wp:effectExtent l="0" t="0" r="0" b="0"/>
                <wp:wrapNone/>
                <wp:docPr id="83666550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B5955"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348B395F" w:rsidR="00FF2214" w:rsidRPr="002036D1" w:rsidRDefault="00850770" w:rsidP="002036D1">
      <w:pPr>
        <w:jc w:val="center"/>
        <w:rPr>
          <w:rFonts w:ascii="Book Antiqua" w:eastAsia="Book Antiqua" w:hAnsi="Book Antiqua" w:cs="Book Antiqua"/>
          <w:bCs/>
          <w:color w:val="000000" w:themeColor="text1"/>
          <w:sz w:val="28"/>
          <w:szCs w:val="28"/>
          <w:lang w:val="es-PR"/>
        </w:rPr>
      </w:pPr>
      <w:r w:rsidRPr="002036D1">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2036D1">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rsidP="002036D1">
      <w:pPr>
        <w:jc w:val="center"/>
        <w:rPr>
          <w:rFonts w:ascii="Book Antiqua" w:eastAsia="Book Antiqua" w:hAnsi="Book Antiqua" w:cs="Book Antiqua"/>
          <w:color w:val="000000" w:themeColor="text1"/>
          <w:lang w:val="es-PR"/>
        </w:rPr>
      </w:pPr>
    </w:p>
    <w:p w14:paraId="79550658" w14:textId="77777777" w:rsidR="00FF2214" w:rsidRPr="00930E48" w:rsidRDefault="00850770" w:rsidP="002036D1">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rsidP="002036D1">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rsidP="002036D1">
      <w:pPr>
        <w:rPr>
          <w:rFonts w:ascii="Book Antiqua" w:eastAsia="Book Antiqua" w:hAnsi="Book Antiqua" w:cs="Book Antiqua"/>
          <w:color w:val="000000" w:themeColor="text1"/>
          <w:lang w:val="es-PR"/>
        </w:rPr>
      </w:pPr>
    </w:p>
    <w:p w14:paraId="32A931BE" w14:textId="77777777" w:rsidR="00950505" w:rsidRPr="00930E48" w:rsidRDefault="00950505" w:rsidP="002036D1">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2036D1">
      <w:pPr>
        <w:jc w:val="center"/>
        <w:rPr>
          <w:rFonts w:ascii="Book Antiqua" w:hAnsi="Book Antiqua"/>
          <w:color w:val="000000" w:themeColor="text1"/>
          <w:lang w:val="es-PR"/>
        </w:rPr>
      </w:pPr>
    </w:p>
    <w:p w14:paraId="5886E84B" w14:textId="259980E4" w:rsidR="00950505" w:rsidRPr="00930E48" w:rsidRDefault="00950505" w:rsidP="002036D1">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A5201B">
        <w:rPr>
          <w:rFonts w:ascii="Book Antiqua" w:hAnsi="Book Antiqua"/>
          <w:b/>
          <w:color w:val="000000" w:themeColor="text1"/>
          <w:sz w:val="52"/>
          <w:szCs w:val="52"/>
          <w:lang w:val="es-PR"/>
        </w:rPr>
        <w:t xml:space="preserve"> 465</w:t>
      </w:r>
    </w:p>
    <w:p w14:paraId="4A8A7A6F" w14:textId="77777777" w:rsidR="00950505" w:rsidRPr="00930E48" w:rsidRDefault="00950505" w:rsidP="002036D1">
      <w:pPr>
        <w:jc w:val="center"/>
        <w:rPr>
          <w:rFonts w:ascii="Book Antiqua" w:hAnsi="Book Antiqua"/>
          <w:color w:val="000000" w:themeColor="text1"/>
          <w:lang w:val="es-PR"/>
        </w:rPr>
      </w:pPr>
    </w:p>
    <w:p w14:paraId="3D87D176" w14:textId="5C4654A1" w:rsidR="00950505" w:rsidRPr="00930E48" w:rsidRDefault="002036D1" w:rsidP="002036D1">
      <w:pPr>
        <w:jc w:val="center"/>
        <w:rPr>
          <w:rFonts w:ascii="Book Antiqua" w:hAnsi="Book Antiqua"/>
          <w:b/>
          <w:color w:val="000000" w:themeColor="text1"/>
          <w:sz w:val="48"/>
          <w:lang w:val="es-PR"/>
        </w:rPr>
      </w:pPr>
      <w:r>
        <w:rPr>
          <w:rFonts w:ascii="Book Antiqua" w:hAnsi="Book Antiqua"/>
          <w:color w:val="000000" w:themeColor="text1"/>
          <w:lang w:val="es-PR"/>
        </w:rPr>
        <w:t xml:space="preserve">28 </w:t>
      </w:r>
      <w:r w:rsidRPr="00930E48">
        <w:rPr>
          <w:rFonts w:ascii="Book Antiqua" w:hAnsi="Book Antiqua"/>
          <w:color w:val="000000" w:themeColor="text1"/>
          <w:lang w:val="es-PR"/>
        </w:rPr>
        <w:t>DE MARZO DE 2025</w:t>
      </w:r>
    </w:p>
    <w:p w14:paraId="1E7B6D3E" w14:textId="77777777" w:rsidR="00950505" w:rsidRPr="00930E48" w:rsidRDefault="00950505" w:rsidP="002036D1">
      <w:pPr>
        <w:jc w:val="center"/>
        <w:rPr>
          <w:rFonts w:ascii="Book Antiqua" w:hAnsi="Book Antiqua"/>
          <w:color w:val="000000" w:themeColor="text1"/>
          <w:lang w:val="es-PR"/>
        </w:rPr>
      </w:pPr>
    </w:p>
    <w:p w14:paraId="001AA10B" w14:textId="6431AD37" w:rsidR="00950505" w:rsidRPr="00B00227" w:rsidRDefault="00950505" w:rsidP="002036D1">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B636D6">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2036D1">
      <w:pPr>
        <w:jc w:val="center"/>
        <w:rPr>
          <w:rFonts w:ascii="Book Antiqua" w:hAnsi="Book Antiqua"/>
          <w:color w:val="000000" w:themeColor="text1"/>
          <w:lang w:val="es-PR"/>
        </w:rPr>
      </w:pPr>
    </w:p>
    <w:p w14:paraId="6E0B8939" w14:textId="73021D12" w:rsidR="00950505" w:rsidRPr="00930E48" w:rsidRDefault="00950505" w:rsidP="002036D1">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2C1B35">
        <w:rPr>
          <w:rFonts w:ascii="Book Antiqua" w:hAnsi="Book Antiqua"/>
          <w:color w:val="000000" w:themeColor="text1"/>
          <w:lang w:val="es-PR"/>
        </w:rPr>
        <w:t xml:space="preserve"> la Comisión de Asuntos Federales y Veteranos</w:t>
      </w:r>
    </w:p>
    <w:p w14:paraId="4B9C3823" w14:textId="77777777" w:rsidR="00950505" w:rsidRPr="00930E48" w:rsidRDefault="00950505" w:rsidP="002036D1">
      <w:pPr>
        <w:jc w:val="both"/>
        <w:rPr>
          <w:rFonts w:ascii="Book Antiqua" w:hAnsi="Book Antiqua"/>
          <w:color w:val="000000" w:themeColor="text1"/>
          <w:lang w:val="es-PR"/>
        </w:rPr>
      </w:pPr>
    </w:p>
    <w:p w14:paraId="43228070" w14:textId="77777777" w:rsidR="00950505" w:rsidRPr="00930E48" w:rsidRDefault="00950505" w:rsidP="002036D1">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rsidP="002036D1">
      <w:pPr>
        <w:jc w:val="both"/>
        <w:rPr>
          <w:rFonts w:ascii="Book Antiqua" w:eastAsia="Book Antiqua" w:hAnsi="Book Antiqua" w:cs="Book Antiqua"/>
          <w:color w:val="000000" w:themeColor="text1"/>
          <w:lang w:val="es-PR"/>
        </w:rPr>
      </w:pPr>
    </w:p>
    <w:p w14:paraId="42289233" w14:textId="6AC5CC72" w:rsidR="005A5C2E" w:rsidRPr="002F48BA" w:rsidRDefault="00850770" w:rsidP="002036D1">
      <w:pPr>
        <w:ind w:left="540" w:hanging="540"/>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bookmarkStart w:id="1" w:name="_Hlk194936012"/>
      <w:r w:rsidR="005A5C2E" w:rsidRPr="00DB10AC">
        <w:rPr>
          <w:rFonts w:ascii="Book Antiqua" w:eastAsia="Book Antiqua" w:hAnsi="Book Antiqua" w:cs="Book Antiqua"/>
          <w:color w:val="000000" w:themeColor="text1"/>
          <w:lang w:val="es-PR"/>
        </w:rPr>
        <w:t xml:space="preserve">enmendar el Artículo </w:t>
      </w:r>
      <w:r w:rsidR="005A5C2E">
        <w:rPr>
          <w:rFonts w:ascii="Book Antiqua" w:eastAsia="Book Antiqua" w:hAnsi="Book Antiqua" w:cs="Book Antiqua"/>
          <w:color w:val="000000" w:themeColor="text1"/>
          <w:lang w:val="es-PR"/>
        </w:rPr>
        <w:t>4</w:t>
      </w:r>
      <w:r w:rsidR="005A5C2E" w:rsidRPr="00DB10AC">
        <w:rPr>
          <w:rFonts w:ascii="Book Antiqua" w:eastAsia="Book Antiqua" w:hAnsi="Book Antiqua" w:cs="Book Antiqua"/>
          <w:color w:val="000000" w:themeColor="text1"/>
          <w:lang w:val="es-PR"/>
        </w:rPr>
        <w:t xml:space="preserve">, añadir un nuevo Artículo 9 y renumerar los artículos subsiguientes de la Ley </w:t>
      </w:r>
      <w:r w:rsidR="005A5C2E">
        <w:rPr>
          <w:rFonts w:ascii="Book Antiqua" w:eastAsia="Book Antiqua" w:hAnsi="Book Antiqua" w:cs="Book Antiqua"/>
          <w:color w:val="000000" w:themeColor="text1"/>
          <w:lang w:val="es-PR"/>
        </w:rPr>
        <w:t>Núm. 77 de 19 de junio de 1979</w:t>
      </w:r>
      <w:r w:rsidR="005A5C2E" w:rsidRPr="00DB10AC">
        <w:rPr>
          <w:rFonts w:ascii="Book Antiqua" w:eastAsia="Book Antiqua" w:hAnsi="Book Antiqua" w:cs="Book Antiqua"/>
          <w:color w:val="000000" w:themeColor="text1"/>
          <w:lang w:val="es-PR"/>
        </w:rPr>
        <w:t xml:space="preserve">, según enmendada, conocida como </w:t>
      </w:r>
      <w:r w:rsidR="00971D18">
        <w:rPr>
          <w:rFonts w:ascii="Book Antiqua" w:eastAsia="Book Antiqua" w:hAnsi="Book Antiqua" w:cs="Book Antiqua"/>
          <w:color w:val="000000" w:themeColor="text1"/>
          <w:lang w:val="es-PR"/>
        </w:rPr>
        <w:t>“</w:t>
      </w:r>
      <w:r w:rsidR="005A5C2E" w:rsidRPr="00DB10AC">
        <w:rPr>
          <w:rFonts w:ascii="Book Antiqua" w:eastAsia="Book Antiqua" w:hAnsi="Book Antiqua" w:cs="Book Antiqua"/>
          <w:color w:val="000000" w:themeColor="text1"/>
          <w:lang w:val="es-PR"/>
        </w:rPr>
        <w:t xml:space="preserve">Ley </w:t>
      </w:r>
      <w:r w:rsidR="005A5C2E">
        <w:rPr>
          <w:rFonts w:ascii="Book Antiqua" w:eastAsia="Book Antiqua" w:hAnsi="Book Antiqua" w:cs="Book Antiqua"/>
          <w:color w:val="000000" w:themeColor="text1"/>
          <w:lang w:val="es-PR"/>
        </w:rPr>
        <w:t>de la Administración de Asuntos Federales</w:t>
      </w:r>
      <w:r w:rsidR="005A5C2E" w:rsidRPr="00DB10AC">
        <w:rPr>
          <w:rFonts w:ascii="Book Antiqua" w:eastAsia="Book Antiqua" w:hAnsi="Book Antiqua" w:cs="Book Antiqua"/>
          <w:color w:val="000000" w:themeColor="text1"/>
          <w:lang w:val="es-PR"/>
        </w:rPr>
        <w:t xml:space="preserve"> de Puerto Rico</w:t>
      </w:r>
      <w:r w:rsidR="00971D18">
        <w:rPr>
          <w:rFonts w:ascii="Book Antiqua" w:eastAsia="Book Antiqua" w:hAnsi="Book Antiqua" w:cs="Book Antiqua"/>
          <w:color w:val="000000" w:themeColor="text1"/>
          <w:lang w:val="es-PR"/>
        </w:rPr>
        <w:t>”</w:t>
      </w:r>
      <w:r w:rsidR="005A5C2E" w:rsidRPr="00DB10AC">
        <w:rPr>
          <w:rFonts w:ascii="Book Antiqua" w:eastAsia="Book Antiqua" w:hAnsi="Book Antiqua" w:cs="Book Antiqua"/>
          <w:color w:val="000000" w:themeColor="text1"/>
          <w:lang w:val="es-PR"/>
        </w:rPr>
        <w:t xml:space="preserve">, a los fines de restituir la autonomía operativa y administrativa de la </w:t>
      </w:r>
      <w:r w:rsidR="005A5C2E" w:rsidRPr="00C94973">
        <w:rPr>
          <w:rFonts w:ascii="Book Antiqua" w:eastAsia="Book Antiqua" w:hAnsi="Book Antiqua" w:cs="Book Antiqua"/>
          <w:color w:val="000000" w:themeColor="text1"/>
          <w:lang w:val="es-PR"/>
        </w:rPr>
        <w:t>Administración de Asuntos Federales de Puerto Rico</w:t>
      </w:r>
      <w:r w:rsidR="005A5C2E" w:rsidRPr="00DB10AC">
        <w:rPr>
          <w:rFonts w:ascii="Book Antiqua" w:eastAsia="Book Antiqua" w:hAnsi="Book Antiqua" w:cs="Book Antiqua"/>
          <w:color w:val="000000" w:themeColor="text1"/>
          <w:lang w:val="es-PR"/>
        </w:rPr>
        <w:t xml:space="preserve"> y facultarla para establecer sus propios procedimientos de adquisición, conforme a sus necesidades particulares</w:t>
      </w:r>
      <w:r w:rsidR="005A5C2E" w:rsidRPr="0097435C">
        <w:rPr>
          <w:rFonts w:ascii="Book Antiqua" w:eastAsia="Book Antiqua" w:hAnsi="Book Antiqua" w:cs="Book Antiqua"/>
          <w:color w:val="000000" w:themeColor="text1"/>
          <w:lang w:val="es-PR"/>
        </w:rPr>
        <w:t>; y para otros fines relacionados.</w:t>
      </w:r>
      <w:r w:rsidR="005A5C2E">
        <w:rPr>
          <w:rFonts w:ascii="Book Antiqua" w:eastAsia="Book Antiqua" w:hAnsi="Book Antiqua" w:cs="Book Antiqua"/>
          <w:color w:val="000000" w:themeColor="text1"/>
          <w:lang w:val="es-PR"/>
        </w:rPr>
        <w:t xml:space="preserve"> </w:t>
      </w:r>
      <w:bookmarkEnd w:id="1"/>
    </w:p>
    <w:p w14:paraId="726F9974" w14:textId="791109DC" w:rsidR="000B77A8" w:rsidRPr="00930E48" w:rsidRDefault="000B77A8" w:rsidP="002036D1">
      <w:pPr>
        <w:jc w:val="both"/>
        <w:rPr>
          <w:rFonts w:ascii="Book Antiqua" w:eastAsia="Aptos" w:hAnsi="Book Antiqua"/>
          <w:color w:val="000000" w:themeColor="text1"/>
          <w:kern w:val="2"/>
          <w:lang w:val="es-PR"/>
          <w14:ligatures w14:val="standardContextual"/>
        </w:rPr>
      </w:pPr>
    </w:p>
    <w:p w14:paraId="63AE53B1" w14:textId="3B22399B" w:rsidR="00010836" w:rsidRPr="00930E48" w:rsidRDefault="00850770" w:rsidP="002036D1">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249D67DE" w14:textId="77777777" w:rsidR="005A5C2E" w:rsidRDefault="005A5C2E" w:rsidP="002036D1">
      <w:pPr>
        <w:jc w:val="both"/>
        <w:rPr>
          <w:rFonts w:ascii="Book Antiqua" w:eastAsia="Book Antiqua" w:hAnsi="Book Antiqua" w:cs="Book Antiqua"/>
          <w:bCs/>
          <w:color w:val="000000" w:themeColor="text1"/>
          <w:lang w:val="es-PR"/>
        </w:rPr>
      </w:pPr>
    </w:p>
    <w:p w14:paraId="3531E11F" w14:textId="52166BAB" w:rsidR="005A5C2E" w:rsidRPr="009C2091" w:rsidRDefault="005A5C2E" w:rsidP="00B122EB">
      <w:pPr>
        <w:ind w:firstLine="540"/>
        <w:jc w:val="both"/>
        <w:rPr>
          <w:rFonts w:ascii="Book Antiqua" w:eastAsia="Book Antiqua" w:hAnsi="Book Antiqua" w:cs="Book Antiqua"/>
          <w:color w:val="000000" w:themeColor="text1"/>
          <w:lang w:val="es-PR"/>
        </w:rPr>
      </w:pPr>
      <w:r w:rsidRPr="009C2091">
        <w:rPr>
          <w:rFonts w:ascii="Book Antiqua" w:eastAsia="Book Antiqua" w:hAnsi="Book Antiqua" w:cs="Book Antiqua"/>
          <w:color w:val="000000" w:themeColor="text1"/>
          <w:lang w:val="es-PR"/>
        </w:rPr>
        <w:t>La Ley Núm. 73-2019, según enmendada, conocida como "</w:t>
      </w:r>
      <w:r w:rsidRPr="0097435C">
        <w:rPr>
          <w:rFonts w:ascii="Book Antiqua" w:eastAsia="Book Antiqua" w:hAnsi="Book Antiqua" w:cs="Book Antiqua"/>
          <w:color w:val="000000" w:themeColor="text1"/>
          <w:lang w:val="es-PR"/>
        </w:rPr>
        <w:t xml:space="preserve">Ley de la Administración de Servicios Generales para la Centralización de las Compras del Gobierno de Puerto </w:t>
      </w:r>
      <w:r w:rsidRPr="0097435C">
        <w:rPr>
          <w:rFonts w:ascii="Book Antiqua" w:eastAsia="Book Antiqua" w:hAnsi="Book Antiqua" w:cs="Book Antiqua"/>
          <w:color w:val="000000" w:themeColor="text1"/>
          <w:lang w:val="es-PR"/>
        </w:rPr>
        <w:lastRenderedPageBreak/>
        <w:t>Rico</w:t>
      </w:r>
      <w:r w:rsidRPr="009C2091">
        <w:rPr>
          <w:rFonts w:ascii="Book Antiqua" w:eastAsia="Book Antiqua" w:hAnsi="Book Antiqua" w:cs="Book Antiqua"/>
          <w:color w:val="000000" w:themeColor="text1"/>
          <w:lang w:val="es-PR"/>
        </w:rPr>
        <w:t xml:space="preserve">", fue aprobada con el objetivo de establecer un marco uniforme y eficiente para la adquisición de bienes, obras y servicios por parte de las entidades gubernamentales. Mediante esta </w:t>
      </w:r>
      <w:r>
        <w:rPr>
          <w:rFonts w:ascii="Book Antiqua" w:eastAsia="Book Antiqua" w:hAnsi="Book Antiqua" w:cs="Book Antiqua"/>
          <w:color w:val="000000" w:themeColor="text1"/>
          <w:lang w:val="es-PR"/>
        </w:rPr>
        <w:t>L</w:t>
      </w:r>
      <w:r w:rsidRPr="009C2091">
        <w:rPr>
          <w:rFonts w:ascii="Book Antiqua" w:eastAsia="Book Antiqua" w:hAnsi="Book Antiqua" w:cs="Book Antiqua"/>
          <w:color w:val="000000" w:themeColor="text1"/>
          <w:lang w:val="es-PR"/>
        </w:rPr>
        <w:t>ey, se creó la nueva estructura administrativa de la Administración de Servicios Generales (ASG), la cual tiene la responsabilidad de implementar políticas públicas de compras centralizadas, establecer procesos competitivos de licitación y promover la transparencia y eficiencia en el uso de los recursos públicos.</w:t>
      </w:r>
    </w:p>
    <w:p w14:paraId="5BA6DB55" w14:textId="77777777" w:rsidR="005A5C2E" w:rsidRDefault="005A5C2E" w:rsidP="002036D1">
      <w:pPr>
        <w:jc w:val="both"/>
        <w:rPr>
          <w:rFonts w:ascii="Book Antiqua" w:eastAsia="Book Antiqua" w:hAnsi="Book Antiqua" w:cs="Book Antiqua"/>
          <w:color w:val="000000" w:themeColor="text1"/>
          <w:lang w:val="es-PR"/>
        </w:rPr>
      </w:pPr>
    </w:p>
    <w:p w14:paraId="55962D1D" w14:textId="54562180" w:rsidR="005A5C2E" w:rsidRPr="009C2091" w:rsidRDefault="005A5C2E" w:rsidP="00B122EB">
      <w:pPr>
        <w:ind w:firstLine="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No obstante</w:t>
      </w:r>
      <w:r w:rsidRPr="009C2091">
        <w:rPr>
          <w:rFonts w:ascii="Book Antiqua" w:eastAsia="Book Antiqua" w:hAnsi="Book Antiqua" w:cs="Book Antiqua"/>
          <w:color w:val="000000" w:themeColor="text1"/>
          <w:lang w:val="es-PR"/>
        </w:rPr>
        <w:t xml:space="preserve">, en el proceso de implementación de dicha legislación, se incluyó dentro de su ámbito de aplicación a diversas instrumentalidades del Gobierno de Puerto Rico que, por la naturaleza especializada de sus funciones, presentan realidades operacionales distintas. Tal es el caso de la </w:t>
      </w:r>
      <w:r w:rsidRPr="004477B2">
        <w:rPr>
          <w:rFonts w:ascii="Book Antiqua" w:eastAsia="Book Antiqua" w:hAnsi="Book Antiqua" w:cs="Book Antiqua"/>
          <w:color w:val="000000" w:themeColor="text1"/>
          <w:lang w:val="es-PR"/>
        </w:rPr>
        <w:t>Administración de Asuntos Federales de Puerto Rico</w:t>
      </w:r>
      <w:r w:rsidRPr="009C2091">
        <w:rPr>
          <w:rFonts w:ascii="Book Antiqua" w:eastAsia="Book Antiqua" w:hAnsi="Book Antiqua" w:cs="Book Antiqua"/>
          <w:color w:val="000000" w:themeColor="text1"/>
          <w:lang w:val="es-PR"/>
        </w:rPr>
        <w:t>, una entidad cuya función principal es representar los intereses del Gobierno de Puerto Rico ante el Gobierno de los Estados Unidos y otras entidades en la capital federal.</w:t>
      </w:r>
      <w:r>
        <w:rPr>
          <w:rFonts w:ascii="Book Antiqua" w:eastAsia="Book Antiqua" w:hAnsi="Book Antiqua" w:cs="Book Antiqua"/>
          <w:color w:val="000000" w:themeColor="text1"/>
          <w:lang w:val="es-PR"/>
        </w:rPr>
        <w:t xml:space="preserve"> </w:t>
      </w:r>
      <w:r w:rsidRPr="009C2091">
        <w:rPr>
          <w:rFonts w:ascii="Book Antiqua" w:eastAsia="Book Antiqua" w:hAnsi="Book Antiqua" w:cs="Book Antiqua"/>
          <w:color w:val="000000" w:themeColor="text1"/>
          <w:lang w:val="es-PR"/>
        </w:rPr>
        <w:t xml:space="preserve">La inclusión de la </w:t>
      </w:r>
      <w:r>
        <w:rPr>
          <w:rFonts w:ascii="Book Antiqua" w:eastAsia="Book Antiqua" w:hAnsi="Book Antiqua" w:cs="Book Antiqua"/>
          <w:color w:val="000000" w:themeColor="text1"/>
          <w:lang w:val="es-PR"/>
        </w:rPr>
        <w:t>Administración</w:t>
      </w:r>
      <w:r w:rsidRPr="009C2091">
        <w:rPr>
          <w:rFonts w:ascii="Book Antiqua" w:eastAsia="Book Antiqua" w:hAnsi="Book Antiqua" w:cs="Book Antiqua"/>
          <w:color w:val="000000" w:themeColor="text1"/>
          <w:lang w:val="es-PR"/>
        </w:rPr>
        <w:t xml:space="preserve"> dentro del marco normativo de la </w:t>
      </w:r>
      <w:r w:rsidRPr="00AE70B4">
        <w:rPr>
          <w:rFonts w:ascii="Book Antiqua" w:eastAsia="Book Antiqua" w:hAnsi="Book Antiqua" w:cs="Book Antiqua"/>
          <w:color w:val="000000" w:themeColor="text1"/>
          <w:lang w:val="es-PR"/>
        </w:rPr>
        <w:t>Ley</w:t>
      </w:r>
      <w:r w:rsidR="006A6E2D" w:rsidRPr="00AE70B4">
        <w:rPr>
          <w:rFonts w:ascii="Book Antiqua" w:eastAsia="Book Antiqua" w:hAnsi="Book Antiqua" w:cs="Book Antiqua"/>
          <w:color w:val="000000" w:themeColor="text1"/>
          <w:lang w:val="es-PR"/>
        </w:rPr>
        <w:t xml:space="preserve"> Núm.</w:t>
      </w:r>
      <w:r w:rsidRPr="009C2091">
        <w:rPr>
          <w:rFonts w:ascii="Book Antiqua" w:eastAsia="Book Antiqua" w:hAnsi="Book Antiqua" w:cs="Book Antiqua"/>
          <w:color w:val="000000" w:themeColor="text1"/>
          <w:lang w:val="es-PR"/>
        </w:rPr>
        <w:t xml:space="preserve"> 73-2019 ha representado un obstáculo operacional significativo para dicha entidad, limitando su capacidad para atender de forma ágil y eficiente los requerimientos logísticos y administrativos que conlleva su gestión en Washington D.C. Entre los principales retos se encuentran las restricciones en los procesos de contratación, los tiempos extendidos para realizar compras esenciales, y la falta de flexibilidad para operar en un entorno federal con requisitos particulares.</w:t>
      </w:r>
    </w:p>
    <w:p w14:paraId="32AB9BA1" w14:textId="77777777" w:rsidR="005A5C2E" w:rsidRDefault="005A5C2E" w:rsidP="002036D1">
      <w:pPr>
        <w:jc w:val="both"/>
        <w:rPr>
          <w:rFonts w:ascii="Book Antiqua" w:eastAsia="Book Antiqua" w:hAnsi="Book Antiqua" w:cs="Book Antiqua"/>
          <w:color w:val="000000" w:themeColor="text1"/>
          <w:lang w:val="es-PR"/>
        </w:rPr>
      </w:pPr>
    </w:p>
    <w:p w14:paraId="7D4D9CFB" w14:textId="512C7C5B" w:rsidR="005A5C2E" w:rsidRPr="009C2091" w:rsidRDefault="005A5C2E" w:rsidP="00B122EB">
      <w:pPr>
        <w:ind w:firstLine="540"/>
        <w:jc w:val="both"/>
        <w:rPr>
          <w:rFonts w:ascii="Book Antiqua" w:eastAsia="Book Antiqua" w:hAnsi="Book Antiqua" w:cs="Book Antiqua"/>
          <w:color w:val="000000" w:themeColor="text1"/>
          <w:lang w:val="es-PR"/>
        </w:rPr>
      </w:pPr>
      <w:r w:rsidRPr="009C2091">
        <w:rPr>
          <w:rFonts w:ascii="Book Antiqua" w:eastAsia="Book Antiqua" w:hAnsi="Book Antiqua" w:cs="Book Antiqua"/>
          <w:color w:val="000000" w:themeColor="text1"/>
          <w:lang w:val="es-PR"/>
        </w:rPr>
        <w:t xml:space="preserve">Además, la </w:t>
      </w:r>
      <w:r w:rsidRPr="004477B2">
        <w:rPr>
          <w:rFonts w:ascii="Book Antiqua" w:eastAsia="Book Antiqua" w:hAnsi="Book Antiqua" w:cs="Book Antiqua"/>
          <w:color w:val="000000" w:themeColor="text1"/>
          <w:lang w:val="es-PR"/>
        </w:rPr>
        <w:t>Administración de Asuntos Federales de Puerto Rico</w:t>
      </w:r>
      <w:r w:rsidRPr="009C2091">
        <w:rPr>
          <w:rFonts w:ascii="Book Antiqua" w:eastAsia="Book Antiqua" w:hAnsi="Book Antiqua" w:cs="Book Antiqua"/>
          <w:color w:val="000000" w:themeColor="text1"/>
          <w:lang w:val="es-PR"/>
        </w:rPr>
        <w:t xml:space="preserve"> opera fuera del territorio de Puerto Rico, lo cual introduce consideraciones únicas en términos de mercado, proveedores y dinámicas regulatorias. Someterla a un marco de compras centralizadas diseñado principalmente para entidades locales ha demostrado ser incompatible con su misión.</w:t>
      </w:r>
    </w:p>
    <w:p w14:paraId="6833FACA" w14:textId="77777777" w:rsidR="005A5C2E" w:rsidRDefault="005A5C2E" w:rsidP="002036D1">
      <w:pPr>
        <w:jc w:val="both"/>
        <w:rPr>
          <w:rFonts w:ascii="Book Antiqua" w:eastAsia="Book Antiqua" w:hAnsi="Book Antiqua" w:cs="Book Antiqua"/>
          <w:color w:val="000000" w:themeColor="text1"/>
          <w:lang w:val="es-PR"/>
        </w:rPr>
      </w:pPr>
    </w:p>
    <w:p w14:paraId="258C3528" w14:textId="67835337" w:rsidR="005A5C2E" w:rsidRPr="003C6649" w:rsidRDefault="005A5C2E" w:rsidP="00B122EB">
      <w:pPr>
        <w:ind w:firstLine="540"/>
        <w:jc w:val="both"/>
        <w:rPr>
          <w:rFonts w:ascii="Book Antiqua" w:eastAsia="Book Antiqua" w:hAnsi="Book Antiqua" w:cs="Book Antiqua"/>
          <w:color w:val="000000" w:themeColor="text1"/>
          <w:lang w:val="es-PR"/>
        </w:rPr>
      </w:pPr>
      <w:r w:rsidRPr="009C2091">
        <w:rPr>
          <w:rFonts w:ascii="Book Antiqua" w:eastAsia="Book Antiqua" w:hAnsi="Book Antiqua" w:cs="Book Antiqua"/>
          <w:color w:val="000000" w:themeColor="text1"/>
          <w:lang w:val="es-PR"/>
        </w:rPr>
        <w:t xml:space="preserve">Esta </w:t>
      </w:r>
      <w:r w:rsidR="00D52096">
        <w:rPr>
          <w:rFonts w:ascii="Book Antiqua" w:eastAsia="Book Antiqua" w:hAnsi="Book Antiqua" w:cs="Book Antiqua"/>
          <w:color w:val="000000" w:themeColor="text1"/>
          <w:lang w:val="es-PR"/>
        </w:rPr>
        <w:t>Ley</w:t>
      </w:r>
      <w:r w:rsidRPr="009C2091">
        <w:rPr>
          <w:rFonts w:ascii="Book Antiqua" w:eastAsia="Book Antiqua" w:hAnsi="Book Antiqua" w:cs="Book Antiqua"/>
          <w:color w:val="000000" w:themeColor="text1"/>
          <w:lang w:val="es-PR"/>
        </w:rPr>
        <w:t xml:space="preserve"> reafirma el compromiso </w:t>
      </w:r>
      <w:r>
        <w:rPr>
          <w:rFonts w:ascii="Book Antiqua" w:eastAsia="Book Antiqua" w:hAnsi="Book Antiqua" w:cs="Book Antiqua"/>
          <w:color w:val="000000" w:themeColor="text1"/>
          <w:lang w:val="es-PR"/>
        </w:rPr>
        <w:t>de esta Administración</w:t>
      </w:r>
      <w:r w:rsidRPr="009C2091">
        <w:rPr>
          <w:rFonts w:ascii="Book Antiqua" w:eastAsia="Book Antiqua" w:hAnsi="Book Antiqua" w:cs="Book Antiqua"/>
          <w:color w:val="000000" w:themeColor="text1"/>
          <w:lang w:val="es-PR"/>
        </w:rPr>
        <w:t xml:space="preserve"> con una </w:t>
      </w:r>
      <w:r>
        <w:rPr>
          <w:rFonts w:ascii="Book Antiqua" w:eastAsia="Book Antiqua" w:hAnsi="Book Antiqua" w:cs="Book Antiqua"/>
          <w:color w:val="000000" w:themeColor="text1"/>
          <w:lang w:val="es-PR"/>
        </w:rPr>
        <w:t>política</w:t>
      </w:r>
      <w:r w:rsidRPr="009C2091">
        <w:rPr>
          <w:rFonts w:ascii="Book Antiqua" w:eastAsia="Book Antiqua" w:hAnsi="Book Antiqua" w:cs="Book Antiqua"/>
          <w:color w:val="000000" w:themeColor="text1"/>
          <w:lang w:val="es-PR"/>
        </w:rPr>
        <w:t xml:space="preserve"> pública eficiente, ágil y adaptada a las realidades operacionales de cada entidad. Al permitir que la </w:t>
      </w:r>
      <w:r w:rsidRPr="004477B2">
        <w:rPr>
          <w:rFonts w:ascii="Book Antiqua" w:eastAsia="Book Antiqua" w:hAnsi="Book Antiqua" w:cs="Book Antiqua"/>
          <w:color w:val="000000" w:themeColor="text1"/>
          <w:lang w:val="es-PR"/>
        </w:rPr>
        <w:t>Administración de Asuntos Federales de Puerto Rico</w:t>
      </w:r>
      <w:r w:rsidRPr="009C2091">
        <w:rPr>
          <w:rFonts w:ascii="Book Antiqua" w:eastAsia="Book Antiqua" w:hAnsi="Book Antiqua" w:cs="Book Antiqua"/>
          <w:color w:val="000000" w:themeColor="text1"/>
          <w:lang w:val="es-PR"/>
        </w:rPr>
        <w:t xml:space="preserve"> opere con mayor autonomía en sus procesos administrativos, se fortalece su capacidad de cumplir con su función estratégica de representación y defensa de los intereses de Puerto Rico ante el Gobierno federal.</w:t>
      </w:r>
    </w:p>
    <w:p w14:paraId="3994D1F1" w14:textId="77777777" w:rsidR="00A5416B" w:rsidRPr="00BE6A63" w:rsidRDefault="00A5416B" w:rsidP="002036D1">
      <w:pPr>
        <w:rPr>
          <w:rFonts w:ascii="Book Antiqua" w:eastAsia="Book Antiqua" w:hAnsi="Book Antiqua" w:cs="Book Antiqua"/>
          <w:color w:val="000000" w:themeColor="text1"/>
          <w:lang w:val="es-PR"/>
        </w:rPr>
      </w:pPr>
    </w:p>
    <w:p w14:paraId="7955066D" w14:textId="77777777" w:rsidR="00FF2214" w:rsidRPr="00930E48" w:rsidRDefault="00850770" w:rsidP="002036D1">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06E03549" w14:textId="77777777" w:rsidR="005A5C2E" w:rsidRPr="00E6099F" w:rsidRDefault="005A5C2E" w:rsidP="005A5C2E">
      <w:pPr>
        <w:pStyle w:val="BodyText"/>
        <w:spacing w:line="480" w:lineRule="auto"/>
        <w:ind w:firstLine="720"/>
        <w:rPr>
          <w:rFonts w:ascii="Book Antiqua" w:hAnsi="Book Antiqua"/>
          <w:color w:val="000000" w:themeColor="text1"/>
        </w:rPr>
      </w:pPr>
      <w:bookmarkStart w:id="2" w:name="{20D8}"/>
      <w:bookmarkStart w:id="3" w:name="_Hlk189832381"/>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1</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hAnsi="Book Antiqua"/>
          <w:color w:val="000000" w:themeColor="text1"/>
        </w:rPr>
        <w:t xml:space="preserve">Se </w:t>
      </w:r>
      <w:r>
        <w:rPr>
          <w:rFonts w:ascii="Book Antiqua" w:hAnsi="Book Antiqua"/>
          <w:color w:val="000000" w:themeColor="text1"/>
        </w:rPr>
        <w:t>enmienda el Artículo 4 de la Ley Núm. 77 de 19 de junio de 1979, según enmendada</w:t>
      </w:r>
      <w:r w:rsidRPr="00525F1B">
        <w:rPr>
          <w:rFonts w:ascii="Book Antiqua" w:hAnsi="Book Antiqua"/>
          <w:color w:val="000000" w:themeColor="text1"/>
        </w:rPr>
        <w:t xml:space="preserve">, </w:t>
      </w:r>
      <w:r>
        <w:rPr>
          <w:rFonts w:ascii="Book Antiqua" w:hAnsi="Book Antiqua"/>
          <w:color w:val="000000" w:themeColor="text1"/>
        </w:rPr>
        <w:t>para que se lea</w:t>
      </w:r>
      <w:r w:rsidRPr="00525F1B">
        <w:rPr>
          <w:rFonts w:ascii="Book Antiqua" w:hAnsi="Book Antiqua"/>
          <w:color w:val="000000" w:themeColor="text1"/>
        </w:rPr>
        <w:t xml:space="preserve"> como sigue: </w:t>
      </w:r>
    </w:p>
    <w:p w14:paraId="6268D422" w14:textId="77777777" w:rsidR="005A5C2E" w:rsidRPr="00E6099F" w:rsidRDefault="005A5C2E" w:rsidP="005A5C2E">
      <w:pPr>
        <w:pStyle w:val="BodyText"/>
        <w:spacing w:line="480" w:lineRule="auto"/>
        <w:ind w:firstLine="720"/>
        <w:rPr>
          <w:rFonts w:ascii="Book Antiqua" w:hAnsi="Book Antiqua"/>
          <w:color w:val="000000" w:themeColor="text1"/>
          <w:lang w:val="es-ES"/>
        </w:rPr>
      </w:pPr>
      <w:r w:rsidRPr="00E6099F">
        <w:rPr>
          <w:rFonts w:ascii="Book Antiqua" w:hAnsi="Book Antiqua"/>
          <w:color w:val="000000" w:themeColor="text1"/>
          <w:lang w:val="es-ES"/>
        </w:rPr>
        <w:t xml:space="preserve">“Artículo </w:t>
      </w:r>
      <w:r>
        <w:rPr>
          <w:rFonts w:ascii="Book Antiqua" w:hAnsi="Book Antiqua"/>
          <w:color w:val="000000" w:themeColor="text1"/>
          <w:lang w:val="es-ES"/>
        </w:rPr>
        <w:t>5</w:t>
      </w:r>
      <w:r w:rsidRPr="00E6099F">
        <w:rPr>
          <w:rFonts w:ascii="Book Antiqua" w:hAnsi="Book Antiqua"/>
          <w:color w:val="000000" w:themeColor="text1"/>
          <w:lang w:val="es-ES"/>
        </w:rPr>
        <w:t xml:space="preserve">. — </w:t>
      </w:r>
      <w:r>
        <w:rPr>
          <w:rFonts w:ascii="Book Antiqua" w:hAnsi="Book Antiqua"/>
          <w:color w:val="000000" w:themeColor="text1"/>
          <w:lang w:val="es-ES"/>
        </w:rPr>
        <w:t xml:space="preserve">Deberes, poderes y facultades generales del Director. </w:t>
      </w:r>
    </w:p>
    <w:p w14:paraId="6A9F1968" w14:textId="77777777" w:rsidR="005A5C2E" w:rsidRDefault="005A5C2E" w:rsidP="005A5C2E">
      <w:pPr>
        <w:pStyle w:val="BodyText"/>
        <w:spacing w:line="480" w:lineRule="auto"/>
        <w:ind w:firstLine="720"/>
        <w:rPr>
          <w:rFonts w:ascii="Book Antiqua" w:hAnsi="Book Antiqua"/>
          <w:color w:val="000000" w:themeColor="text1"/>
        </w:rPr>
      </w:pPr>
      <w:r w:rsidRPr="00A566D5">
        <w:rPr>
          <w:rFonts w:ascii="Book Antiqua" w:hAnsi="Book Antiqua"/>
          <w:color w:val="000000" w:themeColor="text1"/>
        </w:rPr>
        <w:lastRenderedPageBreak/>
        <w:t>Serán deberes, poderes y facultades generales del Director, además de los que le son conferidos por esta ley o por otras leyes, los enumerados a continuación sin que dicha enumeración constituya una limitación</w:t>
      </w:r>
      <w:r w:rsidRPr="00583560">
        <w:rPr>
          <w:rFonts w:ascii="Book Antiqua" w:hAnsi="Book Antiqua"/>
          <w:color w:val="000000" w:themeColor="text1"/>
        </w:rPr>
        <w:t>:</w:t>
      </w:r>
    </w:p>
    <w:p w14:paraId="749E8AB0" w14:textId="77777777" w:rsidR="005A5C2E" w:rsidRDefault="005A5C2E" w:rsidP="005A5C2E">
      <w:pPr>
        <w:pStyle w:val="BodyText"/>
        <w:numPr>
          <w:ilvl w:val="0"/>
          <w:numId w:val="19"/>
        </w:numPr>
        <w:spacing w:line="480" w:lineRule="auto"/>
        <w:rPr>
          <w:rFonts w:ascii="Book Antiqua" w:hAnsi="Book Antiqua"/>
          <w:color w:val="000000" w:themeColor="text1"/>
        </w:rPr>
      </w:pPr>
      <w:r>
        <w:rPr>
          <w:rFonts w:ascii="Book Antiqua" w:hAnsi="Book Antiqua"/>
          <w:color w:val="000000" w:themeColor="text1"/>
        </w:rPr>
        <w:t>…</w:t>
      </w:r>
    </w:p>
    <w:p w14:paraId="013B6EF6" w14:textId="77777777" w:rsidR="005A5C2E" w:rsidRDefault="005A5C2E" w:rsidP="005A5C2E">
      <w:pPr>
        <w:pStyle w:val="BodyText"/>
        <w:spacing w:line="480" w:lineRule="auto"/>
        <w:ind w:left="720"/>
        <w:rPr>
          <w:rFonts w:ascii="Book Antiqua" w:hAnsi="Book Antiqua"/>
          <w:color w:val="000000" w:themeColor="text1"/>
        </w:rPr>
      </w:pPr>
      <w:r>
        <w:rPr>
          <w:rFonts w:ascii="Book Antiqua" w:hAnsi="Book Antiqua"/>
          <w:color w:val="000000" w:themeColor="text1"/>
        </w:rPr>
        <w:t>…</w:t>
      </w:r>
    </w:p>
    <w:p w14:paraId="601C91EE" w14:textId="764706BD" w:rsidR="005A5C2E" w:rsidRPr="00B636D6" w:rsidRDefault="005A5C2E" w:rsidP="005A5C2E">
      <w:pPr>
        <w:pStyle w:val="BodyText"/>
        <w:numPr>
          <w:ilvl w:val="0"/>
          <w:numId w:val="20"/>
        </w:numPr>
        <w:spacing w:line="480" w:lineRule="auto"/>
        <w:rPr>
          <w:rFonts w:ascii="Book Antiqua" w:hAnsi="Book Antiqua"/>
          <w:color w:val="000000" w:themeColor="text1"/>
        </w:rPr>
      </w:pPr>
      <w:r>
        <w:rPr>
          <w:rFonts w:ascii="Book Antiqua" w:hAnsi="Book Antiqua"/>
          <w:color w:val="000000" w:themeColor="text1"/>
        </w:rPr>
        <w:t xml:space="preserve">vender, ceder en arrendamiento o de otro modo disponer de cualesquiera bienes muebles, inmuebles o mixtos, o de cualquier interés sobre los </w:t>
      </w:r>
      <w:r w:rsidR="00F8478A">
        <w:rPr>
          <w:rFonts w:ascii="Book Antiqua" w:hAnsi="Book Antiqua"/>
          <w:color w:val="000000" w:themeColor="text1"/>
        </w:rPr>
        <w:t xml:space="preserve">mismos, </w:t>
      </w:r>
      <w:r w:rsidRPr="00B636D6">
        <w:rPr>
          <w:rFonts w:ascii="Book Antiqua" w:hAnsi="Book Antiqua"/>
          <w:color w:val="000000" w:themeColor="text1"/>
        </w:rPr>
        <w:t>que no sean necesarios o convenientes para realizar las funciones de la Administración; y el producto de dicha venta, arrendamiento, u otra disposición se ingresará en la cuenta general de la Administración;</w:t>
      </w:r>
    </w:p>
    <w:p w14:paraId="43174B00" w14:textId="77777777" w:rsidR="005A5C2E" w:rsidRPr="00B636D6" w:rsidRDefault="005A5C2E" w:rsidP="005A5C2E">
      <w:pPr>
        <w:pStyle w:val="BodyText"/>
        <w:spacing w:line="480" w:lineRule="auto"/>
        <w:ind w:left="720"/>
        <w:rPr>
          <w:rFonts w:ascii="Book Antiqua" w:hAnsi="Book Antiqua"/>
          <w:color w:val="000000" w:themeColor="text1"/>
        </w:rPr>
      </w:pPr>
      <w:r w:rsidRPr="00B636D6">
        <w:rPr>
          <w:rFonts w:ascii="Book Antiqua" w:hAnsi="Book Antiqua"/>
          <w:color w:val="000000" w:themeColor="text1"/>
        </w:rPr>
        <w:t>…”</w:t>
      </w:r>
    </w:p>
    <w:p w14:paraId="6FA527BF" w14:textId="77777777" w:rsidR="005A5C2E" w:rsidRPr="00B636D6" w:rsidRDefault="005A5C2E" w:rsidP="005A5C2E">
      <w:pPr>
        <w:pStyle w:val="BodyText"/>
        <w:spacing w:line="480" w:lineRule="auto"/>
        <w:ind w:firstLine="720"/>
        <w:rPr>
          <w:rFonts w:ascii="Book Antiqua" w:hAnsi="Book Antiqua"/>
          <w:color w:val="000000" w:themeColor="text1"/>
        </w:rPr>
      </w:pPr>
      <w:r w:rsidRPr="00B636D6">
        <w:rPr>
          <w:rFonts w:ascii="Book Antiqua" w:hAnsi="Book Antiqua"/>
          <w:color w:val="000000" w:themeColor="text1"/>
        </w:rPr>
        <w:t xml:space="preserve">Sección </w:t>
      </w:r>
      <w:r w:rsidRPr="00B636D6">
        <w:rPr>
          <w:rFonts w:ascii="Book Antiqua" w:eastAsia="Book Antiqua" w:hAnsi="Book Antiqua" w:cs="Book Antiqua"/>
          <w:color w:val="000000" w:themeColor="text1"/>
        </w:rPr>
        <w:t>2.</w:t>
      </w:r>
      <w:r w:rsidRPr="00B636D6">
        <w:rPr>
          <w:rFonts w:ascii="Book Antiqua" w:eastAsiaTheme="minorHAnsi" w:hAnsi="Book Antiqua" w:cs="Times"/>
          <w:bCs/>
          <w:color w:val="000000" w:themeColor="text1"/>
        </w:rPr>
        <w:t>-</w:t>
      </w:r>
      <w:r w:rsidRPr="00B636D6">
        <w:rPr>
          <w:rFonts w:ascii="Book Antiqua" w:hAnsi="Book Antiqua"/>
          <w:color w:val="000000" w:themeColor="text1"/>
        </w:rPr>
        <w:t xml:space="preserve">Se añade un nuevo Artículo 9 a la Ley Núm. 77 de 19 de junio de 1979, según enmendada, para que se lea como sigue: </w:t>
      </w:r>
    </w:p>
    <w:p w14:paraId="2DF2C80B" w14:textId="77777777" w:rsidR="005A5C2E" w:rsidRPr="00B636D6" w:rsidRDefault="005A5C2E" w:rsidP="005A5C2E">
      <w:pPr>
        <w:pStyle w:val="BodyText"/>
        <w:spacing w:line="480" w:lineRule="auto"/>
        <w:ind w:firstLine="720"/>
        <w:rPr>
          <w:rFonts w:ascii="Book Antiqua" w:hAnsi="Book Antiqua"/>
          <w:color w:val="000000" w:themeColor="text1"/>
          <w:lang w:val="es-ES"/>
        </w:rPr>
      </w:pPr>
      <w:r w:rsidRPr="00B636D6">
        <w:rPr>
          <w:rFonts w:ascii="Book Antiqua" w:hAnsi="Book Antiqua"/>
          <w:color w:val="000000" w:themeColor="text1"/>
          <w:lang w:val="es-ES"/>
        </w:rPr>
        <w:t xml:space="preserve">“Artículo 9. — Adquisición de bienes, obras y servicios. </w:t>
      </w:r>
    </w:p>
    <w:p w14:paraId="0CB00AD8" w14:textId="33245279" w:rsidR="005156DB" w:rsidRDefault="00E1721A" w:rsidP="005A5C2E">
      <w:pPr>
        <w:pStyle w:val="BodyText"/>
        <w:spacing w:line="480" w:lineRule="auto"/>
        <w:ind w:left="720" w:firstLine="720"/>
        <w:rPr>
          <w:rFonts w:ascii="Book Antiqua" w:hAnsi="Book Antiqua"/>
          <w:color w:val="000000" w:themeColor="text1"/>
        </w:rPr>
      </w:pPr>
      <w:r>
        <w:rPr>
          <w:rFonts w:ascii="Book Antiqua" w:hAnsi="Book Antiqua"/>
          <w:color w:val="000000" w:themeColor="text1"/>
        </w:rPr>
        <w:t>La Administración será considerada una Entidad Exenta para los efectos del Artículo 4(p) de la Ley Núm. 73-2019, según enmendada, conocida como “Ley de la Administración de Servicios Generales para la Centralización de las Compras del Gobierno de Puerto Rico de 2019”, o de cualquier legislación que la sustituya. Dentro de un plazo no mayor a treinta (30) días posterior a la vigencia de esta Ley la Administración deberá aprobar un Reglamento de Compras de Bienes y servicios No profesionales que rija sus procesos de adquisición.</w:t>
      </w:r>
    </w:p>
    <w:p w14:paraId="55F11900" w14:textId="5EF80404" w:rsidR="005A5C2E" w:rsidRPr="00B636D6" w:rsidRDefault="005156DB" w:rsidP="005A5C2E">
      <w:pPr>
        <w:pStyle w:val="BodyText"/>
        <w:spacing w:line="480" w:lineRule="auto"/>
        <w:ind w:left="720" w:firstLine="720"/>
        <w:rPr>
          <w:rFonts w:ascii="Book Antiqua" w:hAnsi="Book Antiqua"/>
          <w:color w:val="000000" w:themeColor="text1"/>
        </w:rPr>
      </w:pPr>
      <w:r>
        <w:rPr>
          <w:rFonts w:ascii="Book Antiqua" w:hAnsi="Book Antiqua"/>
          <w:color w:val="000000" w:themeColor="text1"/>
        </w:rPr>
        <w:lastRenderedPageBreak/>
        <w:t>No obstante lo aquí dispuesto, la Administración podrá adoptar, de forma voluntaria, los métodos de licitación establecidos en la Ley Núm. 73-2019, según enmendada, conocida como “Ley de la Administración de Servicios Generales para la Centralización de las Compras del Gobierno de Puerto Rico de 2019”. Además, de así entenderlo conveniente, podrá acogerse a las categorías previamente licitadas y contratos otorgados por la Administración de Servicios Generales.</w:t>
      </w:r>
      <w:r w:rsidR="005A5C2E" w:rsidRPr="00B636D6">
        <w:rPr>
          <w:rFonts w:ascii="Book Antiqua" w:hAnsi="Book Antiqua"/>
          <w:color w:val="000000" w:themeColor="text1"/>
        </w:rPr>
        <w:t>”</w:t>
      </w:r>
    </w:p>
    <w:p w14:paraId="1D58E806" w14:textId="49AF8988" w:rsidR="005A5C2E" w:rsidRPr="00E6099F" w:rsidRDefault="005A5C2E" w:rsidP="005A5C2E">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3</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hAnsi="Book Antiqua"/>
          <w:color w:val="000000" w:themeColor="text1"/>
        </w:rPr>
        <w:t xml:space="preserve">Se </w:t>
      </w:r>
      <w:r>
        <w:rPr>
          <w:rFonts w:ascii="Book Antiqua" w:hAnsi="Book Antiqua"/>
          <w:color w:val="000000" w:themeColor="text1"/>
        </w:rPr>
        <w:t>reenumeran los actuales Artículos 9, 10 y 11, como 10, 11 y 12, respectivamente, de la Ley Núm. 77 de 19 de junio de 1979, según enmendada</w:t>
      </w:r>
      <w:r w:rsidRPr="00525F1B">
        <w:rPr>
          <w:rFonts w:ascii="Book Antiqua" w:hAnsi="Book Antiqua"/>
          <w:color w:val="000000" w:themeColor="text1"/>
        </w:rPr>
        <w:t xml:space="preserve">, </w:t>
      </w:r>
      <w:r>
        <w:rPr>
          <w:rFonts w:ascii="Book Antiqua" w:hAnsi="Book Antiqua"/>
          <w:color w:val="000000" w:themeColor="text1"/>
        </w:rPr>
        <w:t>para que se lea</w:t>
      </w:r>
      <w:r w:rsidRPr="00525F1B">
        <w:rPr>
          <w:rFonts w:ascii="Book Antiqua" w:hAnsi="Book Antiqua"/>
          <w:color w:val="000000" w:themeColor="text1"/>
        </w:rPr>
        <w:t xml:space="preserve"> como sigue: </w:t>
      </w:r>
    </w:p>
    <w:p w14:paraId="76C9EB8B" w14:textId="204E7C4A" w:rsidR="005A5C2E" w:rsidRPr="00B122EB" w:rsidRDefault="005A5C2E" w:rsidP="005A5C2E">
      <w:pPr>
        <w:pStyle w:val="BodyText"/>
        <w:spacing w:line="480" w:lineRule="auto"/>
        <w:ind w:firstLine="720"/>
        <w:rPr>
          <w:rFonts w:ascii="Book Antiqua" w:hAnsi="Book Antiqua"/>
          <w:color w:val="000000" w:themeColor="text1"/>
          <w:lang w:val="es-ES"/>
        </w:rPr>
      </w:pPr>
      <w:r w:rsidRPr="00B122EB">
        <w:rPr>
          <w:rFonts w:ascii="Book Antiqua" w:hAnsi="Book Antiqua"/>
          <w:color w:val="000000" w:themeColor="text1"/>
          <w:lang w:val="es-ES"/>
        </w:rPr>
        <w:t xml:space="preserve">“Artículo 10. </w:t>
      </w:r>
      <w:r w:rsidRPr="00B122EB">
        <w:rPr>
          <w:rFonts w:ascii="Book Antiqua" w:hAnsi="Book Antiqua"/>
          <w:color w:val="000000" w:themeColor="text1"/>
          <w:lang w:val="es-ES"/>
        </w:rPr>
        <w:tab/>
        <w:t xml:space="preserve">... </w:t>
      </w:r>
    </w:p>
    <w:p w14:paraId="3B5E2AA2" w14:textId="1041B2B0" w:rsidR="005A5C2E" w:rsidRPr="00B122EB" w:rsidRDefault="00B636D6" w:rsidP="005A5C2E">
      <w:pPr>
        <w:pStyle w:val="BodyText"/>
        <w:spacing w:line="480" w:lineRule="auto"/>
        <w:ind w:firstLine="720"/>
        <w:rPr>
          <w:rFonts w:ascii="Book Antiqua" w:hAnsi="Book Antiqua"/>
          <w:color w:val="000000" w:themeColor="text1"/>
          <w:lang w:val="es-ES"/>
        </w:rPr>
      </w:pPr>
      <w:r w:rsidRPr="00B122EB">
        <w:rPr>
          <w:rFonts w:ascii="Book Antiqua" w:hAnsi="Book Antiqua"/>
          <w:color w:val="000000" w:themeColor="text1"/>
          <w:lang w:val="es-ES"/>
        </w:rPr>
        <w:t>Artículo</w:t>
      </w:r>
      <w:r w:rsidR="005A5C2E" w:rsidRPr="00B122EB">
        <w:rPr>
          <w:rFonts w:ascii="Book Antiqua" w:hAnsi="Book Antiqua"/>
          <w:color w:val="000000" w:themeColor="text1"/>
          <w:lang w:val="es-ES"/>
        </w:rPr>
        <w:t xml:space="preserve"> 11.</w:t>
      </w:r>
      <w:r w:rsidR="005A5C2E" w:rsidRPr="00B122EB">
        <w:rPr>
          <w:rFonts w:ascii="Book Antiqua" w:hAnsi="Book Antiqua"/>
          <w:color w:val="000000" w:themeColor="text1"/>
          <w:lang w:val="es-ES"/>
        </w:rPr>
        <w:tab/>
        <w:t>…</w:t>
      </w:r>
    </w:p>
    <w:p w14:paraId="26965B80" w14:textId="5603D67F" w:rsidR="005A5C2E" w:rsidRPr="00B122EB" w:rsidRDefault="005A5C2E" w:rsidP="005A5C2E">
      <w:pPr>
        <w:pStyle w:val="BodyText"/>
        <w:spacing w:line="480" w:lineRule="auto"/>
        <w:ind w:firstLine="720"/>
        <w:rPr>
          <w:rFonts w:ascii="Book Antiqua" w:hAnsi="Book Antiqua"/>
          <w:color w:val="000000" w:themeColor="text1"/>
          <w:lang w:val="es-ES"/>
        </w:rPr>
      </w:pPr>
      <w:r w:rsidRPr="00B122EB">
        <w:rPr>
          <w:rFonts w:ascii="Book Antiqua" w:hAnsi="Book Antiqua"/>
          <w:color w:val="000000" w:themeColor="text1"/>
          <w:lang w:val="es-ES"/>
        </w:rPr>
        <w:t>Artículo 12.</w:t>
      </w:r>
      <w:r w:rsidRPr="00B122EB">
        <w:rPr>
          <w:rFonts w:ascii="Book Antiqua" w:hAnsi="Book Antiqua"/>
          <w:color w:val="000000" w:themeColor="text1"/>
          <w:lang w:val="es-ES"/>
        </w:rPr>
        <w:tab/>
        <w:t>…”</w:t>
      </w:r>
    </w:p>
    <w:p w14:paraId="7140FE63" w14:textId="77777777" w:rsidR="005A5C2E" w:rsidRPr="00B122EB" w:rsidRDefault="005A5C2E" w:rsidP="005A5C2E">
      <w:pPr>
        <w:pStyle w:val="BodyText"/>
        <w:spacing w:line="480" w:lineRule="auto"/>
        <w:ind w:firstLine="720"/>
        <w:rPr>
          <w:rFonts w:ascii="Book Antiqua" w:eastAsiaTheme="minorHAnsi" w:hAnsi="Book Antiqua" w:cs="Times"/>
          <w:bCs/>
          <w:color w:val="000000" w:themeColor="text1"/>
        </w:rPr>
      </w:pPr>
      <w:r w:rsidRPr="00B122EB">
        <w:rPr>
          <w:rFonts w:ascii="Book Antiqua" w:hAnsi="Book Antiqua"/>
          <w:color w:val="000000" w:themeColor="text1"/>
        </w:rPr>
        <w:t xml:space="preserve">Sección </w:t>
      </w:r>
      <w:r w:rsidRPr="00B122EB">
        <w:rPr>
          <w:rFonts w:ascii="Book Antiqua" w:eastAsia="Book Antiqua" w:hAnsi="Book Antiqua" w:cs="Book Antiqua"/>
          <w:color w:val="000000" w:themeColor="text1"/>
        </w:rPr>
        <w:t>4.</w:t>
      </w:r>
      <w:r w:rsidRPr="00B122EB">
        <w:rPr>
          <w:rFonts w:ascii="Book Antiqua" w:eastAsiaTheme="minorHAnsi" w:hAnsi="Book Antiqua" w:cs="Times"/>
          <w:bCs/>
          <w:color w:val="000000" w:themeColor="text1"/>
        </w:rPr>
        <w:t xml:space="preserve">-Derogación tácita. </w:t>
      </w:r>
    </w:p>
    <w:p w14:paraId="656C0157" w14:textId="77777777" w:rsidR="005A5C2E" w:rsidRPr="00525F1B" w:rsidRDefault="005A5C2E" w:rsidP="005A5C2E">
      <w:pPr>
        <w:pStyle w:val="BodyText"/>
        <w:spacing w:line="480" w:lineRule="auto"/>
        <w:ind w:firstLine="720"/>
        <w:rPr>
          <w:rFonts w:ascii="Book Antiqua" w:hAnsi="Book Antiqua"/>
          <w:color w:val="000000" w:themeColor="text1"/>
        </w:rPr>
      </w:pPr>
      <w:r w:rsidRPr="00B122EB">
        <w:rPr>
          <w:rFonts w:ascii="Book Antiqua" w:hAnsi="Book Antiqua"/>
          <w:color w:val="000000" w:themeColor="text1"/>
        </w:rPr>
        <w:t>Cualquier disposición</w:t>
      </w:r>
      <w:r w:rsidRPr="00525F1B">
        <w:rPr>
          <w:rFonts w:ascii="Book Antiqua" w:hAnsi="Book Antiqua"/>
          <w:color w:val="000000" w:themeColor="text1"/>
        </w:rPr>
        <w:t xml:space="preserve"> de ley o reglamentación que sea incompatible con las disposiciones de esta Ley queda por la presente derogada hasta donde existiere tal incompatibilidad.</w:t>
      </w:r>
    </w:p>
    <w:p w14:paraId="7B7C5DAA" w14:textId="77777777" w:rsidR="005A5C2E" w:rsidRPr="00525F1B" w:rsidRDefault="005A5C2E" w:rsidP="005A5C2E">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5</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hAnsi="Book Antiqua"/>
          <w:color w:val="000000" w:themeColor="text1"/>
        </w:rPr>
        <w:t>Separabilidad.</w:t>
      </w:r>
    </w:p>
    <w:p w14:paraId="6D2234A5" w14:textId="77777777" w:rsidR="005A5C2E" w:rsidRPr="00525F1B" w:rsidRDefault="005A5C2E" w:rsidP="005A5C2E">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w:t>
      </w:r>
      <w:r w:rsidRPr="00525F1B">
        <w:rPr>
          <w:rFonts w:ascii="Book Antiqua" w:hAnsi="Book Antiqua"/>
          <w:color w:val="000000" w:themeColor="text1"/>
        </w:rPr>
        <w:lastRenderedPageBreak/>
        <w:t>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544AA1BD" w14:textId="77777777" w:rsidR="005A5C2E" w:rsidRPr="00525F1B" w:rsidRDefault="005A5C2E" w:rsidP="005A5C2E">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6</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Vigencia.</w:t>
      </w:r>
    </w:p>
    <w:p w14:paraId="79550695" w14:textId="01C652B6" w:rsidR="00FF2214" w:rsidRPr="00BE6A63" w:rsidRDefault="005A5C2E" w:rsidP="005A5C2E">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Esta Ley entrará en vigor inmediatamente después de su aprobación</w:t>
      </w:r>
      <w:bookmarkEnd w:id="2"/>
      <w:bookmarkEnd w:id="3"/>
      <w:r w:rsidRPr="00525F1B">
        <w:rPr>
          <w:rFonts w:ascii="Book Antiqua" w:hAnsi="Book Antiqua"/>
          <w:color w:val="000000" w:themeColor="text1"/>
          <w:lang w:val="es-ES"/>
        </w:rPr>
        <w:t>.</w:t>
      </w:r>
    </w:p>
    <w:sectPr w:rsidR="00FF2214" w:rsidRPr="00BE6A63"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775E34B9-565A-40F4-B4CE-1FE8F79F06AB}"/>
    <w:embedBold r:id="rId2" w:fontKey="{15C67036-5723-48B9-A63B-919AE0422ED1}"/>
    <w:embedItalic r:id="rId3" w:fontKey="{F0D7A1A2-9705-4927-A976-B4EE2A89027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7ABC5DF0-0FAE-4C86-98EA-2E9FDCD26522}"/>
  </w:font>
  <w:font w:name="Georgia">
    <w:panose1 w:val="02040502050405020303"/>
    <w:charset w:val="00"/>
    <w:family w:val="roman"/>
    <w:pitch w:val="variable"/>
    <w:sig w:usb0="00000287" w:usb1="00000000" w:usb2="00000000" w:usb3="00000000" w:csb0="0000009F" w:csb1="00000000"/>
    <w:embedRegular r:id="rId5" w:fontKey="{E65FE6D2-EA8A-4E83-BB7C-7CB59C94A255}"/>
    <w:embedItalic r:id="rId6" w:fontKey="{522C19F4-7420-40E0-9C3B-E7803E0F57ED}"/>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embedRegular r:id="rId7" w:fontKey="{82D5F0B2-D808-46AB-97F4-5DA349DA906C}"/>
    <w:embedItalic r:id="rId8" w:fontKey="{C4791E2B-BD21-4EB7-BED4-ECE6E7A1C05C}"/>
  </w:font>
  <w:font w:name="Calibri">
    <w:panose1 w:val="020F0502020204030204"/>
    <w:charset w:val="00"/>
    <w:family w:val="swiss"/>
    <w:pitch w:val="variable"/>
    <w:sig w:usb0="E4002EFF" w:usb1="C200247B" w:usb2="00000009" w:usb3="00000000" w:csb0="000001FF" w:csb1="00000000"/>
    <w:embedRegular r:id="rId9" w:fontKey="{1C945E21-1205-4ADB-BCAD-FE82007CA097}"/>
  </w:font>
  <w:font w:name="Times">
    <w:panose1 w:val="02020603050405020304"/>
    <w:charset w:val="00"/>
    <w:family w:val="roman"/>
    <w:pitch w:val="variable"/>
    <w:sig w:usb0="E0002EFF" w:usb1="C000785B" w:usb2="00000009" w:usb3="00000000" w:csb0="000001FF" w:csb1="00000000"/>
    <w:embedBold r:id="rId10" w:fontKey="{6F253819-FE17-4E59-83E2-4C395CBD2C87}"/>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8798C34D-E800-4745-A6FA-D43B105F3B6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27C324DE" w:rsidR="00FF2214" w:rsidRDefault="00F8478A" w:rsidP="00B122EB">
    <w:pPr>
      <w:tabs>
        <w:tab w:val="center" w:pos="4320"/>
        <w:tab w:val="right" w:pos="8640"/>
      </w:tabs>
      <w:jc w:val="right"/>
      <w:rPr>
        <w:color w:val="000000"/>
      </w:rPr>
    </w:pPr>
    <w:r>
      <w:rPr>
        <w:color w:val="000000"/>
      </w:rPr>
      <w:tab/>
    </w:r>
    <w:r>
      <w:rPr>
        <w:color w:val="000000"/>
      </w:rPr>
      <w:tab/>
    </w:r>
    <w:r w:rsidR="00850770">
      <w:rPr>
        <w:color w:val="000000"/>
      </w:rPr>
      <w:t>A-0</w:t>
    </w:r>
    <w:r w:rsidR="00CC16C2">
      <w:rPr>
        <w:color w:val="000000"/>
      </w:rPr>
      <w:t>3</w:t>
    </w:r>
    <w:r w:rsidR="005A5C2E">
      <w:rPr>
        <w:color w:val="000000"/>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0"/>
  </w:num>
  <w:num w:numId="2" w16cid:durableId="1011832284">
    <w:abstractNumId w:val="4"/>
  </w:num>
  <w:num w:numId="3" w16cid:durableId="1943102285">
    <w:abstractNumId w:val="19"/>
  </w:num>
  <w:num w:numId="4" w16cid:durableId="1106316835">
    <w:abstractNumId w:val="15"/>
  </w:num>
  <w:num w:numId="5" w16cid:durableId="455106598">
    <w:abstractNumId w:val="13"/>
  </w:num>
  <w:num w:numId="6" w16cid:durableId="175340939">
    <w:abstractNumId w:val="1"/>
  </w:num>
  <w:num w:numId="7" w16cid:durableId="1854225982">
    <w:abstractNumId w:val="16"/>
  </w:num>
  <w:num w:numId="8" w16cid:durableId="1919754197">
    <w:abstractNumId w:val="0"/>
  </w:num>
  <w:num w:numId="9" w16cid:durableId="365562201">
    <w:abstractNumId w:val="3"/>
  </w:num>
  <w:num w:numId="10" w16cid:durableId="1904826230">
    <w:abstractNumId w:val="6"/>
  </w:num>
  <w:num w:numId="11" w16cid:durableId="118687224">
    <w:abstractNumId w:val="7"/>
  </w:num>
  <w:num w:numId="12" w16cid:durableId="508376565">
    <w:abstractNumId w:val="11"/>
  </w:num>
  <w:num w:numId="13" w16cid:durableId="216819222">
    <w:abstractNumId w:val="9"/>
  </w:num>
  <w:num w:numId="14" w16cid:durableId="517544549">
    <w:abstractNumId w:val="17"/>
  </w:num>
  <w:num w:numId="15" w16cid:durableId="478498451">
    <w:abstractNumId w:val="8"/>
  </w:num>
  <w:num w:numId="16" w16cid:durableId="46998239">
    <w:abstractNumId w:val="18"/>
  </w:num>
  <w:num w:numId="17" w16cid:durableId="275597364">
    <w:abstractNumId w:val="2"/>
  </w:num>
  <w:num w:numId="18" w16cid:durableId="1162702400">
    <w:abstractNumId w:val="5"/>
  </w:num>
  <w:num w:numId="19" w16cid:durableId="2055156664">
    <w:abstractNumId w:val="12"/>
  </w:num>
  <w:num w:numId="20" w16cid:durableId="11214619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3F70"/>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292A"/>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036D1"/>
    <w:rsid w:val="0021009A"/>
    <w:rsid w:val="002121D5"/>
    <w:rsid w:val="002138BE"/>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0542"/>
    <w:rsid w:val="002A1D65"/>
    <w:rsid w:val="002A23EE"/>
    <w:rsid w:val="002A4F4F"/>
    <w:rsid w:val="002B2FBB"/>
    <w:rsid w:val="002B5618"/>
    <w:rsid w:val="002B62EE"/>
    <w:rsid w:val="002B7906"/>
    <w:rsid w:val="002C1726"/>
    <w:rsid w:val="002C1B35"/>
    <w:rsid w:val="002D6159"/>
    <w:rsid w:val="002F21CF"/>
    <w:rsid w:val="002F48BA"/>
    <w:rsid w:val="002F5B16"/>
    <w:rsid w:val="00302F90"/>
    <w:rsid w:val="0030308D"/>
    <w:rsid w:val="00303201"/>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D1F"/>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156DB"/>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421"/>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A6511"/>
    <w:rsid w:val="006A6E2D"/>
    <w:rsid w:val="006B17C2"/>
    <w:rsid w:val="006B3A56"/>
    <w:rsid w:val="006B5E01"/>
    <w:rsid w:val="006B78AD"/>
    <w:rsid w:val="006C4755"/>
    <w:rsid w:val="006C5540"/>
    <w:rsid w:val="006C6334"/>
    <w:rsid w:val="006D1974"/>
    <w:rsid w:val="006E1314"/>
    <w:rsid w:val="006E37D2"/>
    <w:rsid w:val="006E7A33"/>
    <w:rsid w:val="006F0B06"/>
    <w:rsid w:val="006F205C"/>
    <w:rsid w:val="006F6D54"/>
    <w:rsid w:val="006F7FEA"/>
    <w:rsid w:val="00702DBD"/>
    <w:rsid w:val="00703A2A"/>
    <w:rsid w:val="007164D0"/>
    <w:rsid w:val="007167E7"/>
    <w:rsid w:val="007255E2"/>
    <w:rsid w:val="00725A20"/>
    <w:rsid w:val="00730772"/>
    <w:rsid w:val="00731270"/>
    <w:rsid w:val="0073352B"/>
    <w:rsid w:val="00736EAA"/>
    <w:rsid w:val="00740BAC"/>
    <w:rsid w:val="00752738"/>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115"/>
    <w:rsid w:val="00836710"/>
    <w:rsid w:val="008402C1"/>
    <w:rsid w:val="008450D8"/>
    <w:rsid w:val="00850770"/>
    <w:rsid w:val="008574AE"/>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BD"/>
    <w:rsid w:val="0093314A"/>
    <w:rsid w:val="0093744C"/>
    <w:rsid w:val="00942E06"/>
    <w:rsid w:val="00950505"/>
    <w:rsid w:val="00950A46"/>
    <w:rsid w:val="00952875"/>
    <w:rsid w:val="00954675"/>
    <w:rsid w:val="00962C3E"/>
    <w:rsid w:val="00963E17"/>
    <w:rsid w:val="00965195"/>
    <w:rsid w:val="00970540"/>
    <w:rsid w:val="00971D18"/>
    <w:rsid w:val="009833D3"/>
    <w:rsid w:val="009927E5"/>
    <w:rsid w:val="009A0ED5"/>
    <w:rsid w:val="009B47BF"/>
    <w:rsid w:val="009D1C75"/>
    <w:rsid w:val="009D5726"/>
    <w:rsid w:val="009D61E3"/>
    <w:rsid w:val="009D7450"/>
    <w:rsid w:val="009D79EC"/>
    <w:rsid w:val="009E36AA"/>
    <w:rsid w:val="009F15AE"/>
    <w:rsid w:val="009F3C51"/>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01B"/>
    <w:rsid w:val="00A52322"/>
    <w:rsid w:val="00A52F9B"/>
    <w:rsid w:val="00A5416B"/>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E70B4"/>
    <w:rsid w:val="00AF19DC"/>
    <w:rsid w:val="00AF26DE"/>
    <w:rsid w:val="00B00227"/>
    <w:rsid w:val="00B01686"/>
    <w:rsid w:val="00B02CD9"/>
    <w:rsid w:val="00B03F2F"/>
    <w:rsid w:val="00B06BD6"/>
    <w:rsid w:val="00B06EBD"/>
    <w:rsid w:val="00B122EB"/>
    <w:rsid w:val="00B12738"/>
    <w:rsid w:val="00B132BC"/>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636D6"/>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27F9"/>
    <w:rsid w:val="00BD4F99"/>
    <w:rsid w:val="00BE4BBF"/>
    <w:rsid w:val="00BE55AC"/>
    <w:rsid w:val="00BE6A63"/>
    <w:rsid w:val="00BE7D02"/>
    <w:rsid w:val="00BF5A14"/>
    <w:rsid w:val="00BF5DE6"/>
    <w:rsid w:val="00BF79D8"/>
    <w:rsid w:val="00C004A4"/>
    <w:rsid w:val="00C05E49"/>
    <w:rsid w:val="00C05E9D"/>
    <w:rsid w:val="00C13DC9"/>
    <w:rsid w:val="00C25487"/>
    <w:rsid w:val="00C32AB8"/>
    <w:rsid w:val="00C32AF1"/>
    <w:rsid w:val="00C33CEB"/>
    <w:rsid w:val="00C361CD"/>
    <w:rsid w:val="00C57448"/>
    <w:rsid w:val="00C635EB"/>
    <w:rsid w:val="00C71782"/>
    <w:rsid w:val="00C8076C"/>
    <w:rsid w:val="00C87975"/>
    <w:rsid w:val="00C90DA0"/>
    <w:rsid w:val="00C90EAE"/>
    <w:rsid w:val="00C93262"/>
    <w:rsid w:val="00C95F7C"/>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7A5"/>
    <w:rsid w:val="00D00EE1"/>
    <w:rsid w:val="00D21E5F"/>
    <w:rsid w:val="00D24065"/>
    <w:rsid w:val="00D27A0B"/>
    <w:rsid w:val="00D312C4"/>
    <w:rsid w:val="00D42696"/>
    <w:rsid w:val="00D43E19"/>
    <w:rsid w:val="00D50765"/>
    <w:rsid w:val="00D50CD3"/>
    <w:rsid w:val="00D52096"/>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1721A"/>
    <w:rsid w:val="00E22AE3"/>
    <w:rsid w:val="00E22CE1"/>
    <w:rsid w:val="00E2741C"/>
    <w:rsid w:val="00E30811"/>
    <w:rsid w:val="00E31356"/>
    <w:rsid w:val="00E43A92"/>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478A"/>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1162</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8</cp:revision>
  <cp:lastPrinted>2025-03-27T20:08:00Z</cp:lastPrinted>
  <dcterms:created xsi:type="dcterms:W3CDTF">2025-04-10T19:08:00Z</dcterms:created>
  <dcterms:modified xsi:type="dcterms:W3CDTF">2025-05-06T13:10:00Z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