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0656" w14:textId="77777777" w:rsidR="00FF2214" w:rsidRPr="002036D1" w:rsidRDefault="00850770" w:rsidP="002036D1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2036D1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2036D1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930E48" w:rsidRDefault="00FF2214" w:rsidP="002036D1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77777777" w:rsidR="00FF2214" w:rsidRPr="00930E48" w:rsidRDefault="00850770" w:rsidP="002036D1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20 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ma.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1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ra.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77777777" w:rsidR="00FF2214" w:rsidRPr="00930E48" w:rsidRDefault="00850770" w:rsidP="002036D1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7955065A" w14:textId="77777777" w:rsidR="00FF2214" w:rsidRPr="00930E48" w:rsidRDefault="00FF2214" w:rsidP="002036D1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A931BE" w14:textId="77777777" w:rsidR="00950505" w:rsidRPr="00930E48" w:rsidRDefault="00950505" w:rsidP="002036D1">
      <w:pPr>
        <w:jc w:val="center"/>
        <w:rPr>
          <w:rFonts w:ascii="Book Antiqua" w:hAnsi="Book Antiqua"/>
          <w:b/>
          <w:color w:val="000000" w:themeColor="text1"/>
          <w:sz w:val="36"/>
          <w:szCs w:val="36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1FE61380" w14:textId="77777777" w:rsidR="00950505" w:rsidRPr="00930E48" w:rsidRDefault="00950505" w:rsidP="002036D1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5886E84B" w14:textId="259980E4" w:rsidR="00950505" w:rsidRPr="00930E48" w:rsidRDefault="00950505" w:rsidP="002036D1">
      <w:pPr>
        <w:jc w:val="center"/>
        <w:rPr>
          <w:rFonts w:ascii="Book Antiqua" w:hAnsi="Book Antiqua"/>
          <w:b/>
          <w:color w:val="000000" w:themeColor="text1"/>
          <w:sz w:val="52"/>
          <w:szCs w:val="52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>P. de la C.</w:t>
      </w:r>
      <w:r w:rsidR="00A5201B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 xml:space="preserve"> 465</w:t>
      </w:r>
    </w:p>
    <w:p w14:paraId="4A8A7A6F" w14:textId="77777777" w:rsidR="00950505" w:rsidRPr="00930E48" w:rsidRDefault="00950505" w:rsidP="002036D1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3D87D176" w14:textId="5C4654A1" w:rsidR="00950505" w:rsidRPr="00930E48" w:rsidRDefault="002036D1" w:rsidP="002036D1">
      <w:pPr>
        <w:jc w:val="center"/>
        <w:rPr>
          <w:rFonts w:ascii="Book Antiqua" w:hAnsi="Book Antiqua"/>
          <w:b/>
          <w:color w:val="000000" w:themeColor="text1"/>
          <w:sz w:val="48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28 </w:t>
      </w:r>
      <w:r w:rsidRPr="00930E48">
        <w:rPr>
          <w:rFonts w:ascii="Book Antiqua" w:hAnsi="Book Antiqua"/>
          <w:color w:val="000000" w:themeColor="text1"/>
          <w:lang w:val="es-PR"/>
        </w:rPr>
        <w:t>DE MARZO DE 2025</w:t>
      </w:r>
    </w:p>
    <w:p w14:paraId="1E7B6D3E" w14:textId="77777777" w:rsidR="00950505" w:rsidRPr="00930E48" w:rsidRDefault="00950505" w:rsidP="002036D1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01AA10B" w14:textId="6431AD37" w:rsidR="00950505" w:rsidRPr="00B00227" w:rsidRDefault="00950505" w:rsidP="002036D1">
      <w:pPr>
        <w:ind w:left="810" w:hanging="810"/>
        <w:jc w:val="both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  <w:r w:rsidRPr="00930E48">
        <w:rPr>
          <w:rFonts w:ascii="Book Antiqua" w:hAnsi="Book Antiqua"/>
          <w:color w:val="000000" w:themeColor="text1"/>
          <w:lang w:val="es-PR"/>
        </w:rPr>
        <w:t xml:space="preserve">Presentado </w:t>
      </w:r>
      <w:r w:rsidR="00B02CD9">
        <w:rPr>
          <w:rFonts w:ascii="Book Antiqua" w:eastAsia="Book Antiqua" w:hAnsi="Book Antiqua" w:cs="Book Antiqua"/>
          <w:color w:val="000000" w:themeColor="text1"/>
          <w:lang w:val="es-PR"/>
        </w:rPr>
        <w:t xml:space="preserve">por </w:t>
      </w:r>
      <w:r w:rsidR="00B02CD9" w:rsidRPr="00BC63DB">
        <w:rPr>
          <w:rFonts w:ascii="Book Antiqua" w:hAnsi="Book Antiqua"/>
          <w:lang w:val="es-ES"/>
        </w:rPr>
        <w:t xml:space="preserve">el representante </w:t>
      </w:r>
      <w:r w:rsidR="00B02CD9" w:rsidRPr="00BC63DB">
        <w:rPr>
          <w:rFonts w:ascii="Book Antiqua" w:hAnsi="Book Antiqua"/>
          <w:i/>
          <w:iCs/>
          <w:lang w:val="es-PR"/>
        </w:rPr>
        <w:t>Méndez Núñez</w:t>
      </w:r>
      <w:r w:rsidR="00B02CD9">
        <w:rPr>
          <w:rFonts w:ascii="Book Antiqua" w:hAnsi="Book Antiqua"/>
          <w:i/>
          <w:iCs/>
          <w:lang w:val="es-PR"/>
        </w:rPr>
        <w:t>;</w:t>
      </w:r>
      <w:r w:rsidR="00B02CD9" w:rsidRPr="00BC63DB">
        <w:rPr>
          <w:rFonts w:ascii="Book Antiqua" w:hAnsi="Book Antiqua"/>
          <w:i/>
          <w:iCs/>
          <w:lang w:val="es-PR"/>
        </w:rPr>
        <w:t xml:space="preserve">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Lebrón Rodríguez;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Ramírez, Torres Zamora, Román López, Aponte Hernández, Carlo Acosta, Charbonier Chinea, Colón Rodríguez;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del Valle Correa;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Estévez Vélez, Franqui Atiles;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González Aguayo, González González;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Hernández Concepción, Jiménez Torres;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Martínez Vázquez, Medina Calderón;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Morey Noble, Muriel Sánchez, Navarro Suárez, Nieves Rosario, Ocasio Ramos, Pacheco Burgos, Parés Otero;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Dávila;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Cordero, Pérez Ortiz;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Ramírez, Ramos Rivera;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Robles Rivera, Rodríguez Aguiló, Rodríguez Torres, Roque Gracia, Sanabria Colón y Santiago Guzmán</w:t>
      </w:r>
    </w:p>
    <w:p w14:paraId="18A0DB58" w14:textId="77777777" w:rsidR="00950505" w:rsidRPr="00930E48" w:rsidRDefault="00950505" w:rsidP="002036D1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6E0B8939" w14:textId="73021D12" w:rsidR="00950505" w:rsidRPr="00930E48" w:rsidRDefault="00950505" w:rsidP="002036D1">
      <w:pPr>
        <w:jc w:val="center"/>
        <w:rPr>
          <w:rFonts w:ascii="Book Antiqua" w:hAnsi="Book Antiqua"/>
          <w:color w:val="000000" w:themeColor="text1"/>
          <w:lang w:val="es-PR"/>
        </w:rPr>
      </w:pPr>
      <w:r w:rsidRPr="00930E48">
        <w:rPr>
          <w:rFonts w:ascii="Book Antiqua" w:hAnsi="Book Antiqua"/>
          <w:color w:val="000000" w:themeColor="text1"/>
          <w:lang w:val="es-PR"/>
        </w:rPr>
        <w:t>Referido a</w:t>
      </w:r>
      <w:r w:rsidR="002C1B35">
        <w:rPr>
          <w:rFonts w:ascii="Book Antiqua" w:hAnsi="Book Antiqua"/>
          <w:color w:val="000000" w:themeColor="text1"/>
          <w:lang w:val="es-PR"/>
        </w:rPr>
        <w:t xml:space="preserve"> la Comisión de </w:t>
      </w:r>
      <w:r w:rsidR="002C1B35">
        <w:rPr>
          <w:rFonts w:ascii="Book Antiqua" w:hAnsi="Book Antiqua"/>
          <w:color w:val="000000" w:themeColor="text1"/>
          <w:lang w:val="es-PR"/>
        </w:rPr>
        <w:t>Asuntos Federales y Veteranos</w:t>
      </w:r>
    </w:p>
    <w:p w14:paraId="4B9C3823" w14:textId="77777777" w:rsidR="00950505" w:rsidRPr="00930E48" w:rsidRDefault="00950505" w:rsidP="002036D1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3228070" w14:textId="77777777" w:rsidR="00950505" w:rsidRPr="00930E48" w:rsidRDefault="00950505" w:rsidP="002036D1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28"/>
          <w:lang w:val="es-PR"/>
        </w:rPr>
        <w:t>LEY</w:t>
      </w:r>
    </w:p>
    <w:p w14:paraId="79550663" w14:textId="77777777" w:rsidR="00FF2214" w:rsidRPr="00930E48" w:rsidRDefault="00FF2214" w:rsidP="002036D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2289233" w14:textId="6AC5CC72" w:rsidR="005A5C2E" w:rsidRPr="002F48BA" w:rsidRDefault="00850770" w:rsidP="002036D1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Para</w:t>
      </w:r>
      <w:r w:rsidR="00E45E9B"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A5C2E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enmendar el Artículo </w:t>
      </w:r>
      <w:r w:rsidR="005A5C2E">
        <w:rPr>
          <w:rFonts w:ascii="Book Antiqua" w:eastAsia="Book Antiqua" w:hAnsi="Book Antiqua" w:cs="Book Antiqua"/>
          <w:color w:val="000000" w:themeColor="text1"/>
          <w:lang w:val="es-PR"/>
        </w:rPr>
        <w:t>4</w:t>
      </w:r>
      <w:r w:rsidR="005A5C2E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, añadir un nuevo Artículo 9 y renumerar los artículos subsiguientes de la Ley </w:t>
      </w:r>
      <w:r w:rsidR="005A5C2E">
        <w:rPr>
          <w:rFonts w:ascii="Book Antiqua" w:eastAsia="Book Antiqua" w:hAnsi="Book Antiqua" w:cs="Book Antiqua"/>
          <w:color w:val="000000" w:themeColor="text1"/>
          <w:lang w:val="es-PR"/>
        </w:rPr>
        <w:t>Núm. 77 de 19 de junio de 1979</w:t>
      </w:r>
      <w:r w:rsidR="005A5C2E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, según enmendada, conocida como </w:t>
      </w:r>
      <w:r w:rsidR="00971D18">
        <w:rPr>
          <w:rFonts w:ascii="Book Antiqua" w:eastAsia="Book Antiqua" w:hAnsi="Book Antiqua" w:cs="Book Antiqua"/>
          <w:color w:val="000000" w:themeColor="text1"/>
          <w:lang w:val="es-PR"/>
        </w:rPr>
        <w:t>“</w:t>
      </w:r>
      <w:r w:rsidR="005A5C2E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Ley </w:t>
      </w:r>
      <w:r w:rsidR="005A5C2E">
        <w:rPr>
          <w:rFonts w:ascii="Book Antiqua" w:eastAsia="Book Antiqua" w:hAnsi="Book Antiqua" w:cs="Book Antiqua"/>
          <w:color w:val="000000" w:themeColor="text1"/>
          <w:lang w:val="es-PR"/>
        </w:rPr>
        <w:t>de la Administración de Asuntos Federales</w:t>
      </w:r>
      <w:r w:rsidR="005A5C2E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Puerto Rico</w:t>
      </w:r>
      <w:r w:rsidR="00971D18">
        <w:rPr>
          <w:rFonts w:ascii="Book Antiqua" w:eastAsia="Book Antiqua" w:hAnsi="Book Antiqua" w:cs="Book Antiqua"/>
          <w:color w:val="000000" w:themeColor="text1"/>
          <w:lang w:val="es-PR"/>
        </w:rPr>
        <w:t>”</w:t>
      </w:r>
      <w:r w:rsidR="005A5C2E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, a los fines de restituir la autonomía operativa y administrativa de la </w:t>
      </w:r>
      <w:r w:rsidR="005A5C2E" w:rsidRPr="00C94973">
        <w:rPr>
          <w:rFonts w:ascii="Book Antiqua" w:eastAsia="Book Antiqua" w:hAnsi="Book Antiqua" w:cs="Book Antiqua"/>
          <w:color w:val="000000" w:themeColor="text1"/>
          <w:lang w:val="es-PR"/>
        </w:rPr>
        <w:t>Administración de Asuntos Federales de Puerto Rico</w:t>
      </w:r>
      <w:r w:rsidR="005A5C2E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 y facultarla para establecer sus propios procedimientos de adquisición, conforme a sus necesidades particulares</w:t>
      </w:r>
      <w:r w:rsidR="005A5C2E" w:rsidRPr="0097435C">
        <w:rPr>
          <w:rFonts w:ascii="Book Antiqua" w:eastAsia="Book Antiqua" w:hAnsi="Book Antiqua" w:cs="Book Antiqua"/>
          <w:color w:val="000000" w:themeColor="text1"/>
          <w:lang w:val="es-PR"/>
        </w:rPr>
        <w:t>; y para otros fines relacionados.</w:t>
      </w:r>
      <w:r w:rsidR="005A5C2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726F9974" w14:textId="791109DC" w:rsidR="000B77A8" w:rsidRPr="00930E48" w:rsidRDefault="000B77A8" w:rsidP="002036D1">
      <w:pPr>
        <w:jc w:val="both"/>
        <w:rPr>
          <w:rFonts w:ascii="Book Antiqua" w:eastAsia="Aptos" w:hAnsi="Book Antiqua"/>
          <w:color w:val="000000" w:themeColor="text1"/>
          <w:kern w:val="2"/>
          <w:lang w:val="es-PR"/>
          <w14:ligatures w14:val="standardContextual"/>
        </w:rPr>
      </w:pPr>
    </w:p>
    <w:p w14:paraId="63AE53B1" w14:textId="3B22399B" w:rsidR="00010836" w:rsidRPr="00930E48" w:rsidRDefault="00850770" w:rsidP="002036D1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 DE MOTIVOS</w:t>
      </w:r>
    </w:p>
    <w:p w14:paraId="249D67DE" w14:textId="77777777" w:rsidR="005A5C2E" w:rsidRDefault="005A5C2E" w:rsidP="002036D1">
      <w:pPr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3531E11F" w14:textId="52166BAB" w:rsidR="005A5C2E" w:rsidRPr="009C2091" w:rsidRDefault="005A5C2E" w:rsidP="002036D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>La Ley Núm. 73-2019, según enmendada, conocida como "</w:t>
      </w:r>
      <w:r w:rsidRPr="0097435C">
        <w:rPr>
          <w:rFonts w:ascii="Book Antiqua" w:eastAsia="Book Antiqua" w:hAnsi="Book Antiqua" w:cs="Book Antiqua"/>
          <w:color w:val="000000" w:themeColor="text1"/>
          <w:lang w:val="es-PR"/>
        </w:rPr>
        <w:t>Ley de la Administración de Servicios Generales para la Centralización de las Compras del Gobierno de Puerto Rico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", fue aprobada con el objetivo de establecer un marco uniforme y eficiente para la adquisición de bienes, obras y servicios por parte de las entidades gubernamentales. Mediante esta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ey, se creó la nueva estructura administrativa de la Administración de 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Servicios Generales (ASG), la cual tiene la responsabilidad de implementar políticas públicas de compras centralizadas, establecer procesos competitivos de licitación y promover la transparencia y eficiencia en el uso de los recursos públicos.</w:t>
      </w:r>
    </w:p>
    <w:p w14:paraId="5BA6DB55" w14:textId="77777777" w:rsidR="005A5C2E" w:rsidRDefault="005A5C2E" w:rsidP="002036D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55962D1D" w14:textId="66335DEB" w:rsidR="005A5C2E" w:rsidRPr="009C2091" w:rsidRDefault="005A5C2E" w:rsidP="002036D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No obstante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, en el proceso de implementación de dicha legislación, se incluyó dentro de su ámbito de aplicación a diversas instrumentalidades del Gobierno de Puerto Rico que, por la naturaleza especializada de sus funciones, presentan realidades operacionales distintas. Tal es el caso de la </w:t>
      </w:r>
      <w:r w:rsidRPr="004477B2">
        <w:rPr>
          <w:rFonts w:ascii="Book Antiqua" w:eastAsia="Book Antiqua" w:hAnsi="Book Antiqua" w:cs="Book Antiqua"/>
          <w:color w:val="000000" w:themeColor="text1"/>
          <w:lang w:val="es-PR"/>
        </w:rPr>
        <w:t>Administración de Asuntos Federales de Puerto Rico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>, una entidad cuya función principal es representar los intereses del Gobierno de Puerto Rico ante el Gobierno de los Estados Unidos y otras entidades en la capital federal.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La inclusión de la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Administración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dentro del marco normativo de la Ley 73-2019 ha representado un obstáculo operacional significativo para dicha entidad, limitando su capacidad para atender de forma ágil y eficiente los requerimientos logísticos y administrativos que conlleva su gestión en Washington D.C. Entre los principales retos se encuentran las restricciones en los procesos de contratación, los tiempos extendidos para realizar compras esenciales, y la falta de flexibilidad para operar en un entorno federal con requisitos particulares.</w:t>
      </w:r>
    </w:p>
    <w:p w14:paraId="32AB9BA1" w14:textId="77777777" w:rsidR="005A5C2E" w:rsidRDefault="005A5C2E" w:rsidP="002036D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D4D9CFB" w14:textId="512C7C5B" w:rsidR="005A5C2E" w:rsidRPr="009C2091" w:rsidRDefault="005A5C2E" w:rsidP="002036D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Además, la </w:t>
      </w:r>
      <w:r w:rsidRPr="004477B2">
        <w:rPr>
          <w:rFonts w:ascii="Book Antiqua" w:eastAsia="Book Antiqua" w:hAnsi="Book Antiqua" w:cs="Book Antiqua"/>
          <w:color w:val="000000" w:themeColor="text1"/>
          <w:lang w:val="es-PR"/>
        </w:rPr>
        <w:t>Administración de Asuntos Federales de Puerto Rico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opera fuera del territorio de Puerto Rico, lo cual introduce consideraciones únicas en términos de mercado, proveedores y dinámicas regulatorias. Someterla a un marco de compras centralizadas diseñado principalmente para entidades locales ha demostrado ser incompatible con su misión.</w:t>
      </w:r>
    </w:p>
    <w:p w14:paraId="6833FACA" w14:textId="77777777" w:rsidR="005A5C2E" w:rsidRDefault="005A5C2E" w:rsidP="002036D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58C3528" w14:textId="67835337" w:rsidR="005A5C2E" w:rsidRPr="003C6649" w:rsidRDefault="005A5C2E" w:rsidP="002036D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Esta </w:t>
      </w:r>
      <w:r w:rsidR="00D52096">
        <w:rPr>
          <w:rFonts w:ascii="Book Antiqua" w:eastAsia="Book Antiqua" w:hAnsi="Book Antiqua" w:cs="Book Antiqua"/>
          <w:color w:val="000000" w:themeColor="text1"/>
          <w:lang w:val="es-PR"/>
        </w:rPr>
        <w:t>Ley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reafirma el compromiso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de esta Administración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con una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política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pública eficiente, ágil y adaptada a las realidades operacionales de cada entidad. Al permitir que la </w:t>
      </w:r>
      <w:r w:rsidRPr="004477B2">
        <w:rPr>
          <w:rFonts w:ascii="Book Antiqua" w:eastAsia="Book Antiqua" w:hAnsi="Book Antiqua" w:cs="Book Antiqua"/>
          <w:color w:val="000000" w:themeColor="text1"/>
          <w:lang w:val="es-PR"/>
        </w:rPr>
        <w:t>Administración de Asuntos Federales de Puerto Rico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opere con mayor autonomía en sus procesos administrativos, se fortalece su capacidad de cumplir con su función estratégica de representación y defensa de los intereses de Puerto Rico ante el Gobierno federal.</w:t>
      </w:r>
    </w:p>
    <w:p w14:paraId="3994D1F1" w14:textId="77777777" w:rsidR="00A5416B" w:rsidRPr="00BE6A63" w:rsidRDefault="00A5416B" w:rsidP="002036D1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6D" w14:textId="77777777" w:rsidR="00FF2214" w:rsidRPr="00930E48" w:rsidRDefault="00850770" w:rsidP="002036D1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FF2214" w:rsidRPr="00930E48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930E48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06E03549" w14:textId="77777777" w:rsidR="005A5C2E" w:rsidRPr="00E6099F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bookmarkStart w:id="0" w:name="{20D8}"/>
      <w:bookmarkStart w:id="1" w:name="_Hlk189832381"/>
      <w:r w:rsidRPr="00525F1B">
        <w:rPr>
          <w:rFonts w:ascii="Book Antiqua" w:hAnsi="Book Antiqua"/>
          <w:color w:val="000000" w:themeColor="text1"/>
        </w:rPr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1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hAnsi="Book Antiqua"/>
          <w:color w:val="000000" w:themeColor="text1"/>
        </w:rPr>
        <w:t xml:space="preserve">Se </w:t>
      </w:r>
      <w:r>
        <w:rPr>
          <w:rFonts w:ascii="Book Antiqua" w:hAnsi="Book Antiqua"/>
          <w:color w:val="000000" w:themeColor="text1"/>
        </w:rPr>
        <w:t>enmienda el Artículo 4 de la Ley Núm. 77 de 19 de junio de 1979, según enmendada</w:t>
      </w:r>
      <w:r w:rsidRPr="00525F1B">
        <w:rPr>
          <w:rFonts w:ascii="Book Antiqua" w:hAnsi="Book Antiqua"/>
          <w:color w:val="000000" w:themeColor="text1"/>
        </w:rPr>
        <w:t xml:space="preserve">, </w:t>
      </w:r>
      <w:r>
        <w:rPr>
          <w:rFonts w:ascii="Book Antiqua" w:hAnsi="Book Antiqua"/>
          <w:color w:val="000000" w:themeColor="text1"/>
        </w:rPr>
        <w:t>para que se lea</w:t>
      </w:r>
      <w:r w:rsidRPr="00525F1B">
        <w:rPr>
          <w:rFonts w:ascii="Book Antiqua" w:hAnsi="Book Antiqua"/>
          <w:color w:val="000000" w:themeColor="text1"/>
        </w:rPr>
        <w:t xml:space="preserve"> como sigue: </w:t>
      </w:r>
    </w:p>
    <w:p w14:paraId="6268D422" w14:textId="77777777" w:rsidR="005A5C2E" w:rsidRPr="00E6099F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ES"/>
        </w:rPr>
      </w:pPr>
      <w:r w:rsidRPr="00E6099F">
        <w:rPr>
          <w:rFonts w:ascii="Book Antiqua" w:hAnsi="Book Antiqua"/>
          <w:color w:val="000000" w:themeColor="text1"/>
          <w:lang w:val="es-ES"/>
        </w:rPr>
        <w:t xml:space="preserve">“Artículo </w:t>
      </w:r>
      <w:r>
        <w:rPr>
          <w:rFonts w:ascii="Book Antiqua" w:hAnsi="Book Antiqua"/>
          <w:color w:val="000000" w:themeColor="text1"/>
          <w:lang w:val="es-ES"/>
        </w:rPr>
        <w:t>5</w:t>
      </w:r>
      <w:r w:rsidRPr="00E6099F">
        <w:rPr>
          <w:rFonts w:ascii="Book Antiqua" w:hAnsi="Book Antiqua"/>
          <w:color w:val="000000" w:themeColor="text1"/>
          <w:lang w:val="es-ES"/>
        </w:rPr>
        <w:t xml:space="preserve">. — </w:t>
      </w:r>
      <w:r>
        <w:rPr>
          <w:rFonts w:ascii="Book Antiqua" w:hAnsi="Book Antiqua"/>
          <w:color w:val="000000" w:themeColor="text1"/>
          <w:lang w:val="es-ES"/>
        </w:rPr>
        <w:t xml:space="preserve">Deberes, poderes y facultades generales del Director. </w:t>
      </w:r>
    </w:p>
    <w:p w14:paraId="6A9F1968" w14:textId="77777777" w:rsidR="005A5C2E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A566D5">
        <w:rPr>
          <w:rFonts w:ascii="Book Antiqua" w:hAnsi="Book Antiqua"/>
          <w:color w:val="000000" w:themeColor="text1"/>
        </w:rPr>
        <w:lastRenderedPageBreak/>
        <w:t>Serán deberes, poderes y facultades generales del Director, además de los que le son conferidos por esta ley o por otras leyes, los enumerados a continuación sin que dicha enumeración constituya una limitación</w:t>
      </w:r>
      <w:r w:rsidRPr="00583560">
        <w:rPr>
          <w:rFonts w:ascii="Book Antiqua" w:hAnsi="Book Antiqua"/>
          <w:color w:val="000000" w:themeColor="text1"/>
        </w:rPr>
        <w:t>:</w:t>
      </w:r>
    </w:p>
    <w:p w14:paraId="749E8AB0" w14:textId="77777777" w:rsidR="005A5C2E" w:rsidRDefault="005A5C2E" w:rsidP="005A5C2E">
      <w:pPr>
        <w:pStyle w:val="BodyText"/>
        <w:numPr>
          <w:ilvl w:val="0"/>
          <w:numId w:val="19"/>
        </w:numPr>
        <w:spacing w:line="480" w:lineRule="auto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…</w:t>
      </w:r>
    </w:p>
    <w:p w14:paraId="013B6EF6" w14:textId="77777777" w:rsidR="005A5C2E" w:rsidRDefault="005A5C2E" w:rsidP="005A5C2E">
      <w:pPr>
        <w:pStyle w:val="BodyText"/>
        <w:spacing w:line="480" w:lineRule="auto"/>
        <w:ind w:left="720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…</w:t>
      </w:r>
    </w:p>
    <w:p w14:paraId="601C91EE" w14:textId="77777777" w:rsidR="005A5C2E" w:rsidRPr="005928F7" w:rsidRDefault="005A5C2E" w:rsidP="005A5C2E">
      <w:pPr>
        <w:pStyle w:val="BodyText"/>
        <w:numPr>
          <w:ilvl w:val="0"/>
          <w:numId w:val="20"/>
        </w:numPr>
        <w:spacing w:line="480" w:lineRule="auto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 xml:space="preserve">vender, ceder en arrendamiento o de otro modo disponer de cualesquiera bienes muebles, inmuebles o mixtos, o de cualquier interés sobre los mismos,  </w:t>
      </w:r>
      <w:r w:rsidRPr="005928F7">
        <w:rPr>
          <w:rFonts w:ascii="Book Antiqua" w:hAnsi="Book Antiqua"/>
          <w:b/>
          <w:bCs/>
          <w:color w:val="000000" w:themeColor="text1"/>
        </w:rPr>
        <w:t>[sin sujeción a la Ley Núm. 164 del 23 de julio de 1974, según enmendada,]</w:t>
      </w:r>
      <w:r>
        <w:rPr>
          <w:rFonts w:ascii="Book Antiqua" w:hAnsi="Book Antiqua"/>
          <w:color w:val="000000" w:themeColor="text1"/>
        </w:rPr>
        <w:t xml:space="preserve"> </w:t>
      </w:r>
      <w:r w:rsidRPr="005928F7">
        <w:rPr>
          <w:rFonts w:ascii="Book Antiqua" w:hAnsi="Book Antiqua"/>
          <w:color w:val="000000" w:themeColor="text1"/>
        </w:rPr>
        <w:t>que no sean necesarios o convenientes para realizar las funciones de la Administración; y el producto de dicha venta, arrendamiento, u otra disposición se ingresará en la cuenta general de la Administración</w:t>
      </w:r>
      <w:r>
        <w:rPr>
          <w:rFonts w:ascii="Book Antiqua" w:hAnsi="Book Antiqua"/>
          <w:color w:val="000000" w:themeColor="text1"/>
        </w:rPr>
        <w:t>;</w:t>
      </w:r>
    </w:p>
    <w:p w14:paraId="43174B00" w14:textId="77777777" w:rsidR="005A5C2E" w:rsidRDefault="005A5C2E" w:rsidP="005A5C2E">
      <w:pPr>
        <w:pStyle w:val="BodyText"/>
        <w:spacing w:line="480" w:lineRule="auto"/>
        <w:ind w:left="720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…”</w:t>
      </w:r>
    </w:p>
    <w:p w14:paraId="6FA527BF" w14:textId="77777777" w:rsidR="005A5C2E" w:rsidRPr="00E6099F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2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hAnsi="Book Antiqua"/>
          <w:color w:val="000000" w:themeColor="text1"/>
        </w:rPr>
        <w:t xml:space="preserve">Se </w:t>
      </w:r>
      <w:r>
        <w:rPr>
          <w:rFonts w:ascii="Book Antiqua" w:hAnsi="Book Antiqua"/>
          <w:color w:val="000000" w:themeColor="text1"/>
        </w:rPr>
        <w:t>añade un nuevo Artículo 9 a la Ley Núm. 77 de 19 de junio de 1979, según enmendada</w:t>
      </w:r>
      <w:r w:rsidRPr="00525F1B">
        <w:rPr>
          <w:rFonts w:ascii="Book Antiqua" w:hAnsi="Book Antiqua"/>
          <w:color w:val="000000" w:themeColor="text1"/>
        </w:rPr>
        <w:t xml:space="preserve">, </w:t>
      </w:r>
      <w:r>
        <w:rPr>
          <w:rFonts w:ascii="Book Antiqua" w:hAnsi="Book Antiqua"/>
          <w:color w:val="000000" w:themeColor="text1"/>
        </w:rPr>
        <w:t>para que se lea</w:t>
      </w:r>
      <w:r w:rsidRPr="00525F1B">
        <w:rPr>
          <w:rFonts w:ascii="Book Antiqua" w:hAnsi="Book Antiqua"/>
          <w:color w:val="000000" w:themeColor="text1"/>
        </w:rPr>
        <w:t xml:space="preserve"> como sigue: </w:t>
      </w:r>
    </w:p>
    <w:p w14:paraId="2DF2C80B" w14:textId="77777777" w:rsidR="005A5C2E" w:rsidRPr="007A5D8B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i/>
          <w:iCs/>
          <w:color w:val="000000" w:themeColor="text1"/>
          <w:lang w:val="es-ES"/>
        </w:rPr>
      </w:pPr>
      <w:r w:rsidRPr="007A5D8B">
        <w:rPr>
          <w:rFonts w:ascii="Book Antiqua" w:hAnsi="Book Antiqua"/>
          <w:i/>
          <w:iCs/>
          <w:color w:val="000000" w:themeColor="text1"/>
          <w:lang w:val="es-ES"/>
        </w:rPr>
        <w:t xml:space="preserve">“Artículo 9. — Adquisición de bienes, obras y servicios. </w:t>
      </w:r>
    </w:p>
    <w:p w14:paraId="55F11900" w14:textId="77777777" w:rsidR="005A5C2E" w:rsidRPr="007A5D8B" w:rsidRDefault="005A5C2E" w:rsidP="005A5C2E">
      <w:pPr>
        <w:pStyle w:val="BodyText"/>
        <w:spacing w:line="480" w:lineRule="auto"/>
        <w:ind w:left="720" w:firstLine="720"/>
        <w:rPr>
          <w:rFonts w:ascii="Book Antiqua" w:hAnsi="Book Antiqua"/>
          <w:color w:val="000000" w:themeColor="text1"/>
        </w:rPr>
      </w:pPr>
      <w:r w:rsidRPr="00AA2217">
        <w:rPr>
          <w:rFonts w:ascii="Book Antiqua" w:hAnsi="Book Antiqua"/>
          <w:i/>
          <w:iCs/>
          <w:color w:val="000000" w:themeColor="text1"/>
        </w:rPr>
        <w:t xml:space="preserve">La Administración estará excluida de las disposiciones de la Ley 73-2019, según enmendada, conocida como “Ley de la Administración de Servicios Generales para la Centralización de las Compras del Gobierno de Puerto Rico de 2019”, o de cualquier legislación que la sustituya. </w:t>
      </w:r>
      <w:r w:rsidRPr="00F55C98">
        <w:rPr>
          <w:rFonts w:ascii="Book Antiqua" w:hAnsi="Book Antiqua"/>
          <w:i/>
          <w:iCs/>
          <w:color w:val="000000" w:themeColor="text1"/>
        </w:rPr>
        <w:t>La Administración establecerá procedimientos internos para la adquisición de bienes, obras y servicios mediante procesos de compras y subastas que garanticen la transparencia y el uso adecuado de los fondos públicos.</w:t>
      </w:r>
      <w:r>
        <w:rPr>
          <w:rFonts w:ascii="Book Antiqua" w:hAnsi="Book Antiqua"/>
          <w:i/>
          <w:iCs/>
          <w:color w:val="000000" w:themeColor="text1"/>
        </w:rPr>
        <w:t>”</w:t>
      </w:r>
    </w:p>
    <w:p w14:paraId="1D58E806" w14:textId="49AF8988" w:rsidR="005A5C2E" w:rsidRPr="00E6099F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lastRenderedPageBreak/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3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hAnsi="Book Antiqua"/>
          <w:color w:val="000000" w:themeColor="text1"/>
        </w:rPr>
        <w:t xml:space="preserve">Se </w:t>
      </w:r>
      <w:r>
        <w:rPr>
          <w:rFonts w:ascii="Book Antiqua" w:hAnsi="Book Antiqua"/>
          <w:color w:val="000000" w:themeColor="text1"/>
        </w:rPr>
        <w:t>reenumeran los actuales Artículos 9, 10 y 11, como 10, 11 y 12, respectivamente, de la Ley Núm. 77 de 19 de junio de 1979, según enmendada</w:t>
      </w:r>
      <w:r w:rsidRPr="00525F1B">
        <w:rPr>
          <w:rFonts w:ascii="Book Antiqua" w:hAnsi="Book Antiqua"/>
          <w:color w:val="000000" w:themeColor="text1"/>
        </w:rPr>
        <w:t xml:space="preserve">, </w:t>
      </w:r>
      <w:r>
        <w:rPr>
          <w:rFonts w:ascii="Book Antiqua" w:hAnsi="Book Antiqua"/>
          <w:color w:val="000000" w:themeColor="text1"/>
        </w:rPr>
        <w:t>para que se lea</w:t>
      </w:r>
      <w:r w:rsidRPr="00525F1B">
        <w:rPr>
          <w:rFonts w:ascii="Book Antiqua" w:hAnsi="Book Antiqua"/>
          <w:color w:val="000000" w:themeColor="text1"/>
        </w:rPr>
        <w:t xml:space="preserve"> como sigue: </w:t>
      </w:r>
    </w:p>
    <w:p w14:paraId="76C9EB8B" w14:textId="77777777" w:rsidR="005A5C2E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ES"/>
        </w:rPr>
      </w:pPr>
      <w:r w:rsidRPr="00670B6E">
        <w:rPr>
          <w:rFonts w:ascii="Book Antiqua" w:hAnsi="Book Antiqua"/>
          <w:color w:val="000000" w:themeColor="text1"/>
          <w:lang w:val="es-ES"/>
        </w:rPr>
        <w:t xml:space="preserve">“Artículo </w:t>
      </w:r>
      <w:r w:rsidRPr="0020459B">
        <w:rPr>
          <w:rFonts w:ascii="Book Antiqua" w:hAnsi="Book Antiqua"/>
          <w:i/>
          <w:iCs/>
          <w:color w:val="000000" w:themeColor="text1"/>
          <w:lang w:val="es-ES"/>
        </w:rPr>
        <w:t>1</w:t>
      </w:r>
      <w:r>
        <w:rPr>
          <w:rFonts w:ascii="Book Antiqua" w:hAnsi="Book Antiqua"/>
          <w:i/>
          <w:iCs/>
          <w:color w:val="000000" w:themeColor="text1"/>
          <w:lang w:val="es-ES"/>
        </w:rPr>
        <w:t>0</w:t>
      </w:r>
      <w:r>
        <w:rPr>
          <w:rFonts w:ascii="Book Antiqua" w:hAnsi="Book Antiqua"/>
          <w:b/>
          <w:bCs/>
          <w:color w:val="000000" w:themeColor="text1"/>
          <w:lang w:val="es-ES"/>
        </w:rPr>
        <w:t>[9]</w:t>
      </w:r>
      <w:r w:rsidRPr="00670B6E">
        <w:rPr>
          <w:rFonts w:ascii="Book Antiqua" w:hAnsi="Book Antiqua"/>
          <w:color w:val="000000" w:themeColor="text1"/>
          <w:lang w:val="es-ES"/>
        </w:rPr>
        <w:t xml:space="preserve">. </w:t>
      </w:r>
      <w:r>
        <w:rPr>
          <w:rFonts w:ascii="Book Antiqua" w:hAnsi="Book Antiqua"/>
          <w:color w:val="000000" w:themeColor="text1"/>
          <w:lang w:val="es-ES"/>
        </w:rPr>
        <w:tab/>
        <w:t>..</w:t>
      </w:r>
      <w:r w:rsidRPr="00670B6E">
        <w:rPr>
          <w:rFonts w:ascii="Book Antiqua" w:hAnsi="Book Antiqua"/>
          <w:color w:val="000000" w:themeColor="text1"/>
          <w:lang w:val="es-ES"/>
        </w:rPr>
        <w:t xml:space="preserve">. </w:t>
      </w:r>
    </w:p>
    <w:p w14:paraId="3B5E2AA2" w14:textId="77777777" w:rsidR="005A5C2E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ES"/>
        </w:rPr>
      </w:pPr>
      <w:r>
        <w:rPr>
          <w:rFonts w:ascii="Book Antiqua" w:hAnsi="Book Antiqua"/>
          <w:color w:val="000000" w:themeColor="text1"/>
          <w:lang w:val="es-ES"/>
        </w:rPr>
        <w:t xml:space="preserve">Articulo </w:t>
      </w:r>
      <w:r w:rsidRPr="003F764D">
        <w:rPr>
          <w:rFonts w:ascii="Book Antiqua" w:hAnsi="Book Antiqua"/>
          <w:i/>
          <w:iCs/>
          <w:color w:val="000000" w:themeColor="text1"/>
          <w:lang w:val="es-ES"/>
        </w:rPr>
        <w:t>11</w:t>
      </w:r>
      <w:r w:rsidRPr="003F764D">
        <w:rPr>
          <w:rFonts w:ascii="Book Antiqua" w:hAnsi="Book Antiqua"/>
          <w:b/>
          <w:bCs/>
          <w:color w:val="000000" w:themeColor="text1"/>
          <w:lang w:val="es-ES"/>
        </w:rPr>
        <w:t>[10]</w:t>
      </w:r>
      <w:r>
        <w:rPr>
          <w:rFonts w:ascii="Book Antiqua" w:hAnsi="Book Antiqua"/>
          <w:color w:val="000000" w:themeColor="text1"/>
          <w:lang w:val="es-ES"/>
        </w:rPr>
        <w:t>.</w:t>
      </w:r>
      <w:r>
        <w:rPr>
          <w:rFonts w:ascii="Book Antiqua" w:hAnsi="Book Antiqua"/>
          <w:color w:val="000000" w:themeColor="text1"/>
          <w:lang w:val="es-ES"/>
        </w:rPr>
        <w:tab/>
        <w:t>…</w:t>
      </w:r>
    </w:p>
    <w:p w14:paraId="26965B80" w14:textId="77777777" w:rsidR="005A5C2E" w:rsidRPr="00C03823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ES"/>
        </w:rPr>
      </w:pPr>
      <w:r>
        <w:rPr>
          <w:rFonts w:ascii="Book Antiqua" w:hAnsi="Book Antiqua"/>
          <w:color w:val="000000" w:themeColor="text1"/>
          <w:lang w:val="es-ES"/>
        </w:rPr>
        <w:t xml:space="preserve">Artículo </w:t>
      </w:r>
      <w:r w:rsidRPr="00AD183A">
        <w:rPr>
          <w:rFonts w:ascii="Book Antiqua" w:hAnsi="Book Antiqua"/>
          <w:i/>
          <w:iCs/>
          <w:color w:val="000000" w:themeColor="text1"/>
          <w:lang w:val="es-ES"/>
        </w:rPr>
        <w:t>12</w:t>
      </w:r>
      <w:r w:rsidRPr="00AD183A">
        <w:rPr>
          <w:rFonts w:ascii="Book Antiqua" w:hAnsi="Book Antiqua"/>
          <w:b/>
          <w:bCs/>
          <w:color w:val="000000" w:themeColor="text1"/>
          <w:lang w:val="es-ES"/>
        </w:rPr>
        <w:t>[11]</w:t>
      </w:r>
      <w:r>
        <w:rPr>
          <w:rFonts w:ascii="Book Antiqua" w:hAnsi="Book Antiqua"/>
          <w:color w:val="000000" w:themeColor="text1"/>
          <w:lang w:val="es-ES"/>
        </w:rPr>
        <w:t>.</w:t>
      </w:r>
      <w:r>
        <w:rPr>
          <w:rFonts w:ascii="Book Antiqua" w:hAnsi="Book Antiqua"/>
          <w:color w:val="000000" w:themeColor="text1"/>
          <w:lang w:val="es-ES"/>
        </w:rPr>
        <w:tab/>
        <w:t>…”</w:t>
      </w:r>
    </w:p>
    <w:p w14:paraId="7140FE63" w14:textId="77777777" w:rsidR="005A5C2E" w:rsidRPr="00525F1B" w:rsidRDefault="005A5C2E" w:rsidP="005A5C2E">
      <w:pPr>
        <w:pStyle w:val="BodyText"/>
        <w:spacing w:line="480" w:lineRule="auto"/>
        <w:ind w:firstLine="720"/>
        <w:rPr>
          <w:rFonts w:ascii="Book Antiqua" w:eastAsiaTheme="minorHAnsi" w:hAnsi="Book Antiqua" w:cs="Times"/>
          <w:bCs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4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eastAsiaTheme="minorHAnsi" w:hAnsi="Book Antiqua" w:cs="Times"/>
          <w:bCs/>
          <w:color w:val="000000" w:themeColor="text1"/>
        </w:rPr>
        <w:t xml:space="preserve">Derogación tácita. </w:t>
      </w:r>
    </w:p>
    <w:p w14:paraId="656C0157" w14:textId="77777777" w:rsidR="005A5C2E" w:rsidRPr="00525F1B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>Cualquier disposición de ley o reglamentación que sea incompatible con las disposiciones de esta Ley queda por la presente derogada hasta donde existiere tal incompatibilidad.</w:t>
      </w:r>
    </w:p>
    <w:p w14:paraId="7B7C5DAA" w14:textId="77777777" w:rsidR="005A5C2E" w:rsidRPr="00525F1B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5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hAnsi="Book Antiqua"/>
          <w:color w:val="000000" w:themeColor="text1"/>
        </w:rPr>
        <w:t>Separabilidad.</w:t>
      </w:r>
    </w:p>
    <w:p w14:paraId="6D2234A5" w14:textId="77777777" w:rsidR="005A5C2E" w:rsidRPr="00525F1B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 xml:space="preserve"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esta que así hubiere sido anulada o declarada inconstitucional. Si la aplicación a una persona o a una circunstancia de cualquier cláusula, párrafo, subpárrafo, oración palabra, letra, artículo, disposición, sección, subsección, título, capítulo, subcapítulo, acápite o parte de esta Ley fuera invalidada o declarada inconstitucional, la resolución, dictamen </w:t>
      </w:r>
      <w:r w:rsidRPr="00525F1B">
        <w:rPr>
          <w:rFonts w:ascii="Book Antiqua" w:hAnsi="Book Antiqua"/>
          <w:color w:val="000000" w:themeColor="text1"/>
        </w:rPr>
        <w:lastRenderedPageBreak/>
        <w:t>o sentencia a tal efecto dictada no afectará ni invalidará la aplicación del remanente de esta Ley a aquellas personas o circunstancias en las que se pueda aplicar válidamente.</w:t>
      </w:r>
    </w:p>
    <w:p w14:paraId="544AA1BD" w14:textId="77777777" w:rsidR="005A5C2E" w:rsidRPr="00525F1B" w:rsidRDefault="005A5C2E" w:rsidP="005A5C2E">
      <w:pPr>
        <w:pStyle w:val="BodyText"/>
        <w:spacing w:line="480" w:lineRule="auto"/>
        <w:ind w:firstLine="720"/>
        <w:rPr>
          <w:rFonts w:ascii="Book Antiqua" w:eastAsiaTheme="minorHAnsi" w:hAnsi="Book Antiqua" w:cs="Times"/>
          <w:bCs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6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eastAsiaTheme="minorHAnsi" w:hAnsi="Book Antiqua" w:cs="Times"/>
          <w:bCs/>
          <w:color w:val="000000" w:themeColor="text1"/>
        </w:rPr>
        <w:t>Vigencia.</w:t>
      </w:r>
    </w:p>
    <w:p w14:paraId="79550695" w14:textId="01C652B6" w:rsidR="00FF2214" w:rsidRPr="00BE6A63" w:rsidRDefault="005A5C2E" w:rsidP="005A5C2E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>Esta Ley entrará en vigor inmediatamente después de su aprobación</w:t>
      </w:r>
      <w:bookmarkEnd w:id="0"/>
      <w:bookmarkEnd w:id="1"/>
      <w:r w:rsidRPr="00525F1B">
        <w:rPr>
          <w:rFonts w:ascii="Book Antiqua" w:hAnsi="Book Antiqua"/>
          <w:color w:val="000000" w:themeColor="text1"/>
          <w:lang w:val="es-ES"/>
        </w:rPr>
        <w:t>.</w:t>
      </w:r>
    </w:p>
    <w:sectPr w:rsidR="00FF2214" w:rsidRPr="00BE6A63" w:rsidSect="00BE6A63">
      <w:footerReference w:type="default" r:id="rId12"/>
      <w:footerReference w:type="first" r:id="rId13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E2D5C" w14:textId="77777777" w:rsidR="00425710" w:rsidRDefault="00425710">
      <w:r>
        <w:separator/>
      </w:r>
    </w:p>
  </w:endnote>
  <w:endnote w:type="continuationSeparator" w:id="0">
    <w:p w14:paraId="79F099AB" w14:textId="77777777" w:rsidR="00425710" w:rsidRDefault="00425710">
      <w:r>
        <w:continuationSeparator/>
      </w:r>
    </w:p>
  </w:endnote>
  <w:endnote w:type="continuationNotice" w:id="1">
    <w:p w14:paraId="3B1D331F" w14:textId="77777777" w:rsidR="00425710" w:rsidRDefault="004257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36A08531-CB0A-4D11-904B-70386E7F70CA}"/>
    <w:embedBold r:id="rId2" w:fontKey="{B32725F1-8EB4-4FBF-8F4A-513C71C84F01}"/>
    <w:embedItalic r:id="rId3" w:fontKey="{0840FA2D-988F-4C3D-A2E4-00E5B0F0C24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8553FAC1-328B-401D-AE21-912E638E938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46CA1806-A571-49B1-9EFD-93EE55D81F8D}"/>
    <w:embedItalic r:id="rId6" w:fontKey="{3DECF71F-8756-4BF3-8B7F-7BE38DFEFD23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3CA75C9F-9E16-45FC-B337-EFF8B2842BDE}"/>
    <w:embedItalic r:id="rId8" w:fontKey="{3B484550-695F-4670-930E-419FA43F3DA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5F5DCD1A-1146-4E1C-8450-34AC8B81FC6E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Bold r:id="rId10" w:fontKey="{AE79AB39-6465-4458-B621-62D2C0AC0685}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1" w:fontKey="{BDE4DAAC-A723-4ED7-B854-A57F002647E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B4959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3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5F10AA53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399F4B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FA0D06A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7688059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1D6323BF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9CA4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2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04C48F7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5437FD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BF4BAD9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6B12425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3C06A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84359" w14:textId="77777777" w:rsidR="00425710" w:rsidRDefault="00425710">
      <w:r>
        <w:separator/>
      </w:r>
    </w:p>
  </w:footnote>
  <w:footnote w:type="continuationSeparator" w:id="0">
    <w:p w14:paraId="167421D6" w14:textId="77777777" w:rsidR="00425710" w:rsidRDefault="00425710">
      <w:r>
        <w:continuationSeparator/>
      </w:r>
    </w:p>
  </w:footnote>
  <w:footnote w:type="continuationNotice" w:id="1">
    <w:p w14:paraId="1AD15F26" w14:textId="77777777" w:rsidR="00425710" w:rsidRDefault="0042571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1" w14:textId="2FC555DC" w:rsidR="00FF2214" w:rsidRDefault="00850770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>A-0</w:t>
    </w:r>
    <w:r w:rsidR="00CC16C2">
      <w:rPr>
        <w:color w:val="000000"/>
      </w:rPr>
      <w:t>3</w:t>
    </w:r>
    <w:r w:rsidR="005A5C2E">
      <w:rPr>
        <w:color w:val="000000"/>
      </w:rPr>
      <w:t>4</w:t>
    </w:r>
  </w:p>
  <w:p w14:paraId="795506A2" w14:textId="77777777" w:rsidR="00FF2214" w:rsidRDefault="00850770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051407">
    <w:abstractNumId w:val="10"/>
  </w:num>
  <w:num w:numId="2" w16cid:durableId="1011832284">
    <w:abstractNumId w:val="4"/>
  </w:num>
  <w:num w:numId="3" w16cid:durableId="1943102285">
    <w:abstractNumId w:val="19"/>
  </w:num>
  <w:num w:numId="4" w16cid:durableId="1106316835">
    <w:abstractNumId w:val="15"/>
  </w:num>
  <w:num w:numId="5" w16cid:durableId="455106598">
    <w:abstractNumId w:val="13"/>
  </w:num>
  <w:num w:numId="6" w16cid:durableId="175340939">
    <w:abstractNumId w:val="1"/>
  </w:num>
  <w:num w:numId="7" w16cid:durableId="1854225982">
    <w:abstractNumId w:val="16"/>
  </w:num>
  <w:num w:numId="8" w16cid:durableId="1919754197">
    <w:abstractNumId w:val="0"/>
  </w:num>
  <w:num w:numId="9" w16cid:durableId="365562201">
    <w:abstractNumId w:val="3"/>
  </w:num>
  <w:num w:numId="10" w16cid:durableId="1904826230">
    <w:abstractNumId w:val="6"/>
  </w:num>
  <w:num w:numId="11" w16cid:durableId="118687224">
    <w:abstractNumId w:val="7"/>
  </w:num>
  <w:num w:numId="12" w16cid:durableId="508376565">
    <w:abstractNumId w:val="11"/>
  </w:num>
  <w:num w:numId="13" w16cid:durableId="216819222">
    <w:abstractNumId w:val="9"/>
  </w:num>
  <w:num w:numId="14" w16cid:durableId="517544549">
    <w:abstractNumId w:val="17"/>
  </w:num>
  <w:num w:numId="15" w16cid:durableId="478498451">
    <w:abstractNumId w:val="8"/>
  </w:num>
  <w:num w:numId="16" w16cid:durableId="46998239">
    <w:abstractNumId w:val="18"/>
  </w:num>
  <w:num w:numId="17" w16cid:durableId="275597364">
    <w:abstractNumId w:val="2"/>
  </w:num>
  <w:num w:numId="18" w16cid:durableId="1162702400">
    <w:abstractNumId w:val="5"/>
  </w:num>
  <w:num w:numId="19" w16cid:durableId="2055156664">
    <w:abstractNumId w:val="12"/>
  </w:num>
  <w:num w:numId="20" w16cid:durableId="11214619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793B"/>
    <w:rsid w:val="00022FC4"/>
    <w:rsid w:val="00027C66"/>
    <w:rsid w:val="00032F6A"/>
    <w:rsid w:val="00040CAA"/>
    <w:rsid w:val="000502AE"/>
    <w:rsid w:val="00056D71"/>
    <w:rsid w:val="00057EF4"/>
    <w:rsid w:val="0007036F"/>
    <w:rsid w:val="000741B3"/>
    <w:rsid w:val="0008657D"/>
    <w:rsid w:val="00091F49"/>
    <w:rsid w:val="00093558"/>
    <w:rsid w:val="00094484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2EB5"/>
    <w:rsid w:val="000D30A4"/>
    <w:rsid w:val="000E515E"/>
    <w:rsid w:val="000E6633"/>
    <w:rsid w:val="000F222B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50C87"/>
    <w:rsid w:val="00152B9A"/>
    <w:rsid w:val="00157BB5"/>
    <w:rsid w:val="001613A5"/>
    <w:rsid w:val="00164E97"/>
    <w:rsid w:val="001677A8"/>
    <w:rsid w:val="0017795B"/>
    <w:rsid w:val="00185EA9"/>
    <w:rsid w:val="00191362"/>
    <w:rsid w:val="00194A5E"/>
    <w:rsid w:val="00194D59"/>
    <w:rsid w:val="0019674C"/>
    <w:rsid w:val="001969E8"/>
    <w:rsid w:val="001A1EA2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036D1"/>
    <w:rsid w:val="0021009A"/>
    <w:rsid w:val="002121D5"/>
    <w:rsid w:val="002138BE"/>
    <w:rsid w:val="00230215"/>
    <w:rsid w:val="002304C5"/>
    <w:rsid w:val="002318F0"/>
    <w:rsid w:val="00231C2C"/>
    <w:rsid w:val="0023393F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A4F"/>
    <w:rsid w:val="002A0542"/>
    <w:rsid w:val="002A1D65"/>
    <w:rsid w:val="002A23EE"/>
    <w:rsid w:val="002A4F4F"/>
    <w:rsid w:val="002B2FBB"/>
    <w:rsid w:val="002B5618"/>
    <w:rsid w:val="002B62EE"/>
    <w:rsid w:val="002B7906"/>
    <w:rsid w:val="002C1726"/>
    <w:rsid w:val="002C1B35"/>
    <w:rsid w:val="002D6159"/>
    <w:rsid w:val="002F21CF"/>
    <w:rsid w:val="002F48BA"/>
    <w:rsid w:val="002F5B16"/>
    <w:rsid w:val="00302F90"/>
    <w:rsid w:val="0030308D"/>
    <w:rsid w:val="00310FDD"/>
    <w:rsid w:val="0031323F"/>
    <w:rsid w:val="00313C97"/>
    <w:rsid w:val="00314E6B"/>
    <w:rsid w:val="00321AB7"/>
    <w:rsid w:val="0032794E"/>
    <w:rsid w:val="00332E7A"/>
    <w:rsid w:val="00343CBC"/>
    <w:rsid w:val="0034626A"/>
    <w:rsid w:val="00346582"/>
    <w:rsid w:val="003524D5"/>
    <w:rsid w:val="00356264"/>
    <w:rsid w:val="00356E97"/>
    <w:rsid w:val="00365FFA"/>
    <w:rsid w:val="00371D68"/>
    <w:rsid w:val="00372E7F"/>
    <w:rsid w:val="0037751A"/>
    <w:rsid w:val="00381E1D"/>
    <w:rsid w:val="00391B13"/>
    <w:rsid w:val="003A2100"/>
    <w:rsid w:val="003B17EE"/>
    <w:rsid w:val="003B2357"/>
    <w:rsid w:val="003B6F6C"/>
    <w:rsid w:val="003C79D6"/>
    <w:rsid w:val="003D3B08"/>
    <w:rsid w:val="003D42BF"/>
    <w:rsid w:val="003D4499"/>
    <w:rsid w:val="003E0CF2"/>
    <w:rsid w:val="003E2D11"/>
    <w:rsid w:val="003E30F3"/>
    <w:rsid w:val="003F18AA"/>
    <w:rsid w:val="003F352A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7135"/>
    <w:rsid w:val="00437DC4"/>
    <w:rsid w:val="004403A8"/>
    <w:rsid w:val="00444257"/>
    <w:rsid w:val="00452649"/>
    <w:rsid w:val="00461FBD"/>
    <w:rsid w:val="00462353"/>
    <w:rsid w:val="00462BEA"/>
    <w:rsid w:val="00465256"/>
    <w:rsid w:val="004674AD"/>
    <w:rsid w:val="0048210C"/>
    <w:rsid w:val="0049425A"/>
    <w:rsid w:val="004A0EAF"/>
    <w:rsid w:val="004A5974"/>
    <w:rsid w:val="004A63FB"/>
    <w:rsid w:val="004A763E"/>
    <w:rsid w:val="004B290C"/>
    <w:rsid w:val="004B357F"/>
    <w:rsid w:val="004C411D"/>
    <w:rsid w:val="004C41AE"/>
    <w:rsid w:val="004C6236"/>
    <w:rsid w:val="004D03F5"/>
    <w:rsid w:val="004D0CDB"/>
    <w:rsid w:val="004D7071"/>
    <w:rsid w:val="004E04A9"/>
    <w:rsid w:val="004E6136"/>
    <w:rsid w:val="004F6B8B"/>
    <w:rsid w:val="005003F6"/>
    <w:rsid w:val="00502B14"/>
    <w:rsid w:val="00503836"/>
    <w:rsid w:val="00503C13"/>
    <w:rsid w:val="00504742"/>
    <w:rsid w:val="00506CA0"/>
    <w:rsid w:val="00511693"/>
    <w:rsid w:val="00521CE8"/>
    <w:rsid w:val="005229AD"/>
    <w:rsid w:val="00524FBA"/>
    <w:rsid w:val="00526AC9"/>
    <w:rsid w:val="00527B13"/>
    <w:rsid w:val="00534596"/>
    <w:rsid w:val="005427F8"/>
    <w:rsid w:val="00543529"/>
    <w:rsid w:val="00546040"/>
    <w:rsid w:val="00552C7A"/>
    <w:rsid w:val="00556C43"/>
    <w:rsid w:val="005640D7"/>
    <w:rsid w:val="0056577A"/>
    <w:rsid w:val="00573345"/>
    <w:rsid w:val="0057336F"/>
    <w:rsid w:val="00573C36"/>
    <w:rsid w:val="0057614A"/>
    <w:rsid w:val="00576725"/>
    <w:rsid w:val="00580739"/>
    <w:rsid w:val="00591957"/>
    <w:rsid w:val="005A3527"/>
    <w:rsid w:val="005A5C2E"/>
    <w:rsid w:val="005B3512"/>
    <w:rsid w:val="005B3BBD"/>
    <w:rsid w:val="005C3826"/>
    <w:rsid w:val="005C3AFC"/>
    <w:rsid w:val="005C7524"/>
    <w:rsid w:val="005D3EB3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60246B"/>
    <w:rsid w:val="00604DA6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3D06"/>
    <w:rsid w:val="00670249"/>
    <w:rsid w:val="00670CA7"/>
    <w:rsid w:val="0068065A"/>
    <w:rsid w:val="006819FE"/>
    <w:rsid w:val="00694E17"/>
    <w:rsid w:val="006A1488"/>
    <w:rsid w:val="006B17C2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6D54"/>
    <w:rsid w:val="006F7FEA"/>
    <w:rsid w:val="00702DBD"/>
    <w:rsid w:val="007164D0"/>
    <w:rsid w:val="007167E7"/>
    <w:rsid w:val="007255E2"/>
    <w:rsid w:val="00725A20"/>
    <w:rsid w:val="00730772"/>
    <w:rsid w:val="00731270"/>
    <w:rsid w:val="0073352B"/>
    <w:rsid w:val="00736EAA"/>
    <w:rsid w:val="00740BAC"/>
    <w:rsid w:val="00753E10"/>
    <w:rsid w:val="00755AEC"/>
    <w:rsid w:val="00755DDC"/>
    <w:rsid w:val="00760792"/>
    <w:rsid w:val="0077017C"/>
    <w:rsid w:val="00773ABA"/>
    <w:rsid w:val="0078017D"/>
    <w:rsid w:val="00781480"/>
    <w:rsid w:val="00791FA9"/>
    <w:rsid w:val="00795BD6"/>
    <w:rsid w:val="007A346E"/>
    <w:rsid w:val="007A4745"/>
    <w:rsid w:val="007A5875"/>
    <w:rsid w:val="007B090C"/>
    <w:rsid w:val="007C7157"/>
    <w:rsid w:val="007D76E0"/>
    <w:rsid w:val="007E368D"/>
    <w:rsid w:val="00804D98"/>
    <w:rsid w:val="00805B64"/>
    <w:rsid w:val="00807CED"/>
    <w:rsid w:val="00812840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74AE"/>
    <w:rsid w:val="008670BC"/>
    <w:rsid w:val="008863D7"/>
    <w:rsid w:val="0089008A"/>
    <w:rsid w:val="00890C4D"/>
    <w:rsid w:val="00891773"/>
    <w:rsid w:val="008925BB"/>
    <w:rsid w:val="008A1F5E"/>
    <w:rsid w:val="008A5641"/>
    <w:rsid w:val="008B3680"/>
    <w:rsid w:val="008C0934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61B2"/>
    <w:rsid w:val="009063F6"/>
    <w:rsid w:val="00910CF1"/>
    <w:rsid w:val="00916051"/>
    <w:rsid w:val="0091725F"/>
    <w:rsid w:val="00922818"/>
    <w:rsid w:val="00930E48"/>
    <w:rsid w:val="00931EBD"/>
    <w:rsid w:val="0093314A"/>
    <w:rsid w:val="0093744C"/>
    <w:rsid w:val="00942E06"/>
    <w:rsid w:val="00950505"/>
    <w:rsid w:val="00950A46"/>
    <w:rsid w:val="00952875"/>
    <w:rsid w:val="00954675"/>
    <w:rsid w:val="00962C3E"/>
    <w:rsid w:val="00963E17"/>
    <w:rsid w:val="00965195"/>
    <w:rsid w:val="00970540"/>
    <w:rsid w:val="00971D18"/>
    <w:rsid w:val="009833D3"/>
    <w:rsid w:val="009927E5"/>
    <w:rsid w:val="009A0ED5"/>
    <w:rsid w:val="009B47BF"/>
    <w:rsid w:val="009D1C75"/>
    <w:rsid w:val="009D5726"/>
    <w:rsid w:val="009D61E3"/>
    <w:rsid w:val="009D7450"/>
    <w:rsid w:val="009D79EC"/>
    <w:rsid w:val="009E36AA"/>
    <w:rsid w:val="009F15AE"/>
    <w:rsid w:val="009F3C51"/>
    <w:rsid w:val="00A02203"/>
    <w:rsid w:val="00A04577"/>
    <w:rsid w:val="00A11BAB"/>
    <w:rsid w:val="00A1720E"/>
    <w:rsid w:val="00A22039"/>
    <w:rsid w:val="00A23051"/>
    <w:rsid w:val="00A23CBE"/>
    <w:rsid w:val="00A26252"/>
    <w:rsid w:val="00A26489"/>
    <w:rsid w:val="00A30925"/>
    <w:rsid w:val="00A3392B"/>
    <w:rsid w:val="00A41F69"/>
    <w:rsid w:val="00A44362"/>
    <w:rsid w:val="00A47378"/>
    <w:rsid w:val="00A47BDC"/>
    <w:rsid w:val="00A5201B"/>
    <w:rsid w:val="00A52322"/>
    <w:rsid w:val="00A52F9B"/>
    <w:rsid w:val="00A5416B"/>
    <w:rsid w:val="00A62528"/>
    <w:rsid w:val="00A67A3A"/>
    <w:rsid w:val="00A770A7"/>
    <w:rsid w:val="00A7759E"/>
    <w:rsid w:val="00A8093F"/>
    <w:rsid w:val="00A860DC"/>
    <w:rsid w:val="00A92D34"/>
    <w:rsid w:val="00A94A37"/>
    <w:rsid w:val="00A9567F"/>
    <w:rsid w:val="00AA1BAB"/>
    <w:rsid w:val="00AB417C"/>
    <w:rsid w:val="00AB6B2F"/>
    <w:rsid w:val="00AC7A4D"/>
    <w:rsid w:val="00AD173C"/>
    <w:rsid w:val="00AD1CE3"/>
    <w:rsid w:val="00AD2586"/>
    <w:rsid w:val="00AD3CF8"/>
    <w:rsid w:val="00AD473B"/>
    <w:rsid w:val="00AD4C7D"/>
    <w:rsid w:val="00AE1FE1"/>
    <w:rsid w:val="00AF19DC"/>
    <w:rsid w:val="00AF26DE"/>
    <w:rsid w:val="00B00227"/>
    <w:rsid w:val="00B01686"/>
    <w:rsid w:val="00B02CD9"/>
    <w:rsid w:val="00B03F2F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34B9F"/>
    <w:rsid w:val="00B41851"/>
    <w:rsid w:val="00B51DBD"/>
    <w:rsid w:val="00B5375E"/>
    <w:rsid w:val="00B54199"/>
    <w:rsid w:val="00B57F92"/>
    <w:rsid w:val="00B60014"/>
    <w:rsid w:val="00B70B63"/>
    <w:rsid w:val="00B72A6A"/>
    <w:rsid w:val="00B74EC0"/>
    <w:rsid w:val="00B81E44"/>
    <w:rsid w:val="00B84666"/>
    <w:rsid w:val="00B84B1D"/>
    <w:rsid w:val="00B87A1C"/>
    <w:rsid w:val="00B87D3C"/>
    <w:rsid w:val="00B950B6"/>
    <w:rsid w:val="00BA3CB8"/>
    <w:rsid w:val="00BA70CD"/>
    <w:rsid w:val="00BB3314"/>
    <w:rsid w:val="00BB3C4F"/>
    <w:rsid w:val="00BB48CC"/>
    <w:rsid w:val="00BB4F4D"/>
    <w:rsid w:val="00BC1AD6"/>
    <w:rsid w:val="00BD11DE"/>
    <w:rsid w:val="00BD4F99"/>
    <w:rsid w:val="00BE4BBF"/>
    <w:rsid w:val="00BE55AC"/>
    <w:rsid w:val="00BE6A63"/>
    <w:rsid w:val="00BE7D02"/>
    <w:rsid w:val="00BF5A14"/>
    <w:rsid w:val="00BF5DE6"/>
    <w:rsid w:val="00C004A4"/>
    <w:rsid w:val="00C05E49"/>
    <w:rsid w:val="00C05E9D"/>
    <w:rsid w:val="00C13DC9"/>
    <w:rsid w:val="00C25487"/>
    <w:rsid w:val="00C32AB8"/>
    <w:rsid w:val="00C32AF1"/>
    <w:rsid w:val="00C33CEB"/>
    <w:rsid w:val="00C361CD"/>
    <w:rsid w:val="00C57448"/>
    <w:rsid w:val="00C635EB"/>
    <w:rsid w:val="00C71782"/>
    <w:rsid w:val="00C8076C"/>
    <w:rsid w:val="00C87975"/>
    <w:rsid w:val="00C90DA0"/>
    <w:rsid w:val="00C93262"/>
    <w:rsid w:val="00C95F7C"/>
    <w:rsid w:val="00C97C1A"/>
    <w:rsid w:val="00CA38D8"/>
    <w:rsid w:val="00CA3F74"/>
    <w:rsid w:val="00CA5BDF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36C8"/>
    <w:rsid w:val="00CF3010"/>
    <w:rsid w:val="00CF4242"/>
    <w:rsid w:val="00CF70FE"/>
    <w:rsid w:val="00D007A5"/>
    <w:rsid w:val="00D00EE1"/>
    <w:rsid w:val="00D21E5F"/>
    <w:rsid w:val="00D24065"/>
    <w:rsid w:val="00D312C4"/>
    <w:rsid w:val="00D42696"/>
    <w:rsid w:val="00D43E19"/>
    <w:rsid w:val="00D50765"/>
    <w:rsid w:val="00D50CD3"/>
    <w:rsid w:val="00D52096"/>
    <w:rsid w:val="00D84992"/>
    <w:rsid w:val="00D937E3"/>
    <w:rsid w:val="00D938F9"/>
    <w:rsid w:val="00D95879"/>
    <w:rsid w:val="00D962FB"/>
    <w:rsid w:val="00DA5EB9"/>
    <w:rsid w:val="00DD225A"/>
    <w:rsid w:val="00DD4EC2"/>
    <w:rsid w:val="00DD633A"/>
    <w:rsid w:val="00DE4C0D"/>
    <w:rsid w:val="00DF4DB8"/>
    <w:rsid w:val="00DF5718"/>
    <w:rsid w:val="00DF5E51"/>
    <w:rsid w:val="00E03053"/>
    <w:rsid w:val="00E05064"/>
    <w:rsid w:val="00E138E0"/>
    <w:rsid w:val="00E142DA"/>
    <w:rsid w:val="00E22AE3"/>
    <w:rsid w:val="00E22CE1"/>
    <w:rsid w:val="00E2741C"/>
    <w:rsid w:val="00E30811"/>
    <w:rsid w:val="00E31356"/>
    <w:rsid w:val="00E43A92"/>
    <w:rsid w:val="00E45E9B"/>
    <w:rsid w:val="00E64141"/>
    <w:rsid w:val="00E65583"/>
    <w:rsid w:val="00E67017"/>
    <w:rsid w:val="00E673B7"/>
    <w:rsid w:val="00E73B27"/>
    <w:rsid w:val="00E75D0B"/>
    <w:rsid w:val="00E83E85"/>
    <w:rsid w:val="00E8449E"/>
    <w:rsid w:val="00E87812"/>
    <w:rsid w:val="00E90225"/>
    <w:rsid w:val="00E93811"/>
    <w:rsid w:val="00E97260"/>
    <w:rsid w:val="00EA3595"/>
    <w:rsid w:val="00EA5801"/>
    <w:rsid w:val="00EA6377"/>
    <w:rsid w:val="00EB087E"/>
    <w:rsid w:val="00EB506F"/>
    <w:rsid w:val="00EC2169"/>
    <w:rsid w:val="00EC31D3"/>
    <w:rsid w:val="00EC69F6"/>
    <w:rsid w:val="00ED3996"/>
    <w:rsid w:val="00ED3D87"/>
    <w:rsid w:val="00ED5A58"/>
    <w:rsid w:val="00EE009B"/>
    <w:rsid w:val="00EF2711"/>
    <w:rsid w:val="00EF2D8D"/>
    <w:rsid w:val="00F026C9"/>
    <w:rsid w:val="00F16B71"/>
    <w:rsid w:val="00F245C1"/>
    <w:rsid w:val="00F27415"/>
    <w:rsid w:val="00F3308A"/>
    <w:rsid w:val="00F36138"/>
    <w:rsid w:val="00F42967"/>
    <w:rsid w:val="00F519A3"/>
    <w:rsid w:val="00F55BC6"/>
    <w:rsid w:val="00F571EB"/>
    <w:rsid w:val="00F65464"/>
    <w:rsid w:val="00F70223"/>
    <w:rsid w:val="00F70BEF"/>
    <w:rsid w:val="00F70D38"/>
    <w:rsid w:val="00F739FE"/>
    <w:rsid w:val="00F858BD"/>
    <w:rsid w:val="00FA0CB1"/>
    <w:rsid w:val="00FA11F4"/>
    <w:rsid w:val="00FB470E"/>
    <w:rsid w:val="00FB77D5"/>
    <w:rsid w:val="00FD065B"/>
    <w:rsid w:val="00FD093E"/>
    <w:rsid w:val="00FE2D53"/>
    <w:rsid w:val="00FF2214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1088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Gladys J. Burgos Torres</cp:lastModifiedBy>
  <cp:revision>4</cp:revision>
  <cp:lastPrinted>2025-03-27T20:08:00Z</cp:lastPrinted>
  <dcterms:created xsi:type="dcterms:W3CDTF">2025-03-28T18:50:00Z</dcterms:created>
  <dcterms:modified xsi:type="dcterms:W3CDTF">2025-03-31T13:41:00Z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