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08101E"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08101E">
        <w:rPr>
          <w:rFonts w:ascii="Book Antiqua" w:hAnsi="Book Antiqua"/>
          <w:sz w:val="28"/>
          <w:szCs w:val="28"/>
          <w:lang w:val="es-ES"/>
        </w:rPr>
        <w:t>GOBIERNO DE PUERTO RICO</w:t>
      </w:r>
    </w:p>
    <w:p w14:paraId="24353140" w14:textId="77777777" w:rsidR="007535BB" w:rsidRPr="0008101E"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08101E" w14:paraId="4DE77E24" w14:textId="77777777" w:rsidTr="00D95836">
        <w:trPr>
          <w:trHeight w:val="900"/>
        </w:trPr>
        <w:tc>
          <w:tcPr>
            <w:tcW w:w="3170" w:type="dxa"/>
          </w:tcPr>
          <w:p w14:paraId="27AF3912" w14:textId="77777777" w:rsidR="007535BB" w:rsidRPr="0008101E" w:rsidRDefault="007535BB" w:rsidP="00D95836">
            <w:pPr>
              <w:rPr>
                <w:rFonts w:ascii="Book Antiqua" w:hAnsi="Book Antiqua"/>
                <w:lang w:val="es-ES"/>
              </w:rPr>
            </w:pPr>
            <w:r w:rsidRPr="0008101E">
              <w:rPr>
                <w:rFonts w:ascii="Book Antiqua" w:hAnsi="Book Antiqua"/>
                <w:lang w:val="es-ES"/>
              </w:rPr>
              <w:t>20</w:t>
            </w:r>
            <w:r w:rsidRPr="0008101E">
              <w:rPr>
                <w:rFonts w:ascii="Book Antiqua" w:hAnsi="Book Antiqua"/>
                <w:vertAlign w:val="superscript"/>
                <w:lang w:val="es-ES"/>
              </w:rPr>
              <w:t>ma.</w:t>
            </w:r>
            <w:r w:rsidRPr="0008101E">
              <w:rPr>
                <w:rFonts w:ascii="Book Antiqua" w:hAnsi="Book Antiqua"/>
                <w:lang w:val="es-ES"/>
              </w:rPr>
              <w:tab/>
              <w:t>Asamblea</w:t>
            </w:r>
          </w:p>
          <w:p w14:paraId="082D32B2" w14:textId="77777777" w:rsidR="007535BB" w:rsidRPr="0008101E" w:rsidRDefault="007535BB" w:rsidP="00D95836">
            <w:pPr>
              <w:rPr>
                <w:rFonts w:ascii="Book Antiqua" w:hAnsi="Book Antiqua"/>
                <w:sz w:val="36"/>
                <w:lang w:val="es-ES"/>
              </w:rPr>
            </w:pPr>
            <w:r w:rsidRPr="0008101E">
              <w:rPr>
                <w:rFonts w:ascii="Book Antiqua" w:hAnsi="Book Antiqua"/>
                <w:lang w:val="es-ES"/>
              </w:rPr>
              <w:t xml:space="preserve">         </w:t>
            </w:r>
            <w:r w:rsidRPr="0008101E">
              <w:rPr>
                <w:rFonts w:ascii="Book Antiqua" w:hAnsi="Book Antiqua"/>
                <w:lang w:val="es-ES"/>
              </w:rPr>
              <w:tab/>
              <w:t xml:space="preserve">Legislativa                                                                                                          </w:t>
            </w:r>
          </w:p>
        </w:tc>
        <w:tc>
          <w:tcPr>
            <w:tcW w:w="3171" w:type="dxa"/>
          </w:tcPr>
          <w:p w14:paraId="48FE9142" w14:textId="77777777" w:rsidR="007535BB" w:rsidRPr="0008101E" w:rsidRDefault="007535BB" w:rsidP="00D95836">
            <w:pPr>
              <w:jc w:val="center"/>
              <w:rPr>
                <w:rFonts w:ascii="Book Antiqua" w:hAnsi="Book Antiqua"/>
                <w:sz w:val="36"/>
                <w:lang w:val="es-ES"/>
              </w:rPr>
            </w:pPr>
          </w:p>
        </w:tc>
        <w:tc>
          <w:tcPr>
            <w:tcW w:w="3268" w:type="dxa"/>
          </w:tcPr>
          <w:p w14:paraId="69176C76" w14:textId="2F06252B" w:rsidR="007535BB" w:rsidRPr="0008101E" w:rsidRDefault="007535BB" w:rsidP="00D95836">
            <w:pPr>
              <w:rPr>
                <w:rFonts w:ascii="Book Antiqua" w:hAnsi="Book Antiqua"/>
                <w:lang w:val="es-ES"/>
              </w:rPr>
            </w:pPr>
            <w:r w:rsidRPr="0008101E">
              <w:rPr>
                <w:rFonts w:ascii="Book Antiqua" w:hAnsi="Book Antiqua"/>
                <w:lang w:val="es-ES"/>
              </w:rPr>
              <w:tab/>
            </w:r>
            <w:r w:rsidR="00E17E3B" w:rsidRPr="0008101E">
              <w:rPr>
                <w:rFonts w:ascii="Book Antiqua" w:hAnsi="Book Antiqua"/>
                <w:lang w:val="es-ES"/>
              </w:rPr>
              <w:t>2</w:t>
            </w:r>
            <w:r w:rsidR="00E17E3B" w:rsidRPr="0008101E">
              <w:rPr>
                <w:rFonts w:ascii="Book Antiqua" w:hAnsi="Book Antiqua"/>
                <w:vertAlign w:val="superscript"/>
                <w:lang w:val="es-ES"/>
              </w:rPr>
              <w:t>d</w:t>
            </w:r>
            <w:r w:rsidRPr="0008101E">
              <w:rPr>
                <w:rFonts w:ascii="Book Antiqua" w:hAnsi="Book Antiqua"/>
                <w:vertAlign w:val="superscript"/>
                <w:lang w:val="es-ES"/>
              </w:rPr>
              <w:t>a.</w:t>
            </w:r>
            <w:r w:rsidRPr="0008101E">
              <w:rPr>
                <w:rFonts w:ascii="Book Antiqua" w:hAnsi="Book Antiqua"/>
                <w:lang w:val="es-ES"/>
              </w:rPr>
              <w:t xml:space="preserve"> Sesión</w:t>
            </w:r>
          </w:p>
          <w:p w14:paraId="42A8E2C1" w14:textId="6033C9E1" w:rsidR="007535BB" w:rsidRPr="0008101E" w:rsidRDefault="007535BB" w:rsidP="00D95836">
            <w:pPr>
              <w:rPr>
                <w:rFonts w:ascii="Book Antiqua" w:hAnsi="Book Antiqua"/>
                <w:lang w:val="es-ES"/>
              </w:rPr>
            </w:pPr>
            <w:r w:rsidRPr="0008101E">
              <w:rPr>
                <w:rFonts w:ascii="Book Antiqua" w:hAnsi="Book Antiqua"/>
                <w:lang w:val="es-ES"/>
              </w:rPr>
              <w:tab/>
              <w:t xml:space="preserve">      Ordinaria</w:t>
            </w:r>
          </w:p>
          <w:p w14:paraId="640FD190" w14:textId="77777777" w:rsidR="007535BB" w:rsidRPr="0008101E" w:rsidRDefault="007535BB" w:rsidP="00D95836">
            <w:pPr>
              <w:jc w:val="center"/>
              <w:rPr>
                <w:rFonts w:ascii="Book Antiqua" w:hAnsi="Book Antiqua"/>
                <w:sz w:val="36"/>
                <w:lang w:val="es-ES"/>
              </w:rPr>
            </w:pPr>
          </w:p>
        </w:tc>
      </w:tr>
    </w:tbl>
    <w:bookmarkEnd w:id="0"/>
    <w:p w14:paraId="44DF1C72" w14:textId="77777777" w:rsidR="007535BB" w:rsidRPr="0008101E" w:rsidRDefault="007535BB" w:rsidP="0027212A">
      <w:pPr>
        <w:spacing w:line="360" w:lineRule="auto"/>
        <w:jc w:val="center"/>
        <w:rPr>
          <w:rFonts w:ascii="Book Antiqua" w:hAnsi="Book Antiqua"/>
          <w:b/>
          <w:sz w:val="36"/>
          <w:lang w:val="es-ES"/>
        </w:rPr>
      </w:pPr>
      <w:r w:rsidRPr="0008101E">
        <w:rPr>
          <w:rFonts w:ascii="Book Antiqua" w:hAnsi="Book Antiqua"/>
          <w:b/>
          <w:sz w:val="36"/>
          <w:lang w:val="es-ES"/>
        </w:rPr>
        <w:t>SENADO DE PUERTO RICO</w:t>
      </w:r>
      <w:bookmarkEnd w:id="1"/>
    </w:p>
    <w:p w14:paraId="3E53146F" w14:textId="7569159B" w:rsidR="007535BB" w:rsidRPr="0008101E" w:rsidRDefault="007535BB" w:rsidP="0027212A">
      <w:pPr>
        <w:spacing w:line="360" w:lineRule="auto"/>
        <w:jc w:val="center"/>
        <w:rPr>
          <w:rFonts w:ascii="Book Antiqua" w:hAnsi="Book Antiqua"/>
          <w:b/>
          <w:sz w:val="52"/>
          <w:lang w:val="es-ES"/>
        </w:rPr>
      </w:pPr>
      <w:r w:rsidRPr="0008101E">
        <w:rPr>
          <w:rFonts w:ascii="Book Antiqua" w:hAnsi="Book Antiqua"/>
          <w:b/>
          <w:sz w:val="52"/>
          <w:lang w:val="es-ES"/>
        </w:rPr>
        <w:t xml:space="preserve">P. del S. </w:t>
      </w:r>
      <w:r w:rsidR="002614B0" w:rsidRPr="0008101E">
        <w:rPr>
          <w:rFonts w:ascii="Book Antiqua" w:hAnsi="Book Antiqua"/>
          <w:b/>
          <w:sz w:val="52"/>
          <w:lang w:val="es-ES"/>
        </w:rPr>
        <w:t>436</w:t>
      </w:r>
    </w:p>
    <w:p w14:paraId="1443CA0F" w14:textId="283C2D20" w:rsidR="007535BB" w:rsidRPr="0008101E" w:rsidRDefault="007535BB" w:rsidP="0027212A">
      <w:pPr>
        <w:spacing w:line="360" w:lineRule="auto"/>
        <w:jc w:val="center"/>
        <w:rPr>
          <w:rFonts w:ascii="Book Antiqua" w:hAnsi="Book Antiqua"/>
          <w:b/>
          <w:bCs/>
          <w:lang w:val="es-ES"/>
        </w:rPr>
      </w:pPr>
      <w:r w:rsidRPr="0008101E">
        <w:rPr>
          <w:rFonts w:ascii="Book Antiqua" w:hAnsi="Book Antiqua"/>
          <w:b/>
          <w:bCs/>
          <w:lang w:val="es-ES"/>
        </w:rPr>
        <w:t xml:space="preserve"> </w:t>
      </w:r>
      <w:bookmarkStart w:id="3" w:name="_Hlk183037684"/>
      <w:r w:rsidR="001B5218" w:rsidRPr="0008101E">
        <w:rPr>
          <w:rFonts w:ascii="Book Antiqua" w:hAnsi="Book Antiqua"/>
          <w:b/>
          <w:bCs/>
          <w:sz w:val="28"/>
          <w:szCs w:val="22"/>
          <w:lang w:val="es-ES"/>
        </w:rPr>
        <w:t>INFORME POSITIVO</w:t>
      </w:r>
    </w:p>
    <w:p w14:paraId="07AB4BDD" w14:textId="6EDEE07B" w:rsidR="001B5218" w:rsidRPr="0008101E" w:rsidRDefault="00EB7253" w:rsidP="0027212A">
      <w:pPr>
        <w:spacing w:line="360" w:lineRule="auto"/>
        <w:jc w:val="center"/>
        <w:rPr>
          <w:rFonts w:ascii="Book Antiqua" w:hAnsi="Book Antiqua"/>
          <w:lang w:val="es-ES"/>
        </w:rPr>
      </w:pPr>
      <w:r>
        <w:rPr>
          <w:rFonts w:ascii="Book Antiqua" w:hAnsi="Book Antiqua"/>
          <w:lang w:val="es-ES"/>
        </w:rPr>
        <w:t xml:space="preserve">23 </w:t>
      </w:r>
      <w:r w:rsidR="006239E8" w:rsidRPr="0008101E">
        <w:rPr>
          <w:rFonts w:ascii="Book Antiqua" w:hAnsi="Book Antiqua"/>
          <w:lang w:val="es-ES"/>
        </w:rPr>
        <w:t xml:space="preserve">de </w:t>
      </w:r>
      <w:r w:rsidR="002E0215" w:rsidRPr="0008101E">
        <w:rPr>
          <w:rFonts w:ascii="Book Antiqua" w:hAnsi="Book Antiqua"/>
          <w:lang w:val="es-ES"/>
        </w:rPr>
        <w:t>septiembre</w:t>
      </w:r>
      <w:r w:rsidR="006239E8" w:rsidRPr="0008101E">
        <w:rPr>
          <w:rFonts w:ascii="Book Antiqua" w:hAnsi="Book Antiqua"/>
          <w:lang w:val="es-ES"/>
        </w:rPr>
        <w:t xml:space="preserve"> </w:t>
      </w:r>
      <w:r w:rsidR="00D13D23" w:rsidRPr="0008101E">
        <w:rPr>
          <w:rFonts w:ascii="Book Antiqua" w:hAnsi="Book Antiqua"/>
          <w:lang w:val="es-ES"/>
        </w:rPr>
        <w:t>de 2025</w:t>
      </w:r>
    </w:p>
    <w:bookmarkEnd w:id="2"/>
    <w:bookmarkEnd w:id="3"/>
    <w:p w14:paraId="518A096B" w14:textId="07DCC0DC" w:rsidR="005B2884" w:rsidRPr="0008101E" w:rsidRDefault="001B5218" w:rsidP="001B5218">
      <w:pPr>
        <w:tabs>
          <w:tab w:val="left" w:pos="-720"/>
        </w:tabs>
        <w:suppressAutoHyphens/>
        <w:spacing w:before="240" w:after="240" w:line="240" w:lineRule="atLeast"/>
        <w:rPr>
          <w:rFonts w:ascii="Book Antiqua" w:hAnsi="Book Antiqua"/>
          <w:szCs w:val="24"/>
          <w:lang w:val="es-ES"/>
        </w:rPr>
      </w:pPr>
      <w:r w:rsidRPr="0008101E">
        <w:rPr>
          <w:rFonts w:ascii="Book Antiqua" w:hAnsi="Book Antiqua"/>
          <w:b/>
          <w:szCs w:val="24"/>
          <w:lang w:val="es-ES"/>
        </w:rPr>
        <w:t xml:space="preserve">AL SENADO DE PUERTO RICO: </w:t>
      </w:r>
    </w:p>
    <w:p w14:paraId="37982730" w14:textId="6B57431C" w:rsidR="005B2884" w:rsidRPr="0008101E" w:rsidRDefault="00A52CD9" w:rsidP="00006DDC">
      <w:pPr>
        <w:suppressAutoHyphens/>
        <w:jc w:val="both"/>
        <w:rPr>
          <w:rFonts w:ascii="Book Antiqua" w:hAnsi="Book Antiqua"/>
          <w:spacing w:val="-3"/>
          <w:lang w:val="es-ES"/>
        </w:rPr>
      </w:pPr>
      <w:r w:rsidRPr="0008101E">
        <w:rPr>
          <w:rFonts w:ascii="Book Antiqua" w:hAnsi="Book Antiqua"/>
          <w:spacing w:val="-3"/>
          <w:lang w:val="es-ES"/>
        </w:rPr>
        <w:t xml:space="preserve">      </w:t>
      </w:r>
      <w:r w:rsidR="009F427F" w:rsidRPr="0008101E">
        <w:rPr>
          <w:rFonts w:ascii="Book Antiqua" w:hAnsi="Book Antiqua"/>
          <w:spacing w:val="-3"/>
          <w:lang w:val="es-ES"/>
        </w:rPr>
        <w:tab/>
      </w:r>
      <w:r w:rsidR="001B5218" w:rsidRPr="0008101E">
        <w:rPr>
          <w:rFonts w:ascii="Book Antiqua" w:hAnsi="Book Antiqua"/>
          <w:spacing w:val="-3"/>
          <w:lang w:val="es-ES"/>
        </w:rPr>
        <w:t xml:space="preserve">La </w:t>
      </w:r>
      <w:r w:rsidR="00E17E3B" w:rsidRPr="0008101E">
        <w:rPr>
          <w:rFonts w:ascii="Book Antiqua" w:hAnsi="Book Antiqua"/>
          <w:spacing w:val="-3"/>
          <w:lang w:val="es-ES"/>
        </w:rPr>
        <w:t>Comisión de lo Jurídico del Senado de Puerto Rico</w:t>
      </w:r>
      <w:r w:rsidR="001B5218" w:rsidRPr="0008101E">
        <w:rPr>
          <w:rFonts w:ascii="Book Antiqua" w:hAnsi="Book Antiqua"/>
          <w:spacing w:val="-3"/>
          <w:lang w:val="es-ES"/>
        </w:rPr>
        <w:t>, previo estudio y consideración</w:t>
      </w:r>
      <w:r w:rsidR="009F427F" w:rsidRPr="0008101E">
        <w:rPr>
          <w:rFonts w:ascii="Book Antiqua" w:hAnsi="Book Antiqua"/>
          <w:spacing w:val="-3"/>
          <w:lang w:val="es-ES"/>
        </w:rPr>
        <w:t xml:space="preserve"> del </w:t>
      </w:r>
      <w:r w:rsidR="00B864D0" w:rsidRPr="0008101E">
        <w:rPr>
          <w:rFonts w:ascii="Book Antiqua" w:hAnsi="Book Antiqua"/>
          <w:spacing w:val="-3"/>
          <w:lang w:val="es-ES"/>
        </w:rPr>
        <w:t>Proyecto del Senado 436,</w:t>
      </w:r>
      <w:r w:rsidR="001B5218" w:rsidRPr="0008101E">
        <w:rPr>
          <w:rFonts w:ascii="Book Antiqua" w:hAnsi="Book Antiqua"/>
          <w:spacing w:val="-3"/>
          <w:lang w:val="es-ES"/>
        </w:rPr>
        <w:t xml:space="preserve"> </w:t>
      </w:r>
      <w:r w:rsidR="009F427F" w:rsidRPr="0008101E">
        <w:rPr>
          <w:rFonts w:ascii="Book Antiqua" w:hAnsi="Book Antiqua"/>
          <w:spacing w:val="-3"/>
          <w:lang w:val="es-ES"/>
        </w:rPr>
        <w:t>recomienda a este Alto Cuerpo su</w:t>
      </w:r>
      <w:r w:rsidR="008E051A" w:rsidRPr="0008101E">
        <w:rPr>
          <w:rFonts w:ascii="Book Antiqua" w:hAnsi="Book Antiqua"/>
          <w:spacing w:val="-3"/>
          <w:lang w:val="es-ES"/>
        </w:rPr>
        <w:t xml:space="preserve"> </w:t>
      </w:r>
      <w:r w:rsidR="001B5218" w:rsidRPr="0008101E">
        <w:rPr>
          <w:rFonts w:ascii="Book Antiqua" w:hAnsi="Book Antiqua"/>
          <w:spacing w:val="-3"/>
          <w:lang w:val="es-ES"/>
        </w:rPr>
        <w:t>aprobación, con las enmiendas contenidas en el entirillado electrónico que se acompaña</w:t>
      </w:r>
      <w:r w:rsidR="00A969CD" w:rsidRPr="0008101E">
        <w:rPr>
          <w:rFonts w:ascii="Book Antiqua" w:hAnsi="Book Antiqua"/>
          <w:spacing w:val="-3"/>
          <w:lang w:val="es-ES"/>
        </w:rPr>
        <w:t>.</w:t>
      </w:r>
    </w:p>
    <w:p w14:paraId="1C36686D" w14:textId="77777777" w:rsidR="000C52A1" w:rsidRPr="0008101E" w:rsidRDefault="000C52A1" w:rsidP="00006DDC">
      <w:pPr>
        <w:suppressAutoHyphens/>
        <w:jc w:val="both"/>
        <w:rPr>
          <w:rFonts w:ascii="Book Antiqua" w:hAnsi="Book Antiqua"/>
          <w:spacing w:val="-3"/>
          <w:lang w:val="es-ES"/>
        </w:rPr>
      </w:pPr>
    </w:p>
    <w:p w14:paraId="632423B1" w14:textId="77777777" w:rsidR="0024131E" w:rsidRPr="0008101E" w:rsidRDefault="001B5218" w:rsidP="000C52A1">
      <w:pPr>
        <w:tabs>
          <w:tab w:val="left" w:pos="-720"/>
        </w:tabs>
        <w:suppressAutoHyphens/>
        <w:jc w:val="center"/>
        <w:rPr>
          <w:rFonts w:ascii="Book Antiqua" w:hAnsi="Book Antiqua"/>
          <w:b/>
          <w:bCs/>
          <w:szCs w:val="24"/>
          <w:lang w:val="es-ES"/>
        </w:rPr>
      </w:pPr>
      <w:r w:rsidRPr="0008101E">
        <w:rPr>
          <w:rFonts w:ascii="Book Antiqua" w:hAnsi="Book Antiqua"/>
          <w:b/>
          <w:bCs/>
          <w:szCs w:val="24"/>
          <w:lang w:val="es-ES"/>
        </w:rPr>
        <w:t xml:space="preserve">ALCANCE DE LA MEDIDA </w:t>
      </w:r>
    </w:p>
    <w:p w14:paraId="5B5C79B2" w14:textId="77777777" w:rsidR="000C52A1" w:rsidRPr="0008101E" w:rsidRDefault="000C52A1" w:rsidP="001C2FA8">
      <w:pPr>
        <w:tabs>
          <w:tab w:val="left" w:pos="-720"/>
        </w:tabs>
        <w:suppressAutoHyphens/>
        <w:rPr>
          <w:rFonts w:ascii="Book Antiqua" w:hAnsi="Book Antiqua"/>
          <w:b/>
          <w:bCs/>
          <w:szCs w:val="24"/>
          <w:lang w:val="es-ES"/>
        </w:rPr>
      </w:pPr>
    </w:p>
    <w:p w14:paraId="7C7A3389" w14:textId="1B19E0D4" w:rsidR="006F51A8" w:rsidRPr="0008101E" w:rsidRDefault="009F427F" w:rsidP="000C52A1">
      <w:pPr>
        <w:tabs>
          <w:tab w:val="left" w:pos="-720"/>
        </w:tabs>
        <w:suppressAutoHyphens/>
        <w:ind w:firstLine="360"/>
        <w:jc w:val="both"/>
        <w:rPr>
          <w:rFonts w:ascii="Book Antiqua" w:hAnsi="Book Antiqua"/>
          <w:lang w:val="es-ES"/>
        </w:rPr>
      </w:pPr>
      <w:r w:rsidRPr="0008101E">
        <w:rPr>
          <w:rFonts w:ascii="Book Antiqua" w:hAnsi="Book Antiqua"/>
          <w:lang w:val="es-ES"/>
        </w:rPr>
        <w:tab/>
      </w:r>
      <w:r w:rsidR="001B5218" w:rsidRPr="0008101E">
        <w:rPr>
          <w:rFonts w:ascii="Book Antiqua" w:hAnsi="Book Antiqua"/>
          <w:lang w:val="es-ES"/>
        </w:rPr>
        <w:t xml:space="preserve">El Proyecto del Senado </w:t>
      </w:r>
      <w:r w:rsidR="00A969CD" w:rsidRPr="0008101E">
        <w:rPr>
          <w:rFonts w:ascii="Book Antiqua" w:hAnsi="Book Antiqua"/>
          <w:lang w:val="es-ES"/>
        </w:rPr>
        <w:t>436</w:t>
      </w:r>
      <w:r w:rsidRPr="0008101E">
        <w:rPr>
          <w:rFonts w:ascii="Book Antiqua" w:hAnsi="Book Antiqua"/>
          <w:lang w:val="es-ES"/>
        </w:rPr>
        <w:t xml:space="preserve"> (en adelante, P. del S. </w:t>
      </w:r>
      <w:r w:rsidR="001F7DDA" w:rsidRPr="0008101E">
        <w:rPr>
          <w:rFonts w:ascii="Book Antiqua" w:hAnsi="Book Antiqua"/>
          <w:lang w:val="es-ES"/>
        </w:rPr>
        <w:t>436)</w:t>
      </w:r>
      <w:r w:rsidR="001B5218" w:rsidRPr="0008101E">
        <w:rPr>
          <w:rFonts w:ascii="Book Antiqua" w:hAnsi="Book Antiqua"/>
          <w:lang w:val="es-ES"/>
        </w:rPr>
        <w:t xml:space="preserve"> tiene como</w:t>
      </w:r>
      <w:r w:rsidR="001F7DDA" w:rsidRPr="0008101E">
        <w:rPr>
          <w:rFonts w:ascii="Book Antiqua" w:hAnsi="Book Antiqua"/>
          <w:lang w:val="es-ES"/>
        </w:rPr>
        <w:t xml:space="preserve"> el</w:t>
      </w:r>
      <w:r w:rsidR="001B5218" w:rsidRPr="0008101E">
        <w:rPr>
          <w:rFonts w:ascii="Book Antiqua" w:hAnsi="Book Antiqua"/>
          <w:lang w:val="es-ES"/>
        </w:rPr>
        <w:t xml:space="preserve"> propósito</w:t>
      </w:r>
      <w:bookmarkStart w:id="4" w:name="_Hlk194438498"/>
      <w:r w:rsidR="001F7DDA" w:rsidRPr="0008101E">
        <w:rPr>
          <w:rFonts w:ascii="Book Antiqua" w:hAnsi="Book Antiqua"/>
          <w:lang w:val="es-ES"/>
        </w:rPr>
        <w:t xml:space="preserve"> de enmendar la Regla 6 de las Reglas de Procedimiento Criminal de 1963, según enmendadas, con el fin de disponer que será obligación del Ministerio Público estar presente en toda determinación de causa probable para arresto en los que la víctima sea una persona de la tercera edad o adulto mayor; y determinar que el Fiscal Auxiliar que estuvo presente en dicha vista tendrá la responsabilidad de continuar con la asignación de dicho caso, en todas las etapas del procesamiento criminal; y para otros fines relacionados.</w:t>
      </w:r>
    </w:p>
    <w:bookmarkEnd w:id="4"/>
    <w:p w14:paraId="771800BC" w14:textId="77777777" w:rsidR="00A06A16" w:rsidRPr="0008101E"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08101E" w:rsidRDefault="009F427F" w:rsidP="000C52A1">
      <w:pPr>
        <w:tabs>
          <w:tab w:val="left" w:pos="-720"/>
        </w:tabs>
        <w:suppressAutoHyphens/>
        <w:ind w:firstLine="360"/>
        <w:jc w:val="center"/>
        <w:rPr>
          <w:rFonts w:ascii="Book Antiqua" w:hAnsi="Book Antiqua"/>
          <w:b/>
          <w:bCs/>
          <w:lang w:val="es-ES"/>
        </w:rPr>
      </w:pPr>
      <w:r w:rsidRPr="0008101E">
        <w:rPr>
          <w:rFonts w:ascii="Book Antiqua" w:hAnsi="Book Antiqua"/>
          <w:b/>
          <w:bCs/>
          <w:lang w:val="es-ES"/>
        </w:rPr>
        <w:t>ANÁLISIS DE LA MEDIDA</w:t>
      </w:r>
    </w:p>
    <w:p w14:paraId="6FD2A601" w14:textId="77777777" w:rsidR="000C52A1" w:rsidRPr="0008101E" w:rsidRDefault="000C52A1" w:rsidP="000C52A1">
      <w:pPr>
        <w:tabs>
          <w:tab w:val="left" w:pos="-720"/>
        </w:tabs>
        <w:suppressAutoHyphens/>
        <w:ind w:firstLine="360"/>
        <w:jc w:val="center"/>
        <w:rPr>
          <w:rFonts w:ascii="Book Antiqua" w:hAnsi="Book Antiqua"/>
          <w:b/>
          <w:bCs/>
          <w:lang w:val="es-ES"/>
        </w:rPr>
      </w:pPr>
    </w:p>
    <w:p w14:paraId="012A8908" w14:textId="77777777" w:rsidR="00C343AE" w:rsidRPr="0008101E" w:rsidRDefault="009F524F" w:rsidP="00C343AE">
      <w:pPr>
        <w:tabs>
          <w:tab w:val="left" w:pos="-720"/>
        </w:tabs>
        <w:suppressAutoHyphens/>
        <w:jc w:val="center"/>
        <w:rPr>
          <w:rFonts w:ascii="Book Antiqua" w:hAnsi="Book Antiqua"/>
          <w:b/>
          <w:bCs/>
          <w:i/>
          <w:iCs/>
          <w:smallCaps/>
          <w:lang w:val="es-ES"/>
        </w:rPr>
      </w:pPr>
      <w:r w:rsidRPr="0008101E">
        <w:rPr>
          <w:rFonts w:ascii="Book Antiqua" w:hAnsi="Book Antiqua"/>
          <w:lang w:val="es-ES"/>
        </w:rPr>
        <w:tab/>
      </w:r>
      <w:r w:rsidR="00C343AE" w:rsidRPr="0008101E">
        <w:rPr>
          <w:rFonts w:ascii="Book Antiqua" w:hAnsi="Book Antiqua"/>
          <w:b/>
          <w:bCs/>
          <w:i/>
          <w:iCs/>
          <w:smallCaps/>
          <w:lang w:val="es-ES"/>
        </w:rPr>
        <w:t>La vista para la determinación de causa probable para arresto (Regla 6)</w:t>
      </w:r>
    </w:p>
    <w:p w14:paraId="57D7B067" w14:textId="77777777" w:rsidR="00C343AE" w:rsidRPr="0008101E" w:rsidRDefault="00C343AE" w:rsidP="00C343AE">
      <w:pPr>
        <w:tabs>
          <w:tab w:val="left" w:pos="-720"/>
        </w:tabs>
        <w:suppressAutoHyphens/>
        <w:jc w:val="both"/>
        <w:rPr>
          <w:rFonts w:ascii="Book Antiqua" w:hAnsi="Book Antiqua"/>
          <w:lang w:val="es-ES"/>
        </w:rPr>
      </w:pPr>
    </w:p>
    <w:p w14:paraId="49053A83" w14:textId="268DE156" w:rsidR="00147C93" w:rsidRPr="0008101E" w:rsidRDefault="00C343AE" w:rsidP="00147C93">
      <w:pPr>
        <w:pBdr>
          <w:top w:val="nil"/>
          <w:left w:val="nil"/>
          <w:bottom w:val="nil"/>
          <w:right w:val="nil"/>
          <w:between w:val="nil"/>
        </w:pBdr>
        <w:ind w:firstLine="720"/>
        <w:jc w:val="both"/>
        <w:rPr>
          <w:rFonts w:ascii="Book Antiqua" w:eastAsia="Google Sans Text" w:hAnsi="Book Antiqua" w:cs="Google Sans Text"/>
          <w:bCs/>
          <w:color w:val="1B1C1D"/>
          <w:lang w:val="es-ES"/>
        </w:rPr>
      </w:pPr>
      <w:r w:rsidRPr="0008101E">
        <w:rPr>
          <w:rFonts w:ascii="Book Antiqua" w:hAnsi="Book Antiqua"/>
          <w:lang w:val="es-ES"/>
        </w:rPr>
        <w:tab/>
        <w:t>La vista de Regla 6, o vista de causa probable para arresto, constituye una etapa inicial en el proceso penal de Puerto Rico. La determinación de causa probable para el arresto constituye una exigencia constitucional. La Constitución de Puerto Rico claramente ordena que “[s]</w:t>
      </w:r>
      <w:proofErr w:type="spellStart"/>
      <w:r w:rsidRPr="0008101E">
        <w:rPr>
          <w:rFonts w:ascii="Book Antiqua" w:hAnsi="Book Antiqua"/>
          <w:lang w:val="es-ES"/>
        </w:rPr>
        <w:t>ólo</w:t>
      </w:r>
      <w:proofErr w:type="spellEnd"/>
      <w:r w:rsidRPr="0008101E">
        <w:rPr>
          <w:rFonts w:ascii="Book Antiqua" w:hAnsi="Book Antiqua"/>
          <w:lang w:val="es-ES"/>
        </w:rPr>
        <w:t xml:space="preserve"> se expedirán mandamientos autorizando…arrestos por autoridad judicial, y ello únicamente cuando exista causa probable apoyada en juramento o afirmación, describiendo particularmente… las </w:t>
      </w:r>
      <w:r w:rsidRPr="0008101E">
        <w:rPr>
          <w:rFonts w:ascii="Book Antiqua" w:hAnsi="Book Antiqua"/>
          <w:lang w:val="es-ES"/>
        </w:rPr>
        <w:lastRenderedPageBreak/>
        <w:t>personas a detenerse…”.</w:t>
      </w:r>
      <w:r w:rsidRPr="0008101E">
        <w:rPr>
          <w:rStyle w:val="FootnoteReference"/>
          <w:rFonts w:ascii="Book Antiqua" w:hAnsi="Book Antiqua"/>
          <w:lang w:val="es-ES"/>
        </w:rPr>
        <w:footnoteReference w:id="1"/>
      </w:r>
      <w:r w:rsidRPr="0008101E">
        <w:rPr>
          <w:rFonts w:ascii="Book Antiqua" w:hAnsi="Book Antiqua"/>
          <w:lang w:val="es-ES"/>
        </w:rPr>
        <w:t xml:space="preserve"> En esta fase, un juez determina si existe causa probable para ordenar un arresto</w:t>
      </w:r>
      <w:r w:rsidR="00147C93" w:rsidRPr="0008101E">
        <w:rPr>
          <w:rFonts w:ascii="Book Antiqua" w:hAnsi="Book Antiqua"/>
          <w:lang w:val="es-ES"/>
        </w:rPr>
        <w:t xml:space="preserve">. </w:t>
      </w:r>
      <w:r w:rsidR="00147C93" w:rsidRPr="0008101E">
        <w:rPr>
          <w:rFonts w:ascii="Book Antiqua" w:eastAsia="Google Sans Text" w:hAnsi="Book Antiqua" w:cs="Google Sans Text"/>
          <w:bCs/>
          <w:color w:val="1B1C1D"/>
          <w:lang w:val="es-ES"/>
        </w:rPr>
        <w:t>Las alternativas para determinar causa probable son:</w:t>
      </w:r>
    </w:p>
    <w:p w14:paraId="2E623F0D" w14:textId="77777777" w:rsidR="00147C93" w:rsidRPr="0008101E" w:rsidRDefault="00147C93" w:rsidP="00147C93">
      <w:pPr>
        <w:ind w:left="720" w:right="720"/>
        <w:rPr>
          <w:rFonts w:ascii="Book Antiqua" w:eastAsia="Google Sans Text" w:hAnsi="Book Antiqua"/>
          <w:lang w:val="es-ES"/>
        </w:rPr>
      </w:pPr>
    </w:p>
    <w:p w14:paraId="0A1994E4"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1) A base de la denuncia jurada.</w:t>
      </w:r>
    </w:p>
    <w:p w14:paraId="1271A707"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2) A base de la denuncia y de las declaraciones juradas que se incluyan con la denuncia.</w:t>
      </w:r>
    </w:p>
    <w:p w14:paraId="2D2173DD"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3) A base de la denuncia y del examen del testimonio del denunciante o sus testigos.</w:t>
      </w:r>
    </w:p>
    <w:p w14:paraId="7766A13A"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4) A base de las declaraciones juradas que se incluyan con la denuncia.</w:t>
      </w:r>
    </w:p>
    <w:p w14:paraId="374413E6"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5) A base de las declaraciones juradas que se incluyan con la denuncia y del examen del testimonio del denunciante o sus testigos.</w:t>
      </w:r>
    </w:p>
    <w:p w14:paraId="49BC32B3"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6) A base del examen del testimonio del denunciante o de algún testigo con conocimiento personal del hecho delictivo.</w:t>
      </w:r>
    </w:p>
    <w:p w14:paraId="53F1D631" w14:textId="77777777" w:rsidR="00147C93" w:rsidRPr="0008101E" w:rsidRDefault="00147C93" w:rsidP="00147C93">
      <w:pPr>
        <w:ind w:left="720" w:right="720"/>
        <w:rPr>
          <w:rFonts w:ascii="Book Antiqua" w:eastAsia="Google Sans Text" w:hAnsi="Book Antiqua"/>
          <w:lang w:val="es-ES"/>
        </w:rPr>
      </w:pPr>
      <w:r w:rsidRPr="0008101E">
        <w:rPr>
          <w:rFonts w:ascii="Book Antiqua" w:eastAsia="Google Sans Text" w:hAnsi="Book Antiqua"/>
          <w:lang w:val="es-ES"/>
        </w:rPr>
        <w:t>7) A base de la denuncia, de las declaraciones juradas que se incluyan con la denuncia y del examen del testimonio del denunciante o sus testigos.</w:t>
      </w:r>
    </w:p>
    <w:p w14:paraId="7FB2F57B" w14:textId="77777777" w:rsidR="00147C93" w:rsidRPr="0008101E" w:rsidRDefault="00147C93" w:rsidP="00147C93">
      <w:pPr>
        <w:ind w:left="720" w:right="720"/>
        <w:rPr>
          <w:rFonts w:ascii="Book Antiqua" w:eastAsia="Google Sans Text" w:hAnsi="Book Antiqua"/>
          <w:lang w:val="es-ES"/>
        </w:rPr>
      </w:pPr>
    </w:p>
    <w:p w14:paraId="0F806E2A" w14:textId="617D7A2F" w:rsidR="00147C93" w:rsidRPr="0008101E" w:rsidRDefault="00B67CEE" w:rsidP="00147C93">
      <w:pPr>
        <w:ind w:left="720" w:right="720"/>
        <w:rPr>
          <w:rFonts w:eastAsia="Google Sans Text"/>
          <w:lang w:val="es-ES"/>
        </w:rPr>
      </w:pPr>
      <w:r w:rsidRPr="0008101E">
        <w:rPr>
          <w:rFonts w:ascii="Book Antiqua" w:eastAsia="Google Sans Text" w:hAnsi="Book Antiqua"/>
          <w:lang w:val="es-ES"/>
        </w:rPr>
        <w:t>[E]</w:t>
      </w:r>
      <w:proofErr w:type="spellStart"/>
      <w:r w:rsidR="00147C93" w:rsidRPr="0008101E">
        <w:rPr>
          <w:rFonts w:ascii="Book Antiqua" w:eastAsia="Google Sans Text" w:hAnsi="Book Antiqua"/>
          <w:lang w:val="es-ES"/>
        </w:rPr>
        <w:t>stas</w:t>
      </w:r>
      <w:proofErr w:type="spellEnd"/>
      <w:r w:rsidR="00147C93" w:rsidRPr="0008101E">
        <w:rPr>
          <w:rFonts w:ascii="Book Antiqua" w:eastAsia="Google Sans Text" w:hAnsi="Book Antiqua"/>
          <w:lang w:val="es-ES"/>
        </w:rPr>
        <w:t xml:space="preserve"> siete (7) alternativas podrán utilizarse tanto en casos donde la vista se celebre en presencia del imputado como cuando se efectúe en ausencia de éste</w:t>
      </w:r>
      <w:r w:rsidR="00147C93" w:rsidRPr="0008101E">
        <w:rPr>
          <w:rFonts w:eastAsia="Google Sans Text"/>
          <w:lang w:val="es-ES"/>
        </w:rPr>
        <w:t>.</w:t>
      </w:r>
      <w:r w:rsidR="00147C93" w:rsidRPr="0008101E">
        <w:rPr>
          <w:rStyle w:val="FootnoteReference"/>
          <w:rFonts w:ascii="Book Antiqua" w:eastAsia="Google Sans Text" w:hAnsi="Book Antiqua" w:cs="Google Sans Text"/>
          <w:bCs/>
          <w:color w:val="1B1C1D"/>
          <w:lang w:val="es-ES"/>
        </w:rPr>
        <w:footnoteReference w:id="2"/>
      </w:r>
    </w:p>
    <w:p w14:paraId="0897379D" w14:textId="4D0F0C1C" w:rsidR="00C343AE" w:rsidRPr="0008101E" w:rsidRDefault="00C343AE" w:rsidP="00C343AE">
      <w:pPr>
        <w:tabs>
          <w:tab w:val="left" w:pos="-720"/>
        </w:tabs>
        <w:suppressAutoHyphens/>
        <w:jc w:val="both"/>
        <w:rPr>
          <w:rFonts w:ascii="Book Antiqua" w:hAnsi="Book Antiqua"/>
          <w:lang w:val="es-ES"/>
        </w:rPr>
      </w:pPr>
    </w:p>
    <w:p w14:paraId="7A21EE65" w14:textId="374BBA45" w:rsidR="006239E8" w:rsidRPr="0008101E" w:rsidRDefault="006574AC" w:rsidP="00C343AE">
      <w:pPr>
        <w:tabs>
          <w:tab w:val="left" w:pos="-720"/>
        </w:tabs>
        <w:suppressAutoHyphens/>
        <w:ind w:firstLine="360"/>
        <w:jc w:val="both"/>
        <w:rPr>
          <w:rFonts w:ascii="Book Antiqua" w:hAnsi="Book Antiqua"/>
          <w:lang w:val="es-ES"/>
        </w:rPr>
      </w:pPr>
      <w:r w:rsidRPr="0008101E">
        <w:rPr>
          <w:rFonts w:ascii="Book Antiqua" w:hAnsi="Book Antiqua"/>
          <w:lang w:val="es-ES"/>
        </w:rPr>
        <w:tab/>
        <w:t>El P. del S. 436 procura establecer la obligación para que, en todos los casos donde la víctima sea una persona de edad avanzada o adulto mayor de sesenta (60) años o más, deba estar presente un representante del Ministerio Público durante la vista de Regla 6</w:t>
      </w:r>
      <w:r w:rsidR="0027707C" w:rsidRPr="0008101E">
        <w:rPr>
          <w:rFonts w:ascii="Book Antiqua" w:hAnsi="Book Antiqua"/>
          <w:lang w:val="es-ES"/>
        </w:rPr>
        <w:t xml:space="preserve"> y, d</w:t>
      </w:r>
      <w:r w:rsidRPr="0008101E">
        <w:rPr>
          <w:rFonts w:ascii="Book Antiqua" w:hAnsi="Book Antiqua"/>
          <w:lang w:val="es-ES"/>
        </w:rPr>
        <w:t>e haberse determinado causa probable para el arresto contra la persona imputada de delito, el Fiscal Auxiliar que estuvo presente en dicha vista tendrá la responsabilidad de continuar con la asignación de dicho caso, en todas las etapas del procesamiento criminal.</w:t>
      </w:r>
    </w:p>
    <w:p w14:paraId="6CA1ED05" w14:textId="77777777" w:rsidR="002F7979" w:rsidRPr="0008101E" w:rsidRDefault="009F524F" w:rsidP="006D5838">
      <w:pPr>
        <w:tabs>
          <w:tab w:val="left" w:pos="-720"/>
        </w:tabs>
        <w:suppressAutoHyphens/>
        <w:ind w:firstLine="360"/>
        <w:jc w:val="both"/>
        <w:rPr>
          <w:rFonts w:ascii="Book Antiqua" w:hAnsi="Book Antiqua"/>
          <w:lang w:val="es-ES"/>
        </w:rPr>
      </w:pPr>
      <w:r w:rsidRPr="0008101E">
        <w:rPr>
          <w:rFonts w:ascii="Book Antiqua" w:hAnsi="Book Antiqua"/>
          <w:lang w:val="es-ES"/>
        </w:rPr>
        <w:tab/>
      </w:r>
      <w:r w:rsidR="009154BD" w:rsidRPr="0008101E">
        <w:rPr>
          <w:rFonts w:ascii="Book Antiqua" w:hAnsi="Book Antiqua"/>
          <w:lang w:val="es-ES"/>
        </w:rPr>
        <w:t xml:space="preserve">La </w:t>
      </w:r>
      <w:r w:rsidR="000C5B91" w:rsidRPr="0008101E">
        <w:rPr>
          <w:rFonts w:ascii="Book Antiqua" w:hAnsi="Book Antiqua"/>
          <w:spacing w:val="-3"/>
          <w:lang w:val="es-ES"/>
        </w:rPr>
        <w:t>Comisión de lo Jurídico del Senado de Puerto Rico</w:t>
      </w:r>
      <w:r w:rsidR="009154BD" w:rsidRPr="0008101E">
        <w:rPr>
          <w:rFonts w:ascii="Book Antiqua" w:hAnsi="Book Antiqua"/>
          <w:spacing w:val="-3"/>
          <w:lang w:val="es-ES"/>
        </w:rPr>
        <w:t xml:space="preserve">, como parte del estudio y evaluación del </w:t>
      </w:r>
      <w:r w:rsidR="002F7979" w:rsidRPr="0008101E">
        <w:rPr>
          <w:rFonts w:ascii="Book Antiqua" w:hAnsi="Book Antiqua"/>
          <w:spacing w:val="-3"/>
          <w:lang w:val="es-ES"/>
        </w:rPr>
        <w:t>P. del S. 436,</w:t>
      </w:r>
      <w:r w:rsidR="00481C39" w:rsidRPr="0008101E">
        <w:rPr>
          <w:rFonts w:ascii="Book Antiqua" w:hAnsi="Book Antiqua"/>
          <w:lang w:val="es-ES"/>
        </w:rPr>
        <w:t xml:space="preserve"> </w:t>
      </w:r>
      <w:r w:rsidR="002F7979" w:rsidRPr="0008101E">
        <w:rPr>
          <w:rFonts w:ascii="Book Antiqua" w:hAnsi="Book Antiqua"/>
          <w:lang w:val="es-ES"/>
        </w:rPr>
        <w:t>solicitó</w:t>
      </w:r>
      <w:r w:rsidR="006D5838" w:rsidRPr="0008101E">
        <w:rPr>
          <w:rFonts w:ascii="Book Antiqua" w:hAnsi="Book Antiqua"/>
          <w:lang w:val="es-ES"/>
        </w:rPr>
        <w:t xml:space="preserve"> memoriales explicativos</w:t>
      </w:r>
      <w:r w:rsidR="009154BD" w:rsidRPr="0008101E">
        <w:rPr>
          <w:rFonts w:ascii="Book Antiqua" w:hAnsi="Book Antiqua"/>
          <w:lang w:val="es-ES"/>
        </w:rPr>
        <w:t xml:space="preserve"> a las siguientes agencias y entidades</w:t>
      </w:r>
      <w:r w:rsidR="009313EE" w:rsidRPr="0008101E">
        <w:rPr>
          <w:rFonts w:ascii="Book Antiqua" w:hAnsi="Book Antiqua"/>
          <w:lang w:val="es-ES"/>
        </w:rPr>
        <w:t>:</w:t>
      </w:r>
      <w:r w:rsidR="00393CA6" w:rsidRPr="0008101E">
        <w:rPr>
          <w:rFonts w:ascii="Book Antiqua" w:hAnsi="Book Antiqua"/>
          <w:lang w:val="es-ES"/>
        </w:rPr>
        <w:t xml:space="preserve"> </w:t>
      </w:r>
      <w:r w:rsidR="002F7979" w:rsidRPr="0008101E">
        <w:rPr>
          <w:rFonts w:ascii="Book Antiqua" w:hAnsi="Book Antiqua"/>
          <w:lang w:val="es-ES"/>
        </w:rPr>
        <w:t>Departamento de Justicia y Oficina del Procurador de Personas de Edad Avanzada.</w:t>
      </w:r>
    </w:p>
    <w:p w14:paraId="7D81C205" w14:textId="1E3AC32E" w:rsidR="006D5838" w:rsidRPr="0008101E" w:rsidRDefault="002F7979" w:rsidP="002F7979">
      <w:pPr>
        <w:tabs>
          <w:tab w:val="left" w:pos="-720"/>
        </w:tabs>
        <w:suppressAutoHyphens/>
        <w:ind w:firstLine="360"/>
        <w:jc w:val="both"/>
        <w:rPr>
          <w:rFonts w:ascii="Book Antiqua" w:hAnsi="Book Antiqua"/>
          <w:lang w:val="es-ES"/>
        </w:rPr>
      </w:pPr>
      <w:r w:rsidRPr="0008101E">
        <w:rPr>
          <w:rFonts w:ascii="Book Antiqua" w:hAnsi="Book Antiqua"/>
          <w:lang w:val="es-ES"/>
        </w:rPr>
        <w:tab/>
        <w:t>Al momento de la redacción de este informe, solo se recibieron los comentarios del Departamento de Justicia.</w:t>
      </w:r>
      <w:r w:rsidR="006D5838" w:rsidRPr="0008101E">
        <w:rPr>
          <w:rFonts w:ascii="Book Antiqua" w:hAnsi="Book Antiqua"/>
          <w:lang w:val="es-ES"/>
        </w:rPr>
        <w:t xml:space="preserve"> </w:t>
      </w:r>
    </w:p>
    <w:p w14:paraId="645A7A37" w14:textId="77777777" w:rsidR="00A52CD9" w:rsidRPr="0008101E" w:rsidRDefault="00A52CD9" w:rsidP="00592B05">
      <w:pPr>
        <w:tabs>
          <w:tab w:val="left" w:pos="-720"/>
        </w:tabs>
        <w:suppressAutoHyphens/>
        <w:spacing w:line="276" w:lineRule="auto"/>
        <w:jc w:val="both"/>
        <w:rPr>
          <w:rFonts w:ascii="Book Antiqua" w:hAnsi="Book Antiqua"/>
          <w:b/>
          <w:bCs/>
          <w:u w:val="single"/>
          <w:lang w:val="es-ES"/>
        </w:rPr>
      </w:pPr>
    </w:p>
    <w:p w14:paraId="506697A3" w14:textId="15A8C50C" w:rsidR="00CA1098" w:rsidRPr="0008101E" w:rsidRDefault="002F7979" w:rsidP="00867243">
      <w:pPr>
        <w:tabs>
          <w:tab w:val="left" w:pos="-720"/>
        </w:tabs>
        <w:suppressAutoHyphens/>
        <w:jc w:val="center"/>
        <w:rPr>
          <w:rFonts w:ascii="Book Antiqua" w:hAnsi="Book Antiqua"/>
          <w:b/>
          <w:bCs/>
          <w:lang w:val="es-ES"/>
        </w:rPr>
      </w:pPr>
      <w:r w:rsidRPr="0008101E">
        <w:rPr>
          <w:rFonts w:ascii="Book Antiqua" w:hAnsi="Book Antiqua"/>
          <w:b/>
          <w:bCs/>
          <w:lang w:val="es-ES"/>
        </w:rPr>
        <w:t>DEPARTAMENTO DE JUSTICIA</w:t>
      </w:r>
    </w:p>
    <w:p w14:paraId="471B5547" w14:textId="77777777" w:rsidR="00867243" w:rsidRPr="0008101E" w:rsidRDefault="00867243" w:rsidP="00011E09">
      <w:pPr>
        <w:tabs>
          <w:tab w:val="left" w:pos="-720"/>
        </w:tabs>
        <w:suppressAutoHyphens/>
        <w:jc w:val="both"/>
        <w:rPr>
          <w:rFonts w:ascii="Book Antiqua" w:hAnsi="Book Antiqua"/>
          <w:lang w:val="es-ES"/>
        </w:rPr>
      </w:pPr>
    </w:p>
    <w:p w14:paraId="59FCBAD8" w14:textId="58E73C20" w:rsidR="00867243" w:rsidRDefault="00867243" w:rsidP="00011E09">
      <w:pPr>
        <w:tabs>
          <w:tab w:val="left" w:pos="-720"/>
        </w:tabs>
        <w:suppressAutoHyphens/>
        <w:jc w:val="both"/>
        <w:rPr>
          <w:rFonts w:ascii="Book Antiqua" w:hAnsi="Book Antiqua"/>
          <w:lang w:val="es-ES"/>
        </w:rPr>
      </w:pPr>
      <w:r w:rsidRPr="0008101E">
        <w:rPr>
          <w:rFonts w:ascii="Book Antiqua" w:hAnsi="Book Antiqua"/>
          <w:lang w:val="es-ES"/>
        </w:rPr>
        <w:tab/>
      </w:r>
      <w:r w:rsidR="00880999" w:rsidRPr="0008101E">
        <w:rPr>
          <w:rFonts w:ascii="Book Antiqua" w:hAnsi="Book Antiqua"/>
          <w:lang w:val="es-ES"/>
        </w:rPr>
        <w:t xml:space="preserve">El Departamento de Justicia </w:t>
      </w:r>
      <w:r w:rsidR="007371E3">
        <w:rPr>
          <w:rFonts w:ascii="Book Antiqua" w:hAnsi="Book Antiqua"/>
          <w:lang w:val="es-ES"/>
        </w:rPr>
        <w:t>condicionó su endoso</w:t>
      </w:r>
      <w:r w:rsidR="00880999" w:rsidRPr="0008101E">
        <w:rPr>
          <w:rFonts w:ascii="Book Antiqua" w:hAnsi="Book Antiqua"/>
          <w:lang w:val="es-ES"/>
        </w:rPr>
        <w:t xml:space="preserve"> </w:t>
      </w:r>
      <w:r w:rsidR="007371E3">
        <w:rPr>
          <w:rFonts w:ascii="Book Antiqua" w:hAnsi="Book Antiqua"/>
          <w:lang w:val="es-ES"/>
        </w:rPr>
        <w:t>a</w:t>
      </w:r>
      <w:r w:rsidR="00880999" w:rsidRPr="0008101E">
        <w:rPr>
          <w:rFonts w:ascii="Book Antiqua" w:hAnsi="Book Antiqua"/>
          <w:lang w:val="es-ES"/>
        </w:rPr>
        <w:t xml:space="preserve"> la </w:t>
      </w:r>
      <w:r w:rsidR="00F31462" w:rsidRPr="0008101E">
        <w:rPr>
          <w:rFonts w:ascii="Book Antiqua" w:hAnsi="Book Antiqua"/>
          <w:lang w:val="es-ES"/>
        </w:rPr>
        <w:t>aprobación de la medid</w:t>
      </w:r>
      <w:r w:rsidR="007371E3">
        <w:rPr>
          <w:rFonts w:ascii="Book Antiqua" w:hAnsi="Book Antiqua"/>
          <w:lang w:val="es-ES"/>
        </w:rPr>
        <w:t>a si se introducen enmiendas</w:t>
      </w:r>
      <w:r w:rsidR="00F31462" w:rsidRPr="0008101E">
        <w:rPr>
          <w:rFonts w:ascii="Book Antiqua" w:hAnsi="Book Antiqua"/>
          <w:lang w:val="es-ES"/>
        </w:rPr>
        <w:t xml:space="preserve">. En primer lugar, el Departamento reconoce que el </w:t>
      </w:r>
      <w:r w:rsidR="00F31462" w:rsidRPr="0008101E">
        <w:rPr>
          <w:rFonts w:ascii="Book Antiqua" w:hAnsi="Book Antiqua"/>
          <w:lang w:val="es-ES"/>
        </w:rPr>
        <w:lastRenderedPageBreak/>
        <w:t xml:space="preserve">proyecto de ley está alineado con la </w:t>
      </w:r>
      <w:r w:rsidR="00E735F2" w:rsidRPr="0008101E">
        <w:rPr>
          <w:rFonts w:ascii="Book Antiqua" w:hAnsi="Book Antiqua"/>
          <w:lang w:val="es-ES"/>
        </w:rPr>
        <w:t>política</w:t>
      </w:r>
      <w:r w:rsidR="00F31462" w:rsidRPr="0008101E">
        <w:rPr>
          <w:rFonts w:ascii="Book Antiqua" w:hAnsi="Book Antiqua"/>
          <w:lang w:val="es-ES"/>
        </w:rPr>
        <w:t xml:space="preserve"> publica del Gobierno de Puerto Rico de brindar atención </w:t>
      </w:r>
      <w:r w:rsidR="00E735F2" w:rsidRPr="0008101E">
        <w:rPr>
          <w:rFonts w:ascii="Book Antiqua" w:hAnsi="Book Antiqua"/>
          <w:lang w:val="es-ES"/>
        </w:rPr>
        <w:t>prioritaria</w:t>
      </w:r>
      <w:r w:rsidR="00F31462" w:rsidRPr="0008101E">
        <w:rPr>
          <w:rFonts w:ascii="Book Antiqua" w:hAnsi="Book Antiqua"/>
          <w:lang w:val="es-ES"/>
        </w:rPr>
        <w:t xml:space="preserve"> a los asuntos que </w:t>
      </w:r>
      <w:r w:rsidR="00E735F2" w:rsidRPr="0008101E">
        <w:rPr>
          <w:rFonts w:ascii="Book Antiqua" w:hAnsi="Book Antiqua"/>
          <w:lang w:val="es-ES"/>
        </w:rPr>
        <w:t>involucran</w:t>
      </w:r>
      <w:r w:rsidR="00F31462" w:rsidRPr="0008101E">
        <w:rPr>
          <w:rFonts w:ascii="Book Antiqua" w:hAnsi="Book Antiqua"/>
          <w:lang w:val="es-ES"/>
        </w:rPr>
        <w:t xml:space="preserve"> a las personas de edad avanzada. </w:t>
      </w:r>
      <w:r w:rsidR="009351B6" w:rsidRPr="0008101E">
        <w:rPr>
          <w:rFonts w:ascii="Book Antiqua" w:hAnsi="Book Antiqua"/>
          <w:lang w:val="es-ES"/>
        </w:rPr>
        <w:t xml:space="preserve"> </w:t>
      </w:r>
      <w:r w:rsidRPr="0008101E">
        <w:rPr>
          <w:rFonts w:ascii="Book Antiqua" w:hAnsi="Book Antiqua"/>
          <w:lang w:val="es-ES"/>
        </w:rPr>
        <w:t xml:space="preserve"> </w:t>
      </w:r>
    </w:p>
    <w:p w14:paraId="6AEC6C7D" w14:textId="1F565FC6" w:rsidR="00E7319F" w:rsidRDefault="00E01882" w:rsidP="00DA0815">
      <w:pPr>
        <w:tabs>
          <w:tab w:val="left" w:pos="-720"/>
        </w:tabs>
        <w:suppressAutoHyphens/>
        <w:jc w:val="both"/>
        <w:rPr>
          <w:rFonts w:ascii="Book Antiqua" w:hAnsi="Book Antiqua"/>
          <w:lang w:val="es-ES"/>
        </w:rPr>
      </w:pPr>
      <w:r>
        <w:rPr>
          <w:rFonts w:ascii="Book Antiqua" w:hAnsi="Book Antiqua"/>
          <w:lang w:val="es-ES"/>
        </w:rPr>
        <w:tab/>
        <w:t xml:space="preserve">A </w:t>
      </w:r>
      <w:r w:rsidRPr="00E01882">
        <w:rPr>
          <w:rFonts w:ascii="Book Antiqua" w:hAnsi="Book Antiqua"/>
          <w:lang w:val="es-ES"/>
        </w:rPr>
        <w:t xml:space="preserve">tono con lo anterior, </w:t>
      </w:r>
      <w:r>
        <w:rPr>
          <w:rFonts w:ascii="Book Antiqua" w:hAnsi="Book Antiqua"/>
          <w:lang w:val="es-ES"/>
        </w:rPr>
        <w:t xml:space="preserve">el Departamento </w:t>
      </w:r>
      <w:r w:rsidR="007371E3">
        <w:rPr>
          <w:rFonts w:ascii="Book Antiqua" w:hAnsi="Book Antiqua"/>
          <w:lang w:val="es-ES"/>
        </w:rPr>
        <w:t>hizo constar</w:t>
      </w:r>
      <w:r w:rsidRPr="00E01882">
        <w:rPr>
          <w:rFonts w:ascii="Book Antiqua" w:hAnsi="Book Antiqua"/>
          <w:lang w:val="es-ES"/>
        </w:rPr>
        <w:t xml:space="preserve"> que, en julio de 2025, </w:t>
      </w:r>
      <w:r w:rsidR="00D8542C">
        <w:rPr>
          <w:rFonts w:ascii="Book Antiqua" w:hAnsi="Book Antiqua"/>
          <w:lang w:val="es-ES"/>
        </w:rPr>
        <w:t xml:space="preserve">la Oficina del Jefe de Fiscales </w:t>
      </w:r>
      <w:r w:rsidRPr="00E01882">
        <w:rPr>
          <w:rFonts w:ascii="Book Antiqua" w:hAnsi="Book Antiqua"/>
          <w:lang w:val="es-ES"/>
        </w:rPr>
        <w:t>impartió una directriz a los fines de disponer que en todos los casos en los que</w:t>
      </w:r>
      <w:r w:rsidR="00D8542C">
        <w:rPr>
          <w:rFonts w:ascii="Book Antiqua" w:hAnsi="Book Antiqua"/>
          <w:lang w:val="es-ES"/>
        </w:rPr>
        <w:t xml:space="preserve"> </w:t>
      </w:r>
      <w:r w:rsidRPr="00E01882">
        <w:rPr>
          <w:rFonts w:ascii="Book Antiqua" w:hAnsi="Book Antiqua"/>
          <w:lang w:val="es-ES"/>
        </w:rPr>
        <w:t>se impute una violación a la Sección Tercera</w:t>
      </w:r>
      <w:r w:rsidR="00E7319F">
        <w:rPr>
          <w:rFonts w:ascii="Book Antiqua" w:hAnsi="Book Antiqua"/>
          <w:lang w:val="es-ES"/>
        </w:rPr>
        <w:t>, del Capítulo III,</w:t>
      </w:r>
      <w:r w:rsidRPr="00E01882">
        <w:rPr>
          <w:rFonts w:ascii="Book Antiqua" w:hAnsi="Book Antiqua"/>
          <w:lang w:val="es-ES"/>
        </w:rPr>
        <w:t xml:space="preserve"> del Código Penal de Puerto Rico, relacionada con</w:t>
      </w:r>
      <w:r w:rsidR="00D8542C">
        <w:rPr>
          <w:rFonts w:ascii="Book Antiqua" w:hAnsi="Book Antiqua"/>
          <w:lang w:val="es-ES"/>
        </w:rPr>
        <w:t xml:space="preserve"> </w:t>
      </w:r>
      <w:r w:rsidRPr="00E01882">
        <w:rPr>
          <w:rFonts w:ascii="Book Antiqua" w:hAnsi="Book Antiqua"/>
          <w:lang w:val="es-ES"/>
        </w:rPr>
        <w:t>la protección debida a las personas de edad avanzada, y/o al Artículo 16 de la Ley Núm. 121-2019, que tipifica la violación de una orden de protección a favor de un adulto mayor, un fiscal</w:t>
      </w:r>
      <w:r w:rsidR="00D8542C">
        <w:rPr>
          <w:rFonts w:ascii="Book Antiqua" w:hAnsi="Book Antiqua"/>
          <w:lang w:val="es-ES"/>
        </w:rPr>
        <w:t xml:space="preserve"> </w:t>
      </w:r>
      <w:r w:rsidRPr="00E01882">
        <w:rPr>
          <w:rFonts w:ascii="Book Antiqua" w:hAnsi="Book Antiqua"/>
          <w:lang w:val="es-ES"/>
        </w:rPr>
        <w:t>adscrito a la Unidad Especializada de Violencia Doméstica, Delitos Sexuales y Maltrato a Menores</w:t>
      </w:r>
      <w:r w:rsidR="00D8542C">
        <w:rPr>
          <w:rFonts w:ascii="Book Antiqua" w:hAnsi="Book Antiqua"/>
          <w:lang w:val="es-ES"/>
        </w:rPr>
        <w:t xml:space="preserve"> </w:t>
      </w:r>
      <w:r w:rsidRPr="00E01882">
        <w:rPr>
          <w:rFonts w:ascii="Book Antiqua" w:hAnsi="Book Antiqua"/>
          <w:lang w:val="es-ES"/>
        </w:rPr>
        <w:t>deberá comparecer a la vista de causa probable para arresto. Esta directriz también se extendió a</w:t>
      </w:r>
      <w:r w:rsidR="00D8542C">
        <w:rPr>
          <w:rFonts w:ascii="Book Antiqua" w:hAnsi="Book Antiqua"/>
          <w:lang w:val="es-ES"/>
        </w:rPr>
        <w:t xml:space="preserve"> </w:t>
      </w:r>
      <w:r w:rsidRPr="00E01882">
        <w:rPr>
          <w:rFonts w:ascii="Book Antiqua" w:hAnsi="Book Antiqua"/>
          <w:lang w:val="es-ES"/>
        </w:rPr>
        <w:t>aquellos casos en los que se presenten cargos por Tentativa de Asesinato y la víctima sea una</w:t>
      </w:r>
      <w:r w:rsidR="00D8542C">
        <w:rPr>
          <w:rFonts w:ascii="Book Antiqua" w:hAnsi="Book Antiqua"/>
          <w:lang w:val="es-ES"/>
        </w:rPr>
        <w:t xml:space="preserve"> </w:t>
      </w:r>
      <w:r w:rsidRPr="00E01882">
        <w:rPr>
          <w:rFonts w:ascii="Book Antiqua" w:hAnsi="Book Antiqua"/>
          <w:lang w:val="es-ES"/>
        </w:rPr>
        <w:t>persona de edad avanzada.</w:t>
      </w:r>
      <w:r w:rsidR="00DA0815">
        <w:rPr>
          <w:rFonts w:ascii="Book Antiqua" w:hAnsi="Book Antiqua"/>
          <w:lang w:val="es-ES"/>
        </w:rPr>
        <w:t xml:space="preserve"> </w:t>
      </w:r>
    </w:p>
    <w:p w14:paraId="55C51635" w14:textId="5D57B281" w:rsidR="00DA0815" w:rsidRDefault="00E7319F" w:rsidP="00DA0815">
      <w:pPr>
        <w:tabs>
          <w:tab w:val="left" w:pos="-720"/>
        </w:tabs>
        <w:suppressAutoHyphens/>
        <w:jc w:val="both"/>
        <w:rPr>
          <w:rFonts w:ascii="Book Antiqua" w:hAnsi="Book Antiqua"/>
          <w:lang w:val="es-ES"/>
        </w:rPr>
      </w:pPr>
      <w:r>
        <w:rPr>
          <w:rFonts w:ascii="Book Antiqua" w:hAnsi="Book Antiqua"/>
          <w:lang w:val="es-ES"/>
        </w:rPr>
        <w:tab/>
      </w:r>
      <w:r w:rsidR="00DA0815" w:rsidRPr="00DA0815">
        <w:rPr>
          <w:rFonts w:ascii="Book Antiqua" w:hAnsi="Book Antiqua"/>
          <w:lang w:val="es-ES"/>
        </w:rPr>
        <w:t>Los delitos incluidos en la Sección Tercera de</w:t>
      </w:r>
      <w:r>
        <w:rPr>
          <w:rFonts w:ascii="Book Antiqua" w:hAnsi="Book Antiqua"/>
          <w:lang w:val="es-ES"/>
        </w:rPr>
        <w:t xml:space="preserve">l Capítulo III </w:t>
      </w:r>
      <w:r w:rsidR="00DA0815" w:rsidRPr="00DA0815">
        <w:rPr>
          <w:rFonts w:ascii="Book Antiqua" w:hAnsi="Book Antiqua"/>
          <w:lang w:val="es-ES"/>
        </w:rPr>
        <w:t>del Código Penal, dirigidos a la</w:t>
      </w:r>
      <w:r w:rsidR="00DA0815">
        <w:rPr>
          <w:rFonts w:ascii="Book Antiqua" w:hAnsi="Book Antiqua"/>
          <w:lang w:val="es-ES"/>
        </w:rPr>
        <w:t xml:space="preserve"> </w:t>
      </w:r>
      <w:r w:rsidR="00DA0815" w:rsidRPr="00DA0815">
        <w:rPr>
          <w:rFonts w:ascii="Book Antiqua" w:hAnsi="Book Antiqua"/>
          <w:lang w:val="es-ES"/>
        </w:rPr>
        <w:t>protección debida a las personas de edad avanzada e incapacitados comprenden los de:</w:t>
      </w:r>
    </w:p>
    <w:p w14:paraId="08953E78" w14:textId="77777777" w:rsidR="0012002A" w:rsidRDefault="0012002A" w:rsidP="00DA0815">
      <w:pPr>
        <w:tabs>
          <w:tab w:val="left" w:pos="-720"/>
        </w:tabs>
        <w:suppressAutoHyphens/>
        <w:jc w:val="both"/>
        <w:rPr>
          <w:rFonts w:ascii="Book Antiqua" w:hAnsi="Book Antiqua"/>
          <w:lang w:val="es-ES"/>
        </w:rPr>
      </w:pPr>
    </w:p>
    <w:p w14:paraId="69D1584D" w14:textId="77777777"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incumplimiento de la obligación alimentaria,</w:t>
      </w:r>
    </w:p>
    <w:p w14:paraId="60BB1FA3" w14:textId="77777777"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abandono de personas de edad avanzada e</w:t>
      </w:r>
      <w:r>
        <w:rPr>
          <w:rFonts w:ascii="Book Antiqua" w:hAnsi="Book Antiqua"/>
          <w:lang w:val="es-ES"/>
        </w:rPr>
        <w:t xml:space="preserve"> </w:t>
      </w:r>
      <w:r w:rsidRPr="00DA0815">
        <w:rPr>
          <w:rFonts w:ascii="Book Antiqua" w:hAnsi="Book Antiqua"/>
          <w:lang w:val="es-ES"/>
        </w:rPr>
        <w:t>incapacitados,</w:t>
      </w:r>
    </w:p>
    <w:p w14:paraId="59B7259A" w14:textId="1FB33327"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negligencia en el cuidado</w:t>
      </w:r>
      <w:r w:rsidR="00FF40CF">
        <w:rPr>
          <w:rFonts w:ascii="Book Antiqua" w:hAnsi="Book Antiqua"/>
          <w:lang w:val="es-ES"/>
        </w:rPr>
        <w:t xml:space="preserve"> </w:t>
      </w:r>
      <w:r w:rsidR="00FF40CF" w:rsidRPr="00FF40CF">
        <w:rPr>
          <w:rFonts w:ascii="Book Antiqua" w:hAnsi="Book Antiqua"/>
          <w:lang w:val="es-ES"/>
        </w:rPr>
        <w:t>de personas de edad avanzada e incapacitados</w:t>
      </w:r>
      <w:r w:rsidR="00FF40CF">
        <w:rPr>
          <w:rFonts w:ascii="Book Antiqua" w:hAnsi="Book Antiqua"/>
          <w:lang w:val="es-ES"/>
        </w:rPr>
        <w:t>,</w:t>
      </w:r>
      <w:r>
        <w:rPr>
          <w:rFonts w:ascii="Book Antiqua" w:hAnsi="Book Antiqua"/>
          <w:lang w:val="es-ES"/>
        </w:rPr>
        <w:t xml:space="preserve"> </w:t>
      </w:r>
    </w:p>
    <w:p w14:paraId="737F7321" w14:textId="1DD058B2"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maltrato</w:t>
      </w:r>
      <w:r w:rsidR="00FF40CF">
        <w:rPr>
          <w:rFonts w:ascii="Book Antiqua" w:hAnsi="Book Antiqua"/>
          <w:lang w:val="es-ES"/>
        </w:rPr>
        <w:t xml:space="preserve"> </w:t>
      </w:r>
      <w:r w:rsidR="00FF40CF" w:rsidRPr="00DA0815">
        <w:rPr>
          <w:rFonts w:ascii="Book Antiqua" w:hAnsi="Book Antiqua"/>
          <w:lang w:val="es-ES"/>
        </w:rPr>
        <w:t>a personas de edad avanzada</w:t>
      </w:r>
      <w:r w:rsidRPr="00DA0815">
        <w:rPr>
          <w:rFonts w:ascii="Book Antiqua" w:hAnsi="Book Antiqua"/>
          <w:lang w:val="es-ES"/>
        </w:rPr>
        <w:t>,</w:t>
      </w:r>
    </w:p>
    <w:p w14:paraId="5EF84593" w14:textId="77777777"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maltrato a personas de edad avanzada</w:t>
      </w:r>
      <w:r>
        <w:rPr>
          <w:rFonts w:ascii="Book Antiqua" w:hAnsi="Book Antiqua"/>
          <w:lang w:val="es-ES"/>
        </w:rPr>
        <w:t xml:space="preserve"> </w:t>
      </w:r>
      <w:r w:rsidRPr="00DA0815">
        <w:rPr>
          <w:rFonts w:ascii="Book Antiqua" w:hAnsi="Book Antiqua"/>
          <w:lang w:val="es-ES"/>
        </w:rPr>
        <w:t>mediante amenaza,</w:t>
      </w:r>
    </w:p>
    <w:p w14:paraId="01EE88A8" w14:textId="679D75DF" w:rsid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explotación financiera</w:t>
      </w:r>
      <w:r w:rsidR="0041555D">
        <w:rPr>
          <w:rFonts w:ascii="Book Antiqua" w:hAnsi="Book Antiqua"/>
          <w:lang w:val="es-ES"/>
        </w:rPr>
        <w:t xml:space="preserve"> </w:t>
      </w:r>
      <w:r w:rsidR="0041555D" w:rsidRPr="00DA0815">
        <w:rPr>
          <w:rFonts w:ascii="Book Antiqua" w:hAnsi="Book Antiqua"/>
          <w:lang w:val="es-ES"/>
        </w:rPr>
        <w:t>a personas de edad avanzada</w:t>
      </w:r>
      <w:r>
        <w:rPr>
          <w:rFonts w:ascii="Book Antiqua" w:hAnsi="Book Antiqua"/>
          <w:lang w:val="es-ES"/>
        </w:rPr>
        <w:t>,</w:t>
      </w:r>
      <w:r w:rsidRPr="00DA0815">
        <w:rPr>
          <w:rFonts w:ascii="Book Antiqua" w:hAnsi="Book Antiqua"/>
          <w:lang w:val="es-ES"/>
        </w:rPr>
        <w:t xml:space="preserve"> y </w:t>
      </w:r>
    </w:p>
    <w:p w14:paraId="29986CFF" w14:textId="51531D26" w:rsidR="00E01882" w:rsidRPr="00DA0815" w:rsidRDefault="00DA0815" w:rsidP="00DA0815">
      <w:pPr>
        <w:pStyle w:val="ListParagraph"/>
        <w:numPr>
          <w:ilvl w:val="0"/>
          <w:numId w:val="7"/>
        </w:numPr>
        <w:tabs>
          <w:tab w:val="left" w:pos="-720"/>
        </w:tabs>
        <w:suppressAutoHyphens/>
        <w:jc w:val="both"/>
        <w:rPr>
          <w:rFonts w:ascii="Book Antiqua" w:hAnsi="Book Antiqua"/>
          <w:lang w:val="es-ES"/>
        </w:rPr>
      </w:pPr>
      <w:r w:rsidRPr="00DA0815">
        <w:rPr>
          <w:rFonts w:ascii="Book Antiqua" w:hAnsi="Book Antiqua"/>
          <w:lang w:val="es-ES"/>
        </w:rPr>
        <w:t>fraude de gravamen contra personas de edad</w:t>
      </w:r>
      <w:r>
        <w:rPr>
          <w:rFonts w:ascii="Book Antiqua" w:hAnsi="Book Antiqua"/>
          <w:lang w:val="es-ES"/>
        </w:rPr>
        <w:t xml:space="preserve"> </w:t>
      </w:r>
      <w:r w:rsidRPr="00DA0815">
        <w:rPr>
          <w:rFonts w:ascii="Book Antiqua" w:hAnsi="Book Antiqua"/>
          <w:lang w:val="es-ES"/>
        </w:rPr>
        <w:t>avanzada.</w:t>
      </w:r>
    </w:p>
    <w:p w14:paraId="1B58CB80" w14:textId="77777777" w:rsidR="0012002A" w:rsidRDefault="0012002A" w:rsidP="0012002A">
      <w:pPr>
        <w:tabs>
          <w:tab w:val="left" w:pos="-720"/>
        </w:tabs>
        <w:suppressAutoHyphens/>
        <w:jc w:val="both"/>
        <w:rPr>
          <w:rFonts w:ascii="Book Antiqua" w:hAnsi="Book Antiqua"/>
          <w:lang w:val="es-ES"/>
        </w:rPr>
      </w:pPr>
    </w:p>
    <w:p w14:paraId="35931FC5" w14:textId="46E744A7" w:rsidR="00940E84" w:rsidRDefault="0012002A" w:rsidP="007122B1">
      <w:pPr>
        <w:tabs>
          <w:tab w:val="left" w:pos="-720"/>
        </w:tabs>
        <w:suppressAutoHyphens/>
        <w:jc w:val="both"/>
        <w:rPr>
          <w:rFonts w:ascii="Book Antiqua" w:hAnsi="Book Antiqua"/>
          <w:lang w:val="es-ES"/>
        </w:rPr>
      </w:pPr>
      <w:r>
        <w:rPr>
          <w:rFonts w:ascii="Book Antiqua" w:hAnsi="Book Antiqua"/>
          <w:lang w:val="es-ES"/>
        </w:rPr>
        <w:tab/>
        <w:t xml:space="preserve">A juicio del Departamento, </w:t>
      </w:r>
      <w:r w:rsidRPr="0012002A">
        <w:rPr>
          <w:rFonts w:ascii="Book Antiqua" w:hAnsi="Book Antiqua"/>
          <w:lang w:val="es-ES"/>
        </w:rPr>
        <w:t>el proyecto de ley tiene un propósito más amplio en</w:t>
      </w:r>
      <w:r>
        <w:rPr>
          <w:rFonts w:ascii="Book Antiqua" w:hAnsi="Book Antiqua"/>
          <w:lang w:val="es-ES"/>
        </w:rPr>
        <w:t xml:space="preserve"> </w:t>
      </w:r>
      <w:r w:rsidRPr="0012002A">
        <w:rPr>
          <w:rFonts w:ascii="Book Antiqua" w:hAnsi="Book Antiqua"/>
          <w:lang w:val="es-ES"/>
        </w:rPr>
        <w:t>cuanto a las instancias en las que debería comparecer el fiscal, ya que la propuesta legislativa se</w:t>
      </w:r>
      <w:r>
        <w:rPr>
          <w:rFonts w:ascii="Book Antiqua" w:hAnsi="Book Antiqua"/>
          <w:lang w:val="es-ES"/>
        </w:rPr>
        <w:t xml:space="preserve"> </w:t>
      </w:r>
      <w:r w:rsidRPr="0012002A">
        <w:rPr>
          <w:rFonts w:ascii="Book Antiqua" w:hAnsi="Book Antiqua"/>
          <w:lang w:val="es-ES"/>
        </w:rPr>
        <w:t xml:space="preserve">extiende a </w:t>
      </w:r>
      <w:r w:rsidRPr="0012002A">
        <w:rPr>
          <w:rFonts w:ascii="Book Antiqua" w:hAnsi="Book Antiqua"/>
          <w:b/>
          <w:bCs/>
          <w:lang w:val="es-ES"/>
        </w:rPr>
        <w:t>toda</w:t>
      </w:r>
      <w:r w:rsidRPr="0012002A">
        <w:rPr>
          <w:rFonts w:ascii="Book Antiqua" w:hAnsi="Book Antiqua"/>
          <w:lang w:val="es-ES"/>
        </w:rPr>
        <w:t xml:space="preserve"> víctima mayor de 60 años. Esto implica que el Tribunal pudiera requerir la</w:t>
      </w:r>
      <w:r>
        <w:rPr>
          <w:rFonts w:ascii="Book Antiqua" w:hAnsi="Book Antiqua"/>
          <w:lang w:val="es-ES"/>
        </w:rPr>
        <w:t xml:space="preserve"> </w:t>
      </w:r>
      <w:r w:rsidRPr="0012002A">
        <w:rPr>
          <w:rFonts w:ascii="Book Antiqua" w:hAnsi="Book Antiqua"/>
          <w:lang w:val="es-ES"/>
        </w:rPr>
        <w:t>comparecencia de un fiscal en delitos menos graves, en los que típicamente la denuncia no es</w:t>
      </w:r>
      <w:r>
        <w:rPr>
          <w:rFonts w:ascii="Book Antiqua" w:hAnsi="Book Antiqua"/>
          <w:lang w:val="es-ES"/>
        </w:rPr>
        <w:t xml:space="preserve"> </w:t>
      </w:r>
      <w:r w:rsidRPr="0012002A">
        <w:rPr>
          <w:rFonts w:ascii="Book Antiqua" w:hAnsi="Book Antiqua"/>
          <w:lang w:val="es-ES"/>
        </w:rPr>
        <w:t>autorizada por un fiscal, pero la víctima es un adulto mayor.</w:t>
      </w:r>
      <w:r>
        <w:rPr>
          <w:rFonts w:ascii="Book Antiqua" w:hAnsi="Book Antiqua"/>
          <w:lang w:val="es-ES"/>
        </w:rPr>
        <w:t xml:space="preserve"> </w:t>
      </w:r>
      <w:r w:rsidR="00316E0D">
        <w:rPr>
          <w:rFonts w:ascii="Book Antiqua" w:hAnsi="Book Antiqua"/>
          <w:lang w:val="es-ES"/>
        </w:rPr>
        <w:t xml:space="preserve">Por lo tanto, el Departamento condiciona su apoyo a que la propuesta legislativa se limite a las vistas </w:t>
      </w:r>
      <w:r w:rsidR="00C00E4E" w:rsidRPr="00C00E4E">
        <w:rPr>
          <w:rFonts w:ascii="Book Antiqua" w:hAnsi="Book Antiqua"/>
          <w:lang w:val="es-ES"/>
        </w:rPr>
        <w:t xml:space="preserve">de causa para arresto en los que se impute violación a la Sección Tercera </w:t>
      </w:r>
      <w:r w:rsidR="00C00E4E" w:rsidRPr="00DA0815">
        <w:rPr>
          <w:rFonts w:ascii="Book Antiqua" w:hAnsi="Book Antiqua"/>
          <w:lang w:val="es-ES"/>
        </w:rPr>
        <w:t>de</w:t>
      </w:r>
      <w:r w:rsidR="00C00E4E">
        <w:rPr>
          <w:rFonts w:ascii="Book Antiqua" w:hAnsi="Book Antiqua"/>
          <w:lang w:val="es-ES"/>
        </w:rPr>
        <w:t xml:space="preserve">l Capítulo III </w:t>
      </w:r>
      <w:r w:rsidR="00C00E4E" w:rsidRPr="00C00E4E">
        <w:rPr>
          <w:rFonts w:ascii="Book Antiqua" w:hAnsi="Book Antiqua"/>
          <w:lang w:val="es-ES"/>
        </w:rPr>
        <w:t>del Código Penal</w:t>
      </w:r>
      <w:r w:rsidR="007122B1">
        <w:rPr>
          <w:rFonts w:ascii="Book Antiqua" w:hAnsi="Book Antiqua"/>
          <w:lang w:val="es-ES"/>
        </w:rPr>
        <w:t xml:space="preserve"> y </w:t>
      </w:r>
      <w:r w:rsidR="007122B1" w:rsidRPr="007122B1">
        <w:rPr>
          <w:rFonts w:ascii="Book Antiqua" w:hAnsi="Book Antiqua"/>
          <w:lang w:val="es-ES"/>
        </w:rPr>
        <w:t>lesión negligente</w:t>
      </w:r>
      <w:r w:rsidR="007122B1">
        <w:rPr>
          <w:rFonts w:ascii="Book Antiqua" w:hAnsi="Book Antiqua"/>
          <w:lang w:val="es-ES"/>
        </w:rPr>
        <w:t>,</w:t>
      </w:r>
      <w:r w:rsidR="007122B1" w:rsidRPr="007122B1">
        <w:rPr>
          <w:rFonts w:ascii="Book Antiqua" w:hAnsi="Book Antiqua"/>
          <w:lang w:val="es-ES"/>
        </w:rPr>
        <w:t xml:space="preserve"> tentativa de</w:t>
      </w:r>
      <w:r w:rsidR="00B3039D">
        <w:rPr>
          <w:rFonts w:ascii="Book Antiqua" w:hAnsi="Book Antiqua"/>
          <w:lang w:val="es-ES"/>
        </w:rPr>
        <w:t xml:space="preserve"> </w:t>
      </w:r>
      <w:r w:rsidR="007122B1" w:rsidRPr="007122B1">
        <w:rPr>
          <w:rFonts w:ascii="Book Antiqua" w:hAnsi="Book Antiqua"/>
          <w:lang w:val="es-ES"/>
        </w:rPr>
        <w:t xml:space="preserve">asesinato hacia adultos mayores, </w:t>
      </w:r>
      <w:r w:rsidR="007122B1">
        <w:rPr>
          <w:rFonts w:ascii="Book Antiqua" w:hAnsi="Book Antiqua"/>
          <w:lang w:val="es-ES"/>
        </w:rPr>
        <w:t>y</w:t>
      </w:r>
      <w:r w:rsidR="007122B1" w:rsidRPr="007122B1">
        <w:rPr>
          <w:rFonts w:ascii="Book Antiqua" w:hAnsi="Book Antiqua"/>
          <w:lang w:val="es-ES"/>
        </w:rPr>
        <w:t xml:space="preserve"> violación a la orden de protección expedida a favor de un</w:t>
      </w:r>
      <w:r w:rsidR="007122B1">
        <w:rPr>
          <w:rFonts w:ascii="Book Antiqua" w:hAnsi="Book Antiqua"/>
          <w:lang w:val="es-ES"/>
        </w:rPr>
        <w:t xml:space="preserve"> </w:t>
      </w:r>
      <w:r w:rsidR="007122B1" w:rsidRPr="007122B1">
        <w:rPr>
          <w:rFonts w:ascii="Book Antiqua" w:hAnsi="Book Antiqua"/>
          <w:lang w:val="es-ES"/>
        </w:rPr>
        <w:t>adulto mayor.</w:t>
      </w:r>
    </w:p>
    <w:p w14:paraId="70605E10" w14:textId="28D4B8B6" w:rsidR="007371E3" w:rsidRPr="007371E3" w:rsidRDefault="007371E3" w:rsidP="007371E3">
      <w:pPr>
        <w:tabs>
          <w:tab w:val="left" w:pos="-720"/>
        </w:tabs>
        <w:suppressAutoHyphens/>
        <w:jc w:val="both"/>
        <w:rPr>
          <w:rFonts w:ascii="Book Antiqua" w:hAnsi="Book Antiqua"/>
          <w:lang w:val="es-ES"/>
        </w:rPr>
      </w:pPr>
      <w:r>
        <w:rPr>
          <w:rFonts w:ascii="Book Antiqua" w:hAnsi="Book Antiqua"/>
          <w:lang w:val="es-ES"/>
        </w:rPr>
        <w:tab/>
        <w:t xml:space="preserve">Asimismo, el Departamento expresó que </w:t>
      </w:r>
      <w:r w:rsidRPr="007371E3">
        <w:rPr>
          <w:rFonts w:ascii="Book Antiqua" w:hAnsi="Book Antiqua"/>
          <w:lang w:val="es-ES"/>
        </w:rPr>
        <w:t>el Proyecto, según está redactado, podría incidir en los planes de trabajo de</w:t>
      </w:r>
      <w:r>
        <w:rPr>
          <w:rFonts w:ascii="Book Antiqua" w:hAnsi="Book Antiqua"/>
          <w:lang w:val="es-ES"/>
        </w:rPr>
        <w:t xml:space="preserve"> </w:t>
      </w:r>
      <w:r w:rsidRPr="007371E3">
        <w:rPr>
          <w:rFonts w:ascii="Book Antiqua" w:hAnsi="Book Antiqua"/>
          <w:lang w:val="es-ES"/>
        </w:rPr>
        <w:t>las fiscalías, que ya se están ejecutando, al excluir a los fiscales especiales de esta función.</w:t>
      </w:r>
      <w:r>
        <w:rPr>
          <w:rFonts w:ascii="Book Antiqua" w:hAnsi="Book Antiqua"/>
          <w:lang w:val="es-ES"/>
        </w:rPr>
        <w:t xml:space="preserve"> También</w:t>
      </w:r>
      <w:r w:rsidRPr="007371E3">
        <w:rPr>
          <w:rFonts w:ascii="Book Antiqua" w:hAnsi="Book Antiqua"/>
          <w:lang w:val="es-ES"/>
        </w:rPr>
        <w:t xml:space="preserve"> podría generar complicaciones en los casos radicados por fiscales especiales adscritos</w:t>
      </w:r>
      <w:r>
        <w:rPr>
          <w:rFonts w:ascii="Book Antiqua" w:hAnsi="Book Antiqua"/>
          <w:lang w:val="es-ES"/>
        </w:rPr>
        <w:t xml:space="preserve"> </w:t>
      </w:r>
      <w:r w:rsidRPr="007371E3">
        <w:rPr>
          <w:rFonts w:ascii="Book Antiqua" w:hAnsi="Book Antiqua"/>
          <w:lang w:val="es-ES"/>
        </w:rPr>
        <w:t>a divisiones como la de Delitos Económicos, en los que investigan y procesan esquemas de</w:t>
      </w:r>
      <w:r>
        <w:rPr>
          <w:rFonts w:ascii="Book Antiqua" w:hAnsi="Book Antiqua"/>
          <w:lang w:val="es-ES"/>
        </w:rPr>
        <w:t xml:space="preserve"> </w:t>
      </w:r>
      <w:r w:rsidRPr="007371E3">
        <w:rPr>
          <w:rFonts w:ascii="Book Antiqua" w:hAnsi="Book Antiqua"/>
          <w:lang w:val="es-ES"/>
        </w:rPr>
        <w:t>explotación financiera de adultos mayores en cuantías superiores a cincuenta mil dólares. Así</w:t>
      </w:r>
      <w:r>
        <w:rPr>
          <w:rFonts w:ascii="Book Antiqua" w:hAnsi="Book Antiqua"/>
          <w:lang w:val="es-ES"/>
        </w:rPr>
        <w:t xml:space="preserve"> </w:t>
      </w:r>
      <w:r w:rsidRPr="007371E3">
        <w:rPr>
          <w:rFonts w:ascii="Book Antiqua" w:hAnsi="Book Antiqua"/>
          <w:lang w:val="es-ES"/>
        </w:rPr>
        <w:t xml:space="preserve">pues, </w:t>
      </w:r>
      <w:r>
        <w:rPr>
          <w:rFonts w:ascii="Book Antiqua" w:hAnsi="Book Antiqua"/>
          <w:lang w:val="es-ES"/>
        </w:rPr>
        <w:t>el Departamento solicita</w:t>
      </w:r>
      <w:r w:rsidRPr="007371E3">
        <w:rPr>
          <w:rFonts w:ascii="Book Antiqua" w:hAnsi="Book Antiqua"/>
          <w:lang w:val="es-ES"/>
        </w:rPr>
        <w:t xml:space="preserve"> que se reformule la enmienda a los efectos </w:t>
      </w:r>
      <w:r w:rsidRPr="007371E3">
        <w:rPr>
          <w:rFonts w:ascii="Book Antiqua" w:hAnsi="Book Antiqua"/>
          <w:lang w:val="es-ES"/>
        </w:rPr>
        <w:lastRenderedPageBreak/>
        <w:t>de establecer</w:t>
      </w:r>
      <w:r>
        <w:rPr>
          <w:rFonts w:ascii="Book Antiqua" w:hAnsi="Book Antiqua"/>
          <w:lang w:val="es-ES"/>
        </w:rPr>
        <w:t xml:space="preserve"> </w:t>
      </w:r>
      <w:r w:rsidRPr="007371E3">
        <w:rPr>
          <w:rFonts w:ascii="Book Antiqua" w:hAnsi="Book Antiqua"/>
          <w:lang w:val="es-ES"/>
        </w:rPr>
        <w:t>expresamente que los fiscales especiales están comprendidos dentro de la competencia atribuida</w:t>
      </w:r>
      <w:r>
        <w:rPr>
          <w:rFonts w:ascii="Book Antiqua" w:hAnsi="Book Antiqua"/>
          <w:lang w:val="es-ES"/>
        </w:rPr>
        <w:t xml:space="preserve"> </w:t>
      </w:r>
      <w:r w:rsidRPr="007371E3">
        <w:rPr>
          <w:rFonts w:ascii="Book Antiqua" w:hAnsi="Book Antiqua"/>
          <w:lang w:val="es-ES"/>
        </w:rPr>
        <w:t>por esta disposición.</w:t>
      </w:r>
      <w:r>
        <w:rPr>
          <w:rFonts w:ascii="Book Antiqua" w:hAnsi="Book Antiqua"/>
          <w:lang w:val="es-ES"/>
        </w:rPr>
        <w:t xml:space="preserve"> </w:t>
      </w:r>
      <w:r w:rsidRPr="007371E3">
        <w:rPr>
          <w:rFonts w:ascii="Book Antiqua" w:hAnsi="Book Antiqua"/>
          <w:lang w:val="es-ES"/>
        </w:rPr>
        <w:t xml:space="preserve">De igual forma, </w:t>
      </w:r>
      <w:r>
        <w:rPr>
          <w:rFonts w:ascii="Book Antiqua" w:hAnsi="Book Antiqua"/>
          <w:lang w:val="es-ES"/>
        </w:rPr>
        <w:t>recomiendan</w:t>
      </w:r>
      <w:r w:rsidRPr="007371E3">
        <w:rPr>
          <w:rFonts w:ascii="Book Antiqua" w:hAnsi="Book Antiqua"/>
          <w:lang w:val="es-ES"/>
        </w:rPr>
        <w:t xml:space="preserve"> que se modifique el siguiente lenguaje: “el fiscal que estuvo</w:t>
      </w:r>
      <w:r>
        <w:rPr>
          <w:rFonts w:ascii="Book Antiqua" w:hAnsi="Book Antiqua"/>
          <w:lang w:val="es-ES"/>
        </w:rPr>
        <w:t xml:space="preserve"> </w:t>
      </w:r>
      <w:r w:rsidRPr="007371E3">
        <w:rPr>
          <w:rFonts w:ascii="Book Antiqua" w:hAnsi="Book Antiqua"/>
          <w:lang w:val="es-ES"/>
        </w:rPr>
        <w:t>presente en la vista tendrá la responsabilidad de continuar con la asignación del caso en todas</w:t>
      </w:r>
      <w:r>
        <w:rPr>
          <w:rFonts w:ascii="Book Antiqua" w:hAnsi="Book Antiqua"/>
          <w:lang w:val="es-ES"/>
        </w:rPr>
        <w:t xml:space="preserve"> </w:t>
      </w:r>
      <w:r w:rsidRPr="007371E3">
        <w:rPr>
          <w:rFonts w:ascii="Book Antiqua" w:hAnsi="Book Antiqua"/>
          <w:lang w:val="es-ES"/>
        </w:rPr>
        <w:t>las etapas del procesamiento criminal”, a los fines de que la pieza legislativa incorpore un texto</w:t>
      </w:r>
      <w:r>
        <w:rPr>
          <w:rFonts w:ascii="Book Antiqua" w:hAnsi="Book Antiqua"/>
          <w:lang w:val="es-ES"/>
        </w:rPr>
        <w:t xml:space="preserve"> </w:t>
      </w:r>
      <w:r w:rsidRPr="007371E3">
        <w:rPr>
          <w:rFonts w:ascii="Book Antiqua" w:hAnsi="Book Antiqua"/>
          <w:lang w:val="es-ES"/>
        </w:rPr>
        <w:t xml:space="preserve">más flexible. A estos efectos, </w:t>
      </w:r>
      <w:r>
        <w:rPr>
          <w:rFonts w:ascii="Book Antiqua" w:hAnsi="Book Antiqua"/>
          <w:lang w:val="es-ES"/>
        </w:rPr>
        <w:t>sugieren</w:t>
      </w:r>
      <w:r w:rsidRPr="007371E3">
        <w:rPr>
          <w:rFonts w:ascii="Book Antiqua" w:hAnsi="Book Antiqua"/>
          <w:lang w:val="es-ES"/>
        </w:rPr>
        <w:t xml:space="preserve"> añadir la siguiente frase: “siempre que la distribución de</w:t>
      </w:r>
      <w:r>
        <w:rPr>
          <w:rFonts w:ascii="Book Antiqua" w:hAnsi="Book Antiqua"/>
          <w:lang w:val="es-ES"/>
        </w:rPr>
        <w:t xml:space="preserve"> </w:t>
      </w:r>
      <w:r w:rsidRPr="007371E3">
        <w:rPr>
          <w:rFonts w:ascii="Book Antiqua" w:hAnsi="Book Antiqua"/>
          <w:lang w:val="es-ES"/>
        </w:rPr>
        <w:t>recursos de las Fiscalías así lo permitan”.</w:t>
      </w:r>
    </w:p>
    <w:p w14:paraId="3F83610F" w14:textId="77777777" w:rsidR="0012002A" w:rsidRDefault="0012002A" w:rsidP="000C52A1">
      <w:pPr>
        <w:tabs>
          <w:tab w:val="left" w:pos="-720"/>
        </w:tabs>
        <w:suppressAutoHyphens/>
        <w:ind w:firstLine="360"/>
        <w:jc w:val="center"/>
        <w:rPr>
          <w:rFonts w:ascii="Book Antiqua" w:hAnsi="Book Antiqua"/>
          <w:b/>
          <w:bCs/>
          <w:lang w:val="es-ES"/>
        </w:rPr>
      </w:pPr>
    </w:p>
    <w:p w14:paraId="302CAC3A" w14:textId="316D0C73" w:rsidR="00D13D23" w:rsidRPr="0008101E" w:rsidRDefault="0096171F" w:rsidP="000C52A1">
      <w:pPr>
        <w:tabs>
          <w:tab w:val="left" w:pos="-720"/>
        </w:tabs>
        <w:suppressAutoHyphens/>
        <w:ind w:firstLine="360"/>
        <w:jc w:val="center"/>
        <w:rPr>
          <w:rFonts w:ascii="Book Antiqua" w:hAnsi="Book Antiqua"/>
          <w:b/>
          <w:bCs/>
          <w:lang w:val="es-ES"/>
        </w:rPr>
      </w:pPr>
      <w:r w:rsidRPr="0008101E">
        <w:rPr>
          <w:rFonts w:ascii="Book Antiqua" w:hAnsi="Book Antiqua"/>
          <w:b/>
          <w:bCs/>
          <w:lang w:val="es-ES"/>
        </w:rPr>
        <w:t>I</w:t>
      </w:r>
      <w:r w:rsidR="002C402D" w:rsidRPr="0008101E">
        <w:rPr>
          <w:rFonts w:ascii="Book Antiqua" w:hAnsi="Book Antiqua"/>
          <w:b/>
          <w:bCs/>
          <w:lang w:val="es-ES"/>
        </w:rPr>
        <w:t>MPACTO FISCAL</w:t>
      </w:r>
      <w:r w:rsidR="00D13D23" w:rsidRPr="0008101E">
        <w:rPr>
          <w:rFonts w:ascii="Book Antiqua" w:hAnsi="Book Antiqua"/>
          <w:b/>
          <w:bCs/>
          <w:lang w:val="es-ES"/>
        </w:rPr>
        <w:t xml:space="preserve"> MUNICIPAL </w:t>
      </w:r>
    </w:p>
    <w:p w14:paraId="144378DC" w14:textId="77777777" w:rsidR="000C52A1" w:rsidRPr="0008101E" w:rsidRDefault="000C52A1" w:rsidP="000C52A1">
      <w:pPr>
        <w:tabs>
          <w:tab w:val="left" w:pos="-720"/>
        </w:tabs>
        <w:suppressAutoHyphens/>
        <w:ind w:firstLine="360"/>
        <w:jc w:val="center"/>
        <w:rPr>
          <w:rFonts w:ascii="Book Antiqua" w:hAnsi="Book Antiqua"/>
          <w:b/>
          <w:bCs/>
          <w:lang w:val="es-ES"/>
        </w:rPr>
      </w:pPr>
    </w:p>
    <w:p w14:paraId="3CD7EB56" w14:textId="18571028" w:rsidR="002C402D" w:rsidRPr="0008101E" w:rsidRDefault="004F6E72" w:rsidP="000C52A1">
      <w:pPr>
        <w:tabs>
          <w:tab w:val="left" w:pos="-720"/>
        </w:tabs>
        <w:suppressAutoHyphens/>
        <w:ind w:firstLine="360"/>
        <w:jc w:val="both"/>
        <w:rPr>
          <w:rFonts w:ascii="Book Antiqua" w:hAnsi="Book Antiqua"/>
          <w:lang w:val="es-ES"/>
        </w:rPr>
      </w:pPr>
      <w:r w:rsidRPr="0008101E">
        <w:rPr>
          <w:rFonts w:ascii="Book Antiqua" w:hAnsi="Book Antiqua"/>
          <w:lang w:val="es-ES"/>
        </w:rPr>
        <w:tab/>
      </w:r>
      <w:r w:rsidR="00D13D23" w:rsidRPr="0008101E">
        <w:rPr>
          <w:rFonts w:ascii="Book Antiqua" w:hAnsi="Book Antiqua"/>
          <w:lang w:val="es-ES"/>
        </w:rPr>
        <w:t xml:space="preserve">En cumplimiento con el Artículo 1.007 de la Ley Núm. 107–2020, según enmendada, conocida como “Código Municipal de Puerto Rico”, la </w:t>
      </w:r>
      <w:r w:rsidR="00BE6740" w:rsidRPr="0008101E">
        <w:rPr>
          <w:rFonts w:ascii="Book Antiqua" w:hAnsi="Book Antiqua"/>
          <w:spacing w:val="-3"/>
          <w:lang w:val="es-ES"/>
        </w:rPr>
        <w:t>Comisión de lo Jurídico del Senado de Puerto Rico</w:t>
      </w:r>
      <w:r w:rsidR="00BE6740" w:rsidRPr="0008101E">
        <w:rPr>
          <w:rFonts w:ascii="Book Antiqua" w:hAnsi="Book Antiqua"/>
          <w:lang w:val="es-ES"/>
        </w:rPr>
        <w:t xml:space="preserve"> </w:t>
      </w:r>
      <w:r w:rsidRPr="0008101E">
        <w:rPr>
          <w:rFonts w:ascii="Book Antiqua" w:hAnsi="Book Antiqua"/>
          <w:lang w:val="es-ES"/>
        </w:rPr>
        <w:t xml:space="preserve">certifica que el </w:t>
      </w:r>
      <w:r w:rsidR="00201567" w:rsidRPr="0008101E">
        <w:rPr>
          <w:rFonts w:ascii="Book Antiqua" w:hAnsi="Book Antiqua"/>
          <w:lang w:val="es-ES"/>
        </w:rPr>
        <w:t xml:space="preserve">P. del S. </w:t>
      </w:r>
      <w:r w:rsidR="001B0851">
        <w:rPr>
          <w:rFonts w:ascii="Book Antiqua" w:hAnsi="Book Antiqua"/>
          <w:lang w:val="es-ES"/>
        </w:rPr>
        <w:t>436</w:t>
      </w:r>
      <w:r w:rsidR="00201567" w:rsidRPr="0008101E">
        <w:rPr>
          <w:rFonts w:ascii="Book Antiqua" w:hAnsi="Book Antiqua"/>
          <w:lang w:val="es-ES"/>
        </w:rPr>
        <w:t xml:space="preserve"> </w:t>
      </w:r>
      <w:r w:rsidR="00D13D23" w:rsidRPr="0008101E">
        <w:rPr>
          <w:rFonts w:ascii="Book Antiqua" w:hAnsi="Book Antiqua"/>
          <w:lang w:val="es-ES"/>
        </w:rPr>
        <w:t>no impone una obligación económica en el presupuesto</w:t>
      </w:r>
      <w:r w:rsidR="00946BB4" w:rsidRPr="0008101E">
        <w:rPr>
          <w:rFonts w:ascii="Book Antiqua" w:hAnsi="Book Antiqua"/>
          <w:lang w:val="es-ES"/>
        </w:rPr>
        <w:t xml:space="preserve"> de los gobiernos municipales. </w:t>
      </w:r>
    </w:p>
    <w:p w14:paraId="426C19E9" w14:textId="77777777" w:rsidR="00946BB4" w:rsidRPr="0008101E" w:rsidRDefault="00946BB4" w:rsidP="000C52A1">
      <w:pPr>
        <w:tabs>
          <w:tab w:val="left" w:pos="-720"/>
        </w:tabs>
        <w:suppressAutoHyphens/>
        <w:ind w:firstLine="360"/>
        <w:jc w:val="both"/>
        <w:rPr>
          <w:rFonts w:ascii="Book Antiqua" w:hAnsi="Book Antiqua"/>
          <w:lang w:val="es-ES"/>
        </w:rPr>
      </w:pPr>
    </w:p>
    <w:p w14:paraId="482AC70D" w14:textId="77777777" w:rsidR="0096171F" w:rsidRPr="0008101E" w:rsidRDefault="0096171F" w:rsidP="000C52A1">
      <w:pPr>
        <w:tabs>
          <w:tab w:val="left" w:pos="-720"/>
        </w:tabs>
        <w:suppressAutoHyphens/>
        <w:ind w:firstLine="360"/>
        <w:jc w:val="center"/>
        <w:rPr>
          <w:rFonts w:ascii="Book Antiqua" w:hAnsi="Book Antiqua"/>
          <w:b/>
          <w:bCs/>
          <w:lang w:val="es-ES"/>
        </w:rPr>
      </w:pPr>
      <w:r w:rsidRPr="0008101E">
        <w:rPr>
          <w:rFonts w:ascii="Book Antiqua" w:hAnsi="Book Antiqua"/>
          <w:b/>
          <w:bCs/>
          <w:lang w:val="es-ES"/>
        </w:rPr>
        <w:t>C</w:t>
      </w:r>
      <w:r w:rsidR="002C402D" w:rsidRPr="0008101E">
        <w:rPr>
          <w:rFonts w:ascii="Book Antiqua" w:hAnsi="Book Antiqua"/>
          <w:b/>
          <w:bCs/>
          <w:lang w:val="es-ES"/>
        </w:rPr>
        <w:t xml:space="preserve">ONCLUSIÓN </w:t>
      </w:r>
    </w:p>
    <w:p w14:paraId="040801D3" w14:textId="77777777" w:rsidR="000C52A1" w:rsidRPr="0008101E" w:rsidRDefault="000C52A1" w:rsidP="000C52A1">
      <w:pPr>
        <w:tabs>
          <w:tab w:val="left" w:pos="-720"/>
        </w:tabs>
        <w:suppressAutoHyphens/>
        <w:ind w:firstLine="360"/>
        <w:jc w:val="center"/>
        <w:rPr>
          <w:rFonts w:ascii="Book Antiqua" w:hAnsi="Book Antiqua"/>
          <w:b/>
          <w:bCs/>
          <w:lang w:val="es-ES"/>
        </w:rPr>
      </w:pPr>
    </w:p>
    <w:p w14:paraId="2D81B2DA" w14:textId="063BADED" w:rsidR="000B071A" w:rsidRPr="0008101E" w:rsidRDefault="00006DDC" w:rsidP="00DF45DC">
      <w:pPr>
        <w:tabs>
          <w:tab w:val="left" w:pos="-720"/>
        </w:tabs>
        <w:suppressAutoHyphens/>
        <w:ind w:firstLine="360"/>
        <w:jc w:val="both"/>
        <w:rPr>
          <w:rFonts w:ascii="Book Antiqua" w:hAnsi="Book Antiqua"/>
          <w:lang w:val="es-ES"/>
        </w:rPr>
      </w:pPr>
      <w:r w:rsidRPr="0008101E">
        <w:rPr>
          <w:rFonts w:ascii="Book Antiqua" w:hAnsi="Book Antiqua"/>
          <w:lang w:val="es-ES"/>
        </w:rPr>
        <w:tab/>
        <w:t xml:space="preserve">La </w:t>
      </w:r>
      <w:r w:rsidR="00F86C0C" w:rsidRPr="0008101E">
        <w:rPr>
          <w:rFonts w:ascii="Book Antiqua" w:hAnsi="Book Antiqua"/>
          <w:spacing w:val="-3"/>
          <w:lang w:val="es-ES"/>
        </w:rPr>
        <w:t>Comisión de lo Jurídico del Senado de Puerto Rico</w:t>
      </w:r>
      <w:r w:rsidR="006C283C" w:rsidRPr="0008101E">
        <w:rPr>
          <w:rFonts w:ascii="Book Antiqua" w:hAnsi="Book Antiqua"/>
          <w:lang w:val="es-ES"/>
        </w:rPr>
        <w:t xml:space="preserve"> </w:t>
      </w:r>
      <w:r w:rsidR="004F6E72" w:rsidRPr="0008101E">
        <w:rPr>
          <w:rFonts w:ascii="Book Antiqua" w:hAnsi="Book Antiqua"/>
          <w:lang w:val="es-ES"/>
        </w:rPr>
        <w:t xml:space="preserve">efectuó un análisis minucioso </w:t>
      </w:r>
      <w:r w:rsidR="00201567" w:rsidRPr="0008101E">
        <w:rPr>
          <w:rFonts w:ascii="Book Antiqua" w:hAnsi="Book Antiqua"/>
          <w:lang w:val="es-ES"/>
        </w:rPr>
        <w:t xml:space="preserve">del P. del S. </w:t>
      </w:r>
      <w:r w:rsidR="000C711E">
        <w:rPr>
          <w:rFonts w:ascii="Book Antiqua" w:hAnsi="Book Antiqua"/>
          <w:lang w:val="es-ES"/>
        </w:rPr>
        <w:t>436,</w:t>
      </w:r>
      <w:r w:rsidR="00B702A0" w:rsidRPr="0008101E">
        <w:rPr>
          <w:rFonts w:ascii="Book Antiqua" w:hAnsi="Book Antiqua"/>
          <w:lang w:val="es-ES"/>
        </w:rPr>
        <w:t xml:space="preserve"> según fue referid</w:t>
      </w:r>
      <w:r w:rsidR="00201567" w:rsidRPr="0008101E">
        <w:rPr>
          <w:rFonts w:ascii="Book Antiqua" w:hAnsi="Book Antiqua"/>
          <w:lang w:val="es-ES"/>
        </w:rPr>
        <w:t>o</w:t>
      </w:r>
      <w:r w:rsidR="001D12A7" w:rsidRPr="0008101E">
        <w:rPr>
          <w:rFonts w:ascii="Book Antiqua" w:hAnsi="Book Antiqua"/>
          <w:lang w:val="es-ES"/>
        </w:rPr>
        <w:t>,</w:t>
      </w:r>
      <w:r w:rsidR="00B702A0" w:rsidRPr="0008101E">
        <w:rPr>
          <w:rFonts w:ascii="Book Antiqua" w:hAnsi="Book Antiqua"/>
          <w:lang w:val="es-ES"/>
        </w:rPr>
        <w:t xml:space="preserve"> también analiz</w:t>
      </w:r>
      <w:r w:rsidR="005354C6" w:rsidRPr="0008101E">
        <w:rPr>
          <w:rFonts w:ascii="Book Antiqua" w:hAnsi="Book Antiqua"/>
          <w:lang w:val="es-ES"/>
        </w:rPr>
        <w:t>ó</w:t>
      </w:r>
      <w:r w:rsidR="00B702A0" w:rsidRPr="0008101E">
        <w:rPr>
          <w:rFonts w:ascii="Book Antiqua" w:hAnsi="Book Antiqua"/>
          <w:lang w:val="es-ES"/>
        </w:rPr>
        <w:t xml:space="preserve"> </w:t>
      </w:r>
      <w:r w:rsidR="003703F6">
        <w:rPr>
          <w:rFonts w:ascii="Book Antiqua" w:hAnsi="Book Antiqua"/>
          <w:lang w:val="es-ES"/>
        </w:rPr>
        <w:t>el Código Penal de Puerto Rico, la Ley 121-2019, conocida como “</w:t>
      </w:r>
      <w:r w:rsidR="003703F6" w:rsidRPr="003703F6">
        <w:rPr>
          <w:rFonts w:ascii="Book Antiqua" w:hAnsi="Book Antiqua"/>
          <w:lang w:val="es-ES"/>
        </w:rPr>
        <w:t>Carta de Derechos y la Política Pública del Gobierno a Favor de los Adultos Mayores</w:t>
      </w:r>
      <w:r w:rsidR="003703F6">
        <w:rPr>
          <w:rFonts w:ascii="Book Antiqua" w:hAnsi="Book Antiqua"/>
          <w:lang w:val="es-ES"/>
        </w:rPr>
        <w:t>”, las Reglas de Procedimiento Criminal y los comentarios del Departamento de Justicia</w:t>
      </w:r>
    </w:p>
    <w:p w14:paraId="2C142B70" w14:textId="6FDBFA67" w:rsidR="00FD25D5" w:rsidRPr="00FD25D5" w:rsidRDefault="00FD25D5" w:rsidP="00FD25D5">
      <w:pPr>
        <w:tabs>
          <w:tab w:val="left" w:pos="-720"/>
        </w:tabs>
        <w:suppressAutoHyphens/>
        <w:ind w:firstLine="360"/>
        <w:jc w:val="both"/>
        <w:rPr>
          <w:rFonts w:ascii="Book Antiqua" w:hAnsi="Book Antiqua"/>
          <w:lang w:val="es-ES"/>
        </w:rPr>
      </w:pPr>
      <w:r>
        <w:rPr>
          <w:rFonts w:ascii="Book Antiqua" w:hAnsi="Book Antiqua"/>
          <w:lang w:val="es-ES"/>
        </w:rPr>
        <w:tab/>
      </w:r>
      <w:r w:rsidRPr="00FD25D5">
        <w:rPr>
          <w:rFonts w:ascii="Book Antiqua" w:hAnsi="Book Antiqua"/>
          <w:lang w:val="es-ES"/>
        </w:rPr>
        <w:t xml:space="preserve">De entrada, reconocemos que la política pública del </w:t>
      </w:r>
      <w:r>
        <w:rPr>
          <w:rFonts w:ascii="Book Antiqua" w:hAnsi="Book Antiqua"/>
          <w:lang w:val="es-ES"/>
        </w:rPr>
        <w:t>Gobierno</w:t>
      </w:r>
      <w:r w:rsidRPr="00FD25D5">
        <w:rPr>
          <w:rFonts w:ascii="Book Antiqua" w:hAnsi="Book Antiqua"/>
          <w:lang w:val="es-ES"/>
        </w:rPr>
        <w:t xml:space="preserve"> de Puerto Rico establece un mandato de protección y atención preferente hacia los adultos mayores, quienes representan un sector particularmente vulnerable de nuestra población. En ese sentido, la intención legislativa que inspira </w:t>
      </w:r>
      <w:r w:rsidR="00E525E1">
        <w:rPr>
          <w:rFonts w:ascii="Book Antiqua" w:hAnsi="Book Antiqua"/>
          <w:lang w:val="es-ES"/>
        </w:rPr>
        <w:t>el P. del S. 436</w:t>
      </w:r>
      <w:r w:rsidRPr="00FD25D5">
        <w:rPr>
          <w:rFonts w:ascii="Book Antiqua" w:hAnsi="Book Antiqua"/>
          <w:lang w:val="es-ES"/>
        </w:rPr>
        <w:t xml:space="preserve"> es loable y coherente con el marco normativo vigente que procura salvaguardar la vida, la integridad física y la seguridad jurídica de las personas de edad avanzada. La obligación de que un fiscal esté presente en la vista de causa probable para arresto constituye un paso afirmativo en la dirección correcta, pues robustece la protección procesal de este sector, asegura un trato más sensible y diligente hacia la víctima, y fortalece la confianza de la ciudadanía en el sistema de justicia penal.</w:t>
      </w:r>
    </w:p>
    <w:p w14:paraId="1CD3370A" w14:textId="1A2806B0" w:rsidR="00FD25D5" w:rsidRPr="00FD25D5" w:rsidRDefault="00E525E1" w:rsidP="00FD25D5">
      <w:pPr>
        <w:tabs>
          <w:tab w:val="left" w:pos="-720"/>
        </w:tabs>
        <w:suppressAutoHyphens/>
        <w:ind w:firstLine="360"/>
        <w:jc w:val="both"/>
        <w:rPr>
          <w:rFonts w:ascii="Book Antiqua" w:hAnsi="Book Antiqua"/>
          <w:lang w:val="es-ES"/>
        </w:rPr>
      </w:pPr>
      <w:r>
        <w:rPr>
          <w:rFonts w:ascii="Book Antiqua" w:hAnsi="Book Antiqua"/>
          <w:lang w:val="es-ES"/>
        </w:rPr>
        <w:tab/>
      </w:r>
      <w:r w:rsidR="00FD25D5" w:rsidRPr="00FD25D5">
        <w:rPr>
          <w:rFonts w:ascii="Book Antiqua" w:hAnsi="Book Antiqua"/>
          <w:lang w:val="es-ES"/>
        </w:rPr>
        <w:t xml:space="preserve">No obstante, es preciso destacar que la medida, tal y como fue radicada, contiene un alcance excesivamente amplio al exigir la comparecencia del Ministerio Público en todo caso en que la víctima sea mayor de 60 años, sin distinción de la naturaleza o gravedad del delito imputado. Ello podría generar cargas adicionales en la distribución de recursos </w:t>
      </w:r>
      <w:r w:rsidR="0053405C">
        <w:rPr>
          <w:rFonts w:ascii="Book Antiqua" w:hAnsi="Book Antiqua"/>
          <w:lang w:val="es-ES"/>
        </w:rPr>
        <w:t>del Ministerio Pública</w:t>
      </w:r>
      <w:r w:rsidR="00FD25D5" w:rsidRPr="00FD25D5">
        <w:rPr>
          <w:rFonts w:ascii="Book Antiqua" w:hAnsi="Book Antiqua"/>
          <w:lang w:val="es-ES"/>
        </w:rPr>
        <w:t xml:space="preserve">, así como dificultades administrativas en la operación ordinaria de las fiscalías. Esta realidad fue puntualmente señalada por el Departamento de Justicia, el cual condicionó su endoso a que la aplicación de la medida se limite a los delitos comprendidos en la Sección Tercera, Capítulo III del Código Penal, los casos de tentativa de asesinato y los de </w:t>
      </w:r>
      <w:r w:rsidR="00FD25D5" w:rsidRPr="00FD25D5">
        <w:rPr>
          <w:rFonts w:ascii="Book Antiqua" w:hAnsi="Book Antiqua"/>
          <w:lang w:val="es-ES"/>
        </w:rPr>
        <w:lastRenderedPageBreak/>
        <w:t>violación de órdenes de protección a favor de adultos mayores</w:t>
      </w:r>
      <w:r w:rsidR="00250490">
        <w:rPr>
          <w:rFonts w:ascii="Book Antiqua" w:hAnsi="Book Antiqua"/>
          <w:lang w:val="es-ES"/>
        </w:rPr>
        <w:t xml:space="preserve"> al amparo de la Ley 121-2019</w:t>
      </w:r>
      <w:r w:rsidR="00FD25D5" w:rsidRPr="00FD25D5">
        <w:rPr>
          <w:rFonts w:ascii="Book Antiqua" w:hAnsi="Book Antiqua"/>
          <w:lang w:val="es-ES"/>
        </w:rPr>
        <w:t xml:space="preserve">. </w:t>
      </w:r>
    </w:p>
    <w:p w14:paraId="6DF33BD1" w14:textId="2BD794DD" w:rsidR="00FD25D5" w:rsidRPr="00FD25D5" w:rsidRDefault="00CF3B30" w:rsidP="00FD25D5">
      <w:pPr>
        <w:tabs>
          <w:tab w:val="left" w:pos="-720"/>
        </w:tabs>
        <w:suppressAutoHyphens/>
        <w:ind w:firstLine="360"/>
        <w:jc w:val="both"/>
        <w:rPr>
          <w:rFonts w:ascii="Book Antiqua" w:hAnsi="Book Antiqua"/>
          <w:lang w:val="es-ES"/>
        </w:rPr>
      </w:pPr>
      <w:r>
        <w:rPr>
          <w:rFonts w:ascii="Book Antiqua" w:hAnsi="Book Antiqua"/>
          <w:lang w:val="es-ES"/>
        </w:rPr>
        <w:tab/>
      </w:r>
      <w:r w:rsidR="00FD25D5" w:rsidRPr="00FD25D5">
        <w:rPr>
          <w:rFonts w:ascii="Book Antiqua" w:hAnsi="Book Antiqua"/>
          <w:lang w:val="es-ES"/>
        </w:rPr>
        <w:t xml:space="preserve">De igual forma, </w:t>
      </w:r>
      <w:r>
        <w:rPr>
          <w:rFonts w:ascii="Book Antiqua" w:hAnsi="Book Antiqua"/>
          <w:lang w:val="es-ES"/>
        </w:rPr>
        <w:t xml:space="preserve">esta Comisión concluye que </w:t>
      </w:r>
      <w:r w:rsidR="00FD25D5" w:rsidRPr="00FD25D5">
        <w:rPr>
          <w:rFonts w:ascii="Book Antiqua" w:hAnsi="Book Antiqua"/>
          <w:lang w:val="es-ES"/>
        </w:rPr>
        <w:t>resulta prudente acoger las observaciones relacionadas con la flexibilidad en la distribución de los casos y la inclusión de los fiscales especiales. La redacción actual, al imponer rígidamente la obligación de que el fiscal que asista a la vista de Regla 6 deba continuar en todas las etapas del proceso, desconoce la complejidad de la administración de recursos humanos en el Departamento de Justicia y podría generar obstáculos innecesarios. Incorporar un lenguaje que permita ajustes razonables, tales como la cláusula “siempre que la distribución de recursos de las Fiscalías así lo permitan”, garantizaría un balance entre la continuidad deseada en la atención de los casos y la necesidad de mantener una administración eficiente de los fiscales disponibles.</w:t>
      </w:r>
    </w:p>
    <w:p w14:paraId="12984714" w14:textId="287DEAF6" w:rsidR="000B071A" w:rsidRPr="0008101E" w:rsidRDefault="006A6AD0" w:rsidP="00FD25D5">
      <w:pPr>
        <w:tabs>
          <w:tab w:val="left" w:pos="-720"/>
        </w:tabs>
        <w:suppressAutoHyphens/>
        <w:ind w:firstLine="360"/>
        <w:jc w:val="both"/>
        <w:rPr>
          <w:rFonts w:ascii="Book Antiqua" w:hAnsi="Book Antiqua"/>
          <w:b/>
          <w:bCs/>
          <w:lang w:val="es-ES"/>
        </w:rPr>
      </w:pPr>
      <w:r>
        <w:rPr>
          <w:rFonts w:ascii="Book Antiqua" w:hAnsi="Book Antiqua"/>
          <w:lang w:val="es-ES"/>
        </w:rPr>
        <w:tab/>
        <w:t>Esta</w:t>
      </w:r>
      <w:r w:rsidR="00FD25D5" w:rsidRPr="00FD25D5">
        <w:rPr>
          <w:rFonts w:ascii="Book Antiqua" w:hAnsi="Book Antiqua"/>
          <w:lang w:val="es-ES"/>
        </w:rPr>
        <w:t xml:space="preserve"> Comisión reconoce el valor social y jurídico de la medida, en tanto procura reforzar la protección de los adultos mayores frente a la criminalidad.</w:t>
      </w:r>
      <w:r w:rsidR="00657856">
        <w:rPr>
          <w:rFonts w:ascii="Book Antiqua" w:hAnsi="Book Antiqua"/>
          <w:lang w:val="es-ES"/>
        </w:rPr>
        <w:t xml:space="preserve"> T</w:t>
      </w:r>
      <w:r w:rsidR="00FD25D5" w:rsidRPr="00FD25D5">
        <w:rPr>
          <w:rFonts w:ascii="Book Antiqua" w:hAnsi="Book Antiqua"/>
          <w:lang w:val="es-ES"/>
        </w:rPr>
        <w:t xml:space="preserve">ambién entendemos indispensable atender las reservas planteadas por el Departamento de Justicia, de manera que la pieza legislativa no se convierta en un factor de rigidez administrativa. </w:t>
      </w:r>
    </w:p>
    <w:p w14:paraId="7885E90D" w14:textId="01ABA3A2" w:rsidR="00DF45DC" w:rsidRPr="0008101E" w:rsidRDefault="000B314C" w:rsidP="006D5838">
      <w:pPr>
        <w:tabs>
          <w:tab w:val="left" w:pos="-720"/>
        </w:tabs>
        <w:suppressAutoHyphens/>
        <w:ind w:firstLine="360"/>
        <w:jc w:val="both"/>
        <w:rPr>
          <w:rFonts w:ascii="Book Antiqua" w:hAnsi="Book Antiqua"/>
          <w:lang w:val="es-ES"/>
        </w:rPr>
      </w:pPr>
      <w:r>
        <w:rPr>
          <w:rFonts w:ascii="Book Antiqua" w:hAnsi="Book Antiqua"/>
          <w:b/>
          <w:bCs/>
          <w:lang w:val="es-ES"/>
        </w:rPr>
        <w:tab/>
      </w:r>
      <w:r w:rsidR="0096171F" w:rsidRPr="0008101E">
        <w:rPr>
          <w:rFonts w:ascii="Book Antiqua" w:hAnsi="Book Antiqua"/>
          <w:b/>
          <w:bCs/>
          <w:lang w:val="es-ES"/>
        </w:rPr>
        <w:t>POR TODO LO ANTES EXPUESTO</w:t>
      </w:r>
      <w:r w:rsidR="0096171F" w:rsidRPr="0008101E">
        <w:rPr>
          <w:rFonts w:ascii="Book Antiqua" w:hAnsi="Book Antiqua"/>
          <w:lang w:val="es-ES"/>
        </w:rPr>
        <w:t xml:space="preserve">, la </w:t>
      </w:r>
      <w:r w:rsidR="001D12A7" w:rsidRPr="0008101E">
        <w:rPr>
          <w:rFonts w:ascii="Book Antiqua" w:hAnsi="Book Antiqua"/>
          <w:spacing w:val="-3"/>
          <w:lang w:val="es-ES"/>
        </w:rPr>
        <w:t>Comisión de lo Jurídico del Senado de Puerto Rico</w:t>
      </w:r>
      <w:r w:rsidR="001D12A7" w:rsidRPr="0008101E">
        <w:rPr>
          <w:rFonts w:ascii="Book Antiqua" w:hAnsi="Book Antiqua"/>
          <w:lang w:val="es-ES"/>
        </w:rPr>
        <w:t xml:space="preserve"> </w:t>
      </w:r>
      <w:r w:rsidR="00006DDC" w:rsidRPr="0008101E">
        <w:rPr>
          <w:rFonts w:ascii="Book Antiqua" w:hAnsi="Book Antiqua"/>
          <w:lang w:val="es-ES"/>
        </w:rPr>
        <w:t xml:space="preserve">tiene a bien presentar ante este Alto Cuerpo el Informe Positivo sobre el </w:t>
      </w:r>
      <w:r w:rsidR="003703F6">
        <w:rPr>
          <w:rFonts w:ascii="Book Antiqua" w:hAnsi="Book Antiqua"/>
          <w:b/>
          <w:bCs/>
          <w:lang w:val="es-ES"/>
        </w:rPr>
        <w:t>Proyecto del Senado 436,</w:t>
      </w:r>
      <w:r w:rsidR="00006DDC" w:rsidRPr="0008101E">
        <w:rPr>
          <w:rFonts w:ascii="Book Antiqua" w:hAnsi="Book Antiqua"/>
          <w:lang w:val="es-ES"/>
        </w:rPr>
        <w:t xml:space="preserve"> recomendando su aprobación </w:t>
      </w:r>
      <w:r w:rsidR="00006DDC" w:rsidRPr="003703F6">
        <w:rPr>
          <w:rFonts w:ascii="Book Antiqua" w:hAnsi="Book Antiqua"/>
          <w:lang w:val="es-ES"/>
        </w:rPr>
        <w:t>con las enmiendas contenidas en el entirillado electrónico que se acompaña</w:t>
      </w:r>
      <w:r w:rsidR="003703F6" w:rsidRPr="003703F6">
        <w:rPr>
          <w:rFonts w:ascii="Book Antiqua" w:hAnsi="Book Antiqua"/>
          <w:lang w:val="es-ES"/>
        </w:rPr>
        <w:t>.</w:t>
      </w:r>
    </w:p>
    <w:p w14:paraId="02F3C812" w14:textId="77777777" w:rsidR="006861CE" w:rsidRPr="0008101E" w:rsidRDefault="006861CE" w:rsidP="00337BB7">
      <w:pPr>
        <w:tabs>
          <w:tab w:val="left" w:pos="-720"/>
        </w:tabs>
        <w:suppressAutoHyphens/>
        <w:spacing w:line="360" w:lineRule="auto"/>
        <w:rPr>
          <w:rFonts w:ascii="Book Antiqua" w:hAnsi="Book Antiqua"/>
          <w:lang w:val="es-ES"/>
        </w:rPr>
      </w:pPr>
    </w:p>
    <w:p w14:paraId="10325F5D" w14:textId="12168265" w:rsidR="00006DDC" w:rsidRPr="0008101E" w:rsidRDefault="00547C2D" w:rsidP="00337BB7">
      <w:pPr>
        <w:tabs>
          <w:tab w:val="left" w:pos="-720"/>
        </w:tabs>
        <w:suppressAutoHyphens/>
        <w:spacing w:line="360" w:lineRule="auto"/>
        <w:rPr>
          <w:rFonts w:ascii="Book Antiqua" w:hAnsi="Book Antiqua"/>
          <w:b/>
          <w:bCs/>
          <w:lang w:val="es-ES"/>
        </w:rPr>
      </w:pPr>
      <w:r w:rsidRPr="0008101E">
        <w:rPr>
          <w:rFonts w:ascii="Book Antiqua" w:hAnsi="Book Antiqua"/>
          <w:b/>
          <w:bCs/>
          <w:lang w:val="es-ES"/>
        </w:rPr>
        <w:t>RESPETUOSAMENTE SOMETIDO</w:t>
      </w:r>
      <w:r w:rsidR="00FE333D">
        <w:rPr>
          <w:rFonts w:ascii="Book Antiqua" w:hAnsi="Book Antiqua"/>
          <w:b/>
          <w:bCs/>
          <w:lang w:val="es-ES"/>
        </w:rPr>
        <w:t>.</w:t>
      </w:r>
    </w:p>
    <w:p w14:paraId="2444C5B2" w14:textId="77777777" w:rsidR="00552B8A" w:rsidRPr="0008101E"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08101E" w:rsidRDefault="00242E80" w:rsidP="00EE4536">
      <w:pPr>
        <w:tabs>
          <w:tab w:val="left" w:pos="-720"/>
        </w:tabs>
        <w:suppressAutoHyphens/>
        <w:rPr>
          <w:rFonts w:ascii="Book Antiqua" w:hAnsi="Book Antiqua"/>
          <w:b/>
          <w:bCs/>
          <w:lang w:val="es-ES"/>
        </w:rPr>
      </w:pPr>
    </w:p>
    <w:p w14:paraId="6AE93B69" w14:textId="6641F2FE" w:rsidR="00AB2E69" w:rsidRPr="0008101E" w:rsidRDefault="00D8699D" w:rsidP="00EE4536">
      <w:pPr>
        <w:tabs>
          <w:tab w:val="left" w:pos="-720"/>
        </w:tabs>
        <w:suppressAutoHyphens/>
        <w:rPr>
          <w:rFonts w:ascii="Book Antiqua" w:hAnsi="Book Antiqua"/>
          <w:b/>
          <w:bCs/>
          <w:lang w:val="es-ES"/>
        </w:rPr>
      </w:pPr>
      <w:proofErr w:type="spellStart"/>
      <w:r w:rsidRPr="0008101E">
        <w:rPr>
          <w:rFonts w:ascii="Book Antiqua" w:hAnsi="Book Antiqua"/>
          <w:b/>
          <w:bCs/>
          <w:lang w:val="es-ES"/>
        </w:rPr>
        <w:t>Hon</w:t>
      </w:r>
      <w:proofErr w:type="spellEnd"/>
      <w:r w:rsidRPr="0008101E">
        <w:rPr>
          <w:rFonts w:ascii="Book Antiqua" w:hAnsi="Book Antiqua"/>
          <w:b/>
          <w:bCs/>
          <w:lang w:val="es-ES"/>
        </w:rPr>
        <w:t xml:space="preserve">. </w:t>
      </w:r>
      <w:r w:rsidR="001D12A7" w:rsidRPr="0008101E">
        <w:rPr>
          <w:rFonts w:ascii="Book Antiqua" w:hAnsi="Book Antiqua"/>
          <w:b/>
          <w:bCs/>
          <w:lang w:val="es-ES"/>
        </w:rPr>
        <w:t>Ángel A. Toledo López</w:t>
      </w:r>
    </w:p>
    <w:p w14:paraId="1665555A" w14:textId="77777777" w:rsidR="004F6E72" w:rsidRPr="0008101E" w:rsidRDefault="00AB2E69" w:rsidP="00EE4536">
      <w:pPr>
        <w:tabs>
          <w:tab w:val="left" w:pos="-720"/>
        </w:tabs>
        <w:suppressAutoHyphens/>
        <w:rPr>
          <w:rFonts w:ascii="Book Antiqua" w:hAnsi="Book Antiqua"/>
          <w:lang w:val="es-ES"/>
        </w:rPr>
      </w:pPr>
      <w:r w:rsidRPr="0008101E">
        <w:rPr>
          <w:rFonts w:ascii="Book Antiqua" w:hAnsi="Book Antiqua"/>
          <w:lang w:val="es-ES"/>
        </w:rPr>
        <w:t>Presidente</w:t>
      </w:r>
    </w:p>
    <w:p w14:paraId="3FF3D27A" w14:textId="77777777" w:rsidR="001D12A7" w:rsidRPr="0008101E" w:rsidRDefault="001D12A7" w:rsidP="001D12A7">
      <w:pPr>
        <w:tabs>
          <w:tab w:val="left" w:pos="-720"/>
        </w:tabs>
        <w:suppressAutoHyphens/>
        <w:rPr>
          <w:rFonts w:ascii="Book Antiqua" w:hAnsi="Book Antiqua"/>
          <w:spacing w:val="-3"/>
          <w:lang w:val="es-ES"/>
        </w:rPr>
      </w:pPr>
      <w:r w:rsidRPr="0008101E">
        <w:rPr>
          <w:rFonts w:ascii="Book Antiqua" w:hAnsi="Book Antiqua"/>
          <w:spacing w:val="-3"/>
          <w:lang w:val="es-ES"/>
        </w:rPr>
        <w:t xml:space="preserve">Comisión de lo Jurídico </w:t>
      </w:r>
    </w:p>
    <w:p w14:paraId="13BD9EC9" w14:textId="4D27C947" w:rsidR="000B3411" w:rsidRPr="00FE333D" w:rsidRDefault="001D12A7" w:rsidP="00FE333D">
      <w:pPr>
        <w:tabs>
          <w:tab w:val="left" w:pos="-720"/>
        </w:tabs>
        <w:suppressAutoHyphens/>
        <w:rPr>
          <w:rFonts w:ascii="Book Antiqua" w:hAnsi="Book Antiqua"/>
          <w:spacing w:val="-3"/>
          <w:lang w:val="es-ES"/>
        </w:rPr>
      </w:pPr>
      <w:r w:rsidRPr="0008101E">
        <w:rPr>
          <w:rFonts w:ascii="Book Antiqua" w:hAnsi="Book Antiqua"/>
          <w:spacing w:val="-3"/>
          <w:lang w:val="es-ES"/>
        </w:rPr>
        <w:t>Senado de Puerto Rico</w:t>
      </w:r>
    </w:p>
    <w:sectPr w:rsidR="000B3411" w:rsidRPr="00FE333D"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oogle Sans Text">
    <w:altName w:val="Calibri"/>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43BEEE50" w14:textId="77777777" w:rsidR="00C343AE" w:rsidRPr="00FD4E04" w:rsidRDefault="00C343AE" w:rsidP="00C343AE">
      <w:pPr>
        <w:pStyle w:val="FootnoteText"/>
        <w:rPr>
          <w:rFonts w:ascii="Book Antiqua" w:hAnsi="Book Antiqua"/>
        </w:rPr>
      </w:pPr>
      <w:r w:rsidRPr="00FD4E04">
        <w:rPr>
          <w:rStyle w:val="FootnoteReference"/>
          <w:rFonts w:ascii="Book Antiqua" w:hAnsi="Book Antiqua"/>
        </w:rPr>
        <w:footnoteRef/>
      </w:r>
      <w:r w:rsidRPr="00FD4E04">
        <w:rPr>
          <w:rFonts w:ascii="Book Antiqua" w:hAnsi="Book Antiqua"/>
        </w:rPr>
        <w:t xml:space="preserve"> Art. II, Sec. 10, CONTS. PR.</w:t>
      </w:r>
    </w:p>
  </w:footnote>
  <w:footnote w:id="2">
    <w:p w14:paraId="5550799E" w14:textId="77777777" w:rsidR="00147C93" w:rsidRPr="00FD4E04" w:rsidRDefault="00147C93" w:rsidP="00147C93">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Pueblo v. Irizarry Quiñones, 160 DPR 544, 562 (2003).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A2202E1"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27707C">
      <w:rPr>
        <w:rFonts w:ascii="Book Antiqua" w:hAnsi="Book Antiqua"/>
        <w:i/>
        <w:iCs/>
        <w:sz w:val="20"/>
        <w:lang w:val="es-PR"/>
      </w:rPr>
      <w:t>P. del S. 436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54C10C3"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7371E3">
      <w:rPr>
        <w:rFonts w:ascii="Book Antiqua" w:hAnsi="Book Antiqua"/>
        <w:i/>
        <w:iCs/>
        <w:sz w:val="20"/>
        <w:lang w:val="es-PR"/>
      </w:rPr>
      <w:t>P. del S. 436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BC5DEB"/>
    <w:multiLevelType w:val="hybridMultilevel"/>
    <w:tmpl w:val="9836D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5"/>
  </w:num>
  <w:num w:numId="6" w16cid:durableId="2085452212">
    <w:abstractNumId w:val="6"/>
  </w:num>
  <w:num w:numId="7" w16cid:durableId="18403887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101E"/>
    <w:rsid w:val="000879BC"/>
    <w:rsid w:val="000902F9"/>
    <w:rsid w:val="000945D3"/>
    <w:rsid w:val="000A0CEF"/>
    <w:rsid w:val="000A135C"/>
    <w:rsid w:val="000B071A"/>
    <w:rsid w:val="000B314C"/>
    <w:rsid w:val="000B3411"/>
    <w:rsid w:val="000B39C5"/>
    <w:rsid w:val="000C18B9"/>
    <w:rsid w:val="000C52A1"/>
    <w:rsid w:val="000C5B91"/>
    <w:rsid w:val="000C66C8"/>
    <w:rsid w:val="000C711E"/>
    <w:rsid w:val="000D3899"/>
    <w:rsid w:val="000E0D6C"/>
    <w:rsid w:val="000E4A6D"/>
    <w:rsid w:val="000E6B35"/>
    <w:rsid w:val="000F7663"/>
    <w:rsid w:val="0010073E"/>
    <w:rsid w:val="00104CF6"/>
    <w:rsid w:val="00107712"/>
    <w:rsid w:val="00111E71"/>
    <w:rsid w:val="00114F93"/>
    <w:rsid w:val="0012002A"/>
    <w:rsid w:val="001312DC"/>
    <w:rsid w:val="00147C93"/>
    <w:rsid w:val="00152956"/>
    <w:rsid w:val="00152AEE"/>
    <w:rsid w:val="00157BC8"/>
    <w:rsid w:val="00172EE0"/>
    <w:rsid w:val="00186AB6"/>
    <w:rsid w:val="001A4A02"/>
    <w:rsid w:val="001A7434"/>
    <w:rsid w:val="001B0851"/>
    <w:rsid w:val="001B5218"/>
    <w:rsid w:val="001B77D6"/>
    <w:rsid w:val="001C0F9B"/>
    <w:rsid w:val="001C2FA8"/>
    <w:rsid w:val="001C31BA"/>
    <w:rsid w:val="001C5DEB"/>
    <w:rsid w:val="001D12A7"/>
    <w:rsid w:val="001D3C1D"/>
    <w:rsid w:val="001D70F5"/>
    <w:rsid w:val="001D79E5"/>
    <w:rsid w:val="001E78B4"/>
    <w:rsid w:val="001F7ABB"/>
    <w:rsid w:val="001F7DDA"/>
    <w:rsid w:val="00200B6F"/>
    <w:rsid w:val="00201567"/>
    <w:rsid w:val="00201B8C"/>
    <w:rsid w:val="00213CAD"/>
    <w:rsid w:val="002214F8"/>
    <w:rsid w:val="0022642B"/>
    <w:rsid w:val="0024131E"/>
    <w:rsid w:val="00242E80"/>
    <w:rsid w:val="00243FD8"/>
    <w:rsid w:val="0024587F"/>
    <w:rsid w:val="00246C97"/>
    <w:rsid w:val="00250490"/>
    <w:rsid w:val="0025270C"/>
    <w:rsid w:val="00254B92"/>
    <w:rsid w:val="002614B0"/>
    <w:rsid w:val="002663EA"/>
    <w:rsid w:val="00266EEC"/>
    <w:rsid w:val="002671BE"/>
    <w:rsid w:val="0027212A"/>
    <w:rsid w:val="0027266F"/>
    <w:rsid w:val="0027707C"/>
    <w:rsid w:val="002779B7"/>
    <w:rsid w:val="002B0B9E"/>
    <w:rsid w:val="002B62DE"/>
    <w:rsid w:val="002C18ED"/>
    <w:rsid w:val="002C402D"/>
    <w:rsid w:val="002D185B"/>
    <w:rsid w:val="002D4AC8"/>
    <w:rsid w:val="002E0215"/>
    <w:rsid w:val="002E3F48"/>
    <w:rsid w:val="002E4A52"/>
    <w:rsid w:val="002E66F9"/>
    <w:rsid w:val="002F0440"/>
    <w:rsid w:val="002F7979"/>
    <w:rsid w:val="002F79D4"/>
    <w:rsid w:val="00303FA5"/>
    <w:rsid w:val="003059D5"/>
    <w:rsid w:val="00311782"/>
    <w:rsid w:val="00316786"/>
    <w:rsid w:val="00316E0D"/>
    <w:rsid w:val="003239C5"/>
    <w:rsid w:val="00330372"/>
    <w:rsid w:val="00334935"/>
    <w:rsid w:val="00337BB7"/>
    <w:rsid w:val="0034055D"/>
    <w:rsid w:val="003465C8"/>
    <w:rsid w:val="00352C78"/>
    <w:rsid w:val="003546F5"/>
    <w:rsid w:val="003703F6"/>
    <w:rsid w:val="00381F18"/>
    <w:rsid w:val="0038390D"/>
    <w:rsid w:val="003857EC"/>
    <w:rsid w:val="00386D32"/>
    <w:rsid w:val="0039037B"/>
    <w:rsid w:val="003906D8"/>
    <w:rsid w:val="00393CA6"/>
    <w:rsid w:val="003A201A"/>
    <w:rsid w:val="003B0348"/>
    <w:rsid w:val="003D7045"/>
    <w:rsid w:val="00402413"/>
    <w:rsid w:val="004076B9"/>
    <w:rsid w:val="00412A61"/>
    <w:rsid w:val="0041555D"/>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30395"/>
    <w:rsid w:val="0053405C"/>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574AC"/>
    <w:rsid w:val="00657856"/>
    <w:rsid w:val="0066129F"/>
    <w:rsid w:val="00662809"/>
    <w:rsid w:val="006807C0"/>
    <w:rsid w:val="006861CE"/>
    <w:rsid w:val="006A24A9"/>
    <w:rsid w:val="006A6AD0"/>
    <w:rsid w:val="006B3D07"/>
    <w:rsid w:val="006B6346"/>
    <w:rsid w:val="006B7E26"/>
    <w:rsid w:val="006C283C"/>
    <w:rsid w:val="006D01F6"/>
    <w:rsid w:val="006D49D8"/>
    <w:rsid w:val="006D5838"/>
    <w:rsid w:val="006D6359"/>
    <w:rsid w:val="006E5B7A"/>
    <w:rsid w:val="006F226E"/>
    <w:rsid w:val="006F51A8"/>
    <w:rsid w:val="007122B1"/>
    <w:rsid w:val="00714102"/>
    <w:rsid w:val="007163D8"/>
    <w:rsid w:val="007167F5"/>
    <w:rsid w:val="00716AC2"/>
    <w:rsid w:val="00720B6F"/>
    <w:rsid w:val="007229E9"/>
    <w:rsid w:val="00725174"/>
    <w:rsid w:val="0073675F"/>
    <w:rsid w:val="007371E3"/>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80999"/>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C6B"/>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969CD"/>
    <w:rsid w:val="00AA0006"/>
    <w:rsid w:val="00AB2E69"/>
    <w:rsid w:val="00AC3813"/>
    <w:rsid w:val="00AD076F"/>
    <w:rsid w:val="00AD4B71"/>
    <w:rsid w:val="00AE555C"/>
    <w:rsid w:val="00AF12FB"/>
    <w:rsid w:val="00AF56F5"/>
    <w:rsid w:val="00B03E1C"/>
    <w:rsid w:val="00B14832"/>
    <w:rsid w:val="00B216D4"/>
    <w:rsid w:val="00B24B05"/>
    <w:rsid w:val="00B25721"/>
    <w:rsid w:val="00B3039D"/>
    <w:rsid w:val="00B316DC"/>
    <w:rsid w:val="00B36F9D"/>
    <w:rsid w:val="00B37EF9"/>
    <w:rsid w:val="00B46464"/>
    <w:rsid w:val="00B47BDF"/>
    <w:rsid w:val="00B571D9"/>
    <w:rsid w:val="00B57451"/>
    <w:rsid w:val="00B6135D"/>
    <w:rsid w:val="00B67CEE"/>
    <w:rsid w:val="00B702A0"/>
    <w:rsid w:val="00B70EB9"/>
    <w:rsid w:val="00B807DC"/>
    <w:rsid w:val="00B8514B"/>
    <w:rsid w:val="00B8540B"/>
    <w:rsid w:val="00B864D0"/>
    <w:rsid w:val="00BA0F95"/>
    <w:rsid w:val="00BA43F4"/>
    <w:rsid w:val="00BB20A7"/>
    <w:rsid w:val="00BB6946"/>
    <w:rsid w:val="00BB7826"/>
    <w:rsid w:val="00BC7625"/>
    <w:rsid w:val="00BD3BEF"/>
    <w:rsid w:val="00BE1535"/>
    <w:rsid w:val="00BE3E24"/>
    <w:rsid w:val="00BE6740"/>
    <w:rsid w:val="00BF358A"/>
    <w:rsid w:val="00C00E4E"/>
    <w:rsid w:val="00C0210B"/>
    <w:rsid w:val="00C20997"/>
    <w:rsid w:val="00C21A5A"/>
    <w:rsid w:val="00C22AFC"/>
    <w:rsid w:val="00C32ECE"/>
    <w:rsid w:val="00C343AE"/>
    <w:rsid w:val="00C41CC9"/>
    <w:rsid w:val="00C4275E"/>
    <w:rsid w:val="00C6071A"/>
    <w:rsid w:val="00C65A5F"/>
    <w:rsid w:val="00C7303D"/>
    <w:rsid w:val="00C760D6"/>
    <w:rsid w:val="00C7632F"/>
    <w:rsid w:val="00C869B3"/>
    <w:rsid w:val="00C9772C"/>
    <w:rsid w:val="00CA1098"/>
    <w:rsid w:val="00CA5E1E"/>
    <w:rsid w:val="00CA6DDD"/>
    <w:rsid w:val="00CB5806"/>
    <w:rsid w:val="00CC4859"/>
    <w:rsid w:val="00CE532D"/>
    <w:rsid w:val="00CE7DA0"/>
    <w:rsid w:val="00CF32AA"/>
    <w:rsid w:val="00CF3B30"/>
    <w:rsid w:val="00CF4C00"/>
    <w:rsid w:val="00D0004D"/>
    <w:rsid w:val="00D01A55"/>
    <w:rsid w:val="00D13D23"/>
    <w:rsid w:val="00D16947"/>
    <w:rsid w:val="00D5351E"/>
    <w:rsid w:val="00D61B6F"/>
    <w:rsid w:val="00D759DB"/>
    <w:rsid w:val="00D8542C"/>
    <w:rsid w:val="00D8699D"/>
    <w:rsid w:val="00D9263A"/>
    <w:rsid w:val="00D93BA6"/>
    <w:rsid w:val="00D95836"/>
    <w:rsid w:val="00D96D40"/>
    <w:rsid w:val="00DA0051"/>
    <w:rsid w:val="00DA0815"/>
    <w:rsid w:val="00DA1E64"/>
    <w:rsid w:val="00DB25BF"/>
    <w:rsid w:val="00DB3451"/>
    <w:rsid w:val="00DB4C88"/>
    <w:rsid w:val="00DC2909"/>
    <w:rsid w:val="00DC7D84"/>
    <w:rsid w:val="00DD122E"/>
    <w:rsid w:val="00DD48C9"/>
    <w:rsid w:val="00DD58BD"/>
    <w:rsid w:val="00DE189A"/>
    <w:rsid w:val="00DE6362"/>
    <w:rsid w:val="00DF0352"/>
    <w:rsid w:val="00DF45DC"/>
    <w:rsid w:val="00E01882"/>
    <w:rsid w:val="00E14B9C"/>
    <w:rsid w:val="00E17E3B"/>
    <w:rsid w:val="00E251EA"/>
    <w:rsid w:val="00E35157"/>
    <w:rsid w:val="00E35171"/>
    <w:rsid w:val="00E36FA6"/>
    <w:rsid w:val="00E525E1"/>
    <w:rsid w:val="00E63FA4"/>
    <w:rsid w:val="00E722CA"/>
    <w:rsid w:val="00E7319F"/>
    <w:rsid w:val="00E735F2"/>
    <w:rsid w:val="00E73DB1"/>
    <w:rsid w:val="00E930DD"/>
    <w:rsid w:val="00E9570B"/>
    <w:rsid w:val="00EA477A"/>
    <w:rsid w:val="00EA5757"/>
    <w:rsid w:val="00EB0B16"/>
    <w:rsid w:val="00EB1664"/>
    <w:rsid w:val="00EB7253"/>
    <w:rsid w:val="00EC5454"/>
    <w:rsid w:val="00EC56E8"/>
    <w:rsid w:val="00EE4536"/>
    <w:rsid w:val="00EF237A"/>
    <w:rsid w:val="00EF62F7"/>
    <w:rsid w:val="00F02F4A"/>
    <w:rsid w:val="00F042CB"/>
    <w:rsid w:val="00F3003D"/>
    <w:rsid w:val="00F31462"/>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25D5"/>
    <w:rsid w:val="00FD4E9F"/>
    <w:rsid w:val="00FE333D"/>
    <w:rsid w:val="00FE3A8E"/>
    <w:rsid w:val="00FF40CF"/>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4SQX5P7U7WPY-958212181-819068</_dlc_DocId>
    <_dlc_DocIdUrl xmlns="c890fddd-4e87-4e08-8b51-545f2a3f7b06">
      <Url>https://senpr.sharepoint.com/sites/obralegislativa/_layouts/15/DocIdRedir.aspx?ID=4SQX5P7U7WPY-958212181-819068</Url>
      <Description>4SQX5P7U7WPY-958212181-819068</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7A1E0543-581A-446F-8499-EC6455E9D6E7}"/>
</file>

<file path=customXml/itemProps5.xml><?xml version="1.0" encoding="utf-8"?>
<ds:datastoreItem xmlns:ds="http://schemas.openxmlformats.org/officeDocument/2006/customXml" ds:itemID="{8E5E1BC5-6631-4251-96F2-CF7364025BE7}"/>
</file>

<file path=docProps/app.xml><?xml version="1.0" encoding="utf-8"?>
<Properties xmlns="http://schemas.openxmlformats.org/officeDocument/2006/extended-properties" xmlns:vt="http://schemas.openxmlformats.org/officeDocument/2006/docPropsVTypes">
  <Template>Medida-V2009</Template>
  <TotalTime>1</TotalTime>
  <Pages>5</Pages>
  <Words>1775</Words>
  <Characters>9392</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2025-09-23T16:33:00Z</dcterms:created>
  <dcterms:modified xsi:type="dcterms:W3CDTF">2025-09-23T16:33:00Z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fd14e7c3-8bc7-48d6-aa0e-e8198c7d5fc6</vt:lpwstr>
  </property>
  <property fmtid="{D5CDD505-2E9C-101B-9397-08002B2CF9AE}" pid="4" name="MediaServiceImageTags">
    <vt:lpwstr/>
  </property>
</Properties>
</file>