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B95E0F"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B95E0F">
        <w:rPr>
          <w:rFonts w:ascii="Book Antiqua" w:hAnsi="Book Antiqua"/>
          <w:sz w:val="28"/>
          <w:szCs w:val="28"/>
          <w:lang w:val="es-ES"/>
        </w:rPr>
        <w:t>GOBIERNO DE PUERTO RICO</w:t>
      </w:r>
    </w:p>
    <w:p w14:paraId="24353140" w14:textId="77777777" w:rsidR="007535BB" w:rsidRPr="00B95E0F"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B95E0F" w14:paraId="4DE77E24" w14:textId="77777777" w:rsidTr="00D95836">
        <w:trPr>
          <w:trHeight w:val="900"/>
        </w:trPr>
        <w:tc>
          <w:tcPr>
            <w:tcW w:w="3170" w:type="dxa"/>
          </w:tcPr>
          <w:p w14:paraId="27AF3912" w14:textId="77777777" w:rsidR="007535BB" w:rsidRPr="00B95E0F" w:rsidRDefault="007535BB" w:rsidP="00D95836">
            <w:pPr>
              <w:rPr>
                <w:rFonts w:ascii="Book Antiqua" w:hAnsi="Book Antiqua"/>
                <w:lang w:val="es-ES"/>
              </w:rPr>
            </w:pPr>
            <w:r w:rsidRPr="00B95E0F">
              <w:rPr>
                <w:rFonts w:ascii="Book Antiqua" w:hAnsi="Book Antiqua"/>
                <w:lang w:val="es-ES"/>
              </w:rPr>
              <w:t>20</w:t>
            </w:r>
            <w:r w:rsidRPr="00B95E0F">
              <w:rPr>
                <w:rFonts w:ascii="Book Antiqua" w:hAnsi="Book Antiqua"/>
                <w:vertAlign w:val="superscript"/>
                <w:lang w:val="es-ES"/>
              </w:rPr>
              <w:t>ma.</w:t>
            </w:r>
            <w:r w:rsidRPr="00B95E0F">
              <w:rPr>
                <w:rFonts w:ascii="Book Antiqua" w:hAnsi="Book Antiqua"/>
                <w:lang w:val="es-ES"/>
              </w:rPr>
              <w:tab/>
              <w:t>Asamblea</w:t>
            </w:r>
          </w:p>
          <w:p w14:paraId="082D32B2" w14:textId="77777777" w:rsidR="007535BB" w:rsidRPr="00B95E0F" w:rsidRDefault="007535BB" w:rsidP="00D95836">
            <w:pPr>
              <w:rPr>
                <w:rFonts w:ascii="Book Antiqua" w:hAnsi="Book Antiqua"/>
                <w:sz w:val="36"/>
                <w:lang w:val="es-ES"/>
              </w:rPr>
            </w:pPr>
            <w:r w:rsidRPr="00B95E0F">
              <w:rPr>
                <w:rFonts w:ascii="Book Antiqua" w:hAnsi="Book Antiqua"/>
                <w:lang w:val="es-ES"/>
              </w:rPr>
              <w:t xml:space="preserve">         </w:t>
            </w:r>
            <w:r w:rsidRPr="00B95E0F">
              <w:rPr>
                <w:rFonts w:ascii="Book Antiqua" w:hAnsi="Book Antiqua"/>
                <w:lang w:val="es-ES"/>
              </w:rPr>
              <w:tab/>
              <w:t xml:space="preserve">Legislativa                                                                                                          </w:t>
            </w:r>
          </w:p>
        </w:tc>
        <w:tc>
          <w:tcPr>
            <w:tcW w:w="3171" w:type="dxa"/>
          </w:tcPr>
          <w:p w14:paraId="48FE9142" w14:textId="77777777" w:rsidR="007535BB" w:rsidRPr="00B95E0F" w:rsidRDefault="007535BB" w:rsidP="00D95836">
            <w:pPr>
              <w:jc w:val="center"/>
              <w:rPr>
                <w:rFonts w:ascii="Book Antiqua" w:hAnsi="Book Antiqua"/>
                <w:sz w:val="36"/>
                <w:lang w:val="es-ES"/>
              </w:rPr>
            </w:pPr>
          </w:p>
        </w:tc>
        <w:tc>
          <w:tcPr>
            <w:tcW w:w="3268" w:type="dxa"/>
          </w:tcPr>
          <w:p w14:paraId="69176C76" w14:textId="2F06252B" w:rsidR="007535BB" w:rsidRPr="00B95E0F" w:rsidRDefault="007535BB" w:rsidP="00D95836">
            <w:pPr>
              <w:rPr>
                <w:rFonts w:ascii="Book Antiqua" w:hAnsi="Book Antiqua"/>
                <w:lang w:val="es-ES"/>
              </w:rPr>
            </w:pPr>
            <w:r w:rsidRPr="00B95E0F">
              <w:rPr>
                <w:rFonts w:ascii="Book Antiqua" w:hAnsi="Book Antiqua"/>
                <w:lang w:val="es-ES"/>
              </w:rPr>
              <w:tab/>
            </w:r>
            <w:r w:rsidR="00E17E3B" w:rsidRPr="00B95E0F">
              <w:rPr>
                <w:rFonts w:ascii="Book Antiqua" w:hAnsi="Book Antiqua"/>
                <w:lang w:val="es-ES"/>
              </w:rPr>
              <w:t>2</w:t>
            </w:r>
            <w:r w:rsidR="00E17E3B" w:rsidRPr="00B95E0F">
              <w:rPr>
                <w:rFonts w:ascii="Book Antiqua" w:hAnsi="Book Antiqua"/>
                <w:vertAlign w:val="superscript"/>
                <w:lang w:val="es-ES"/>
              </w:rPr>
              <w:t>d</w:t>
            </w:r>
            <w:r w:rsidRPr="00B95E0F">
              <w:rPr>
                <w:rFonts w:ascii="Book Antiqua" w:hAnsi="Book Antiqua"/>
                <w:vertAlign w:val="superscript"/>
                <w:lang w:val="es-ES"/>
              </w:rPr>
              <w:t>a.</w:t>
            </w:r>
            <w:r w:rsidRPr="00B95E0F">
              <w:rPr>
                <w:rFonts w:ascii="Book Antiqua" w:hAnsi="Book Antiqua"/>
                <w:lang w:val="es-ES"/>
              </w:rPr>
              <w:t xml:space="preserve"> Sesión</w:t>
            </w:r>
          </w:p>
          <w:p w14:paraId="42A8E2C1" w14:textId="6033C9E1" w:rsidR="007535BB" w:rsidRPr="00B95E0F" w:rsidRDefault="007535BB" w:rsidP="00D95836">
            <w:pPr>
              <w:rPr>
                <w:rFonts w:ascii="Book Antiqua" w:hAnsi="Book Antiqua"/>
                <w:lang w:val="es-ES"/>
              </w:rPr>
            </w:pPr>
            <w:r w:rsidRPr="00B95E0F">
              <w:rPr>
                <w:rFonts w:ascii="Book Antiqua" w:hAnsi="Book Antiqua"/>
                <w:lang w:val="es-ES"/>
              </w:rPr>
              <w:tab/>
              <w:t xml:space="preserve">      Ordinaria</w:t>
            </w:r>
          </w:p>
          <w:p w14:paraId="640FD190" w14:textId="77777777" w:rsidR="007535BB" w:rsidRPr="00B95E0F" w:rsidRDefault="007535BB" w:rsidP="00D95836">
            <w:pPr>
              <w:jc w:val="center"/>
              <w:rPr>
                <w:rFonts w:ascii="Book Antiqua" w:hAnsi="Book Antiqua"/>
                <w:sz w:val="36"/>
                <w:lang w:val="es-ES"/>
              </w:rPr>
            </w:pPr>
          </w:p>
        </w:tc>
      </w:tr>
    </w:tbl>
    <w:bookmarkEnd w:id="0"/>
    <w:p w14:paraId="44DF1C72" w14:textId="77777777" w:rsidR="007535BB" w:rsidRPr="00B95E0F" w:rsidRDefault="007535BB" w:rsidP="0027212A">
      <w:pPr>
        <w:spacing w:line="360" w:lineRule="auto"/>
        <w:jc w:val="center"/>
        <w:rPr>
          <w:rFonts w:ascii="Book Antiqua" w:hAnsi="Book Antiqua"/>
          <w:b/>
          <w:sz w:val="36"/>
          <w:lang w:val="es-ES"/>
        </w:rPr>
      </w:pPr>
      <w:r w:rsidRPr="00B95E0F">
        <w:rPr>
          <w:rFonts w:ascii="Book Antiqua" w:hAnsi="Book Antiqua"/>
          <w:b/>
          <w:sz w:val="36"/>
          <w:lang w:val="es-ES"/>
        </w:rPr>
        <w:t>SENADO DE PUERTO RICO</w:t>
      </w:r>
      <w:bookmarkEnd w:id="1"/>
    </w:p>
    <w:p w14:paraId="3E53146F" w14:textId="65F8B220" w:rsidR="007535BB" w:rsidRPr="00B95E0F" w:rsidRDefault="007535BB" w:rsidP="0027212A">
      <w:pPr>
        <w:spacing w:line="360" w:lineRule="auto"/>
        <w:jc w:val="center"/>
        <w:rPr>
          <w:rFonts w:ascii="Book Antiqua" w:hAnsi="Book Antiqua"/>
          <w:b/>
          <w:sz w:val="52"/>
          <w:lang w:val="es-ES"/>
        </w:rPr>
      </w:pPr>
      <w:r w:rsidRPr="00B95E0F">
        <w:rPr>
          <w:rFonts w:ascii="Book Antiqua" w:hAnsi="Book Antiqua"/>
          <w:b/>
          <w:sz w:val="52"/>
          <w:lang w:val="es-ES"/>
        </w:rPr>
        <w:t xml:space="preserve">P. del S. </w:t>
      </w:r>
      <w:r w:rsidR="00CC274E" w:rsidRPr="00B95E0F">
        <w:rPr>
          <w:rFonts w:ascii="Book Antiqua" w:hAnsi="Book Antiqua"/>
          <w:b/>
          <w:sz w:val="52"/>
          <w:lang w:val="es-ES"/>
        </w:rPr>
        <w:t>445</w:t>
      </w:r>
    </w:p>
    <w:p w14:paraId="1443CA0F" w14:textId="1AF5F96F" w:rsidR="007535BB" w:rsidRPr="00B95E0F" w:rsidRDefault="007535BB" w:rsidP="0027212A">
      <w:pPr>
        <w:spacing w:line="360" w:lineRule="auto"/>
        <w:jc w:val="center"/>
        <w:rPr>
          <w:rFonts w:ascii="Book Antiqua" w:hAnsi="Book Antiqua"/>
          <w:b/>
          <w:bCs/>
          <w:lang w:val="es-ES"/>
        </w:rPr>
      </w:pPr>
      <w:r w:rsidRPr="00B95E0F">
        <w:rPr>
          <w:rFonts w:ascii="Book Antiqua" w:hAnsi="Book Antiqua"/>
          <w:b/>
          <w:bCs/>
          <w:lang w:val="es-ES"/>
        </w:rPr>
        <w:t xml:space="preserve"> </w:t>
      </w:r>
      <w:bookmarkStart w:id="3" w:name="_Hlk183037684"/>
      <w:r w:rsidR="001B5218" w:rsidRPr="00B95E0F">
        <w:rPr>
          <w:rFonts w:ascii="Book Antiqua" w:hAnsi="Book Antiqua"/>
          <w:b/>
          <w:bCs/>
          <w:sz w:val="28"/>
          <w:szCs w:val="22"/>
          <w:lang w:val="es-ES"/>
        </w:rPr>
        <w:t xml:space="preserve">INFORME </w:t>
      </w:r>
      <w:r w:rsidR="009C494F" w:rsidRPr="00B95E0F">
        <w:rPr>
          <w:rFonts w:ascii="Book Antiqua" w:hAnsi="Book Antiqua"/>
          <w:b/>
          <w:bCs/>
          <w:sz w:val="28"/>
          <w:szCs w:val="22"/>
          <w:lang w:val="es-ES"/>
        </w:rPr>
        <w:t>NEGATIVO</w:t>
      </w:r>
      <w:r w:rsidR="001B5218" w:rsidRPr="00B95E0F">
        <w:rPr>
          <w:rFonts w:ascii="Book Antiqua" w:hAnsi="Book Antiqua"/>
          <w:b/>
          <w:bCs/>
          <w:sz w:val="28"/>
          <w:szCs w:val="22"/>
          <w:lang w:val="es-ES"/>
        </w:rPr>
        <w:t xml:space="preserve"> </w:t>
      </w:r>
    </w:p>
    <w:p w14:paraId="07AB4BDD" w14:textId="7FA80187" w:rsidR="001B5218" w:rsidRPr="00B95E0F" w:rsidRDefault="000D30E2" w:rsidP="0027212A">
      <w:pPr>
        <w:spacing w:line="360" w:lineRule="auto"/>
        <w:jc w:val="center"/>
        <w:rPr>
          <w:rFonts w:ascii="Book Antiqua" w:hAnsi="Book Antiqua"/>
          <w:lang w:val="es-ES"/>
        </w:rPr>
      </w:pPr>
      <w:r>
        <w:rPr>
          <w:rFonts w:ascii="Book Antiqua" w:hAnsi="Book Antiqua"/>
          <w:lang w:val="es-ES"/>
        </w:rPr>
        <w:t xml:space="preserve">29 </w:t>
      </w:r>
      <w:r w:rsidR="006239E8" w:rsidRPr="00B95E0F">
        <w:rPr>
          <w:rFonts w:ascii="Book Antiqua" w:hAnsi="Book Antiqua"/>
          <w:lang w:val="es-ES"/>
        </w:rPr>
        <w:t xml:space="preserve">de </w:t>
      </w:r>
      <w:r w:rsidR="002E0215" w:rsidRPr="00B95E0F">
        <w:rPr>
          <w:rFonts w:ascii="Book Antiqua" w:hAnsi="Book Antiqua"/>
          <w:lang w:val="es-ES"/>
        </w:rPr>
        <w:t>septiembre</w:t>
      </w:r>
      <w:r w:rsidR="006239E8" w:rsidRPr="00B95E0F">
        <w:rPr>
          <w:rFonts w:ascii="Book Antiqua" w:hAnsi="Book Antiqua"/>
          <w:lang w:val="es-ES"/>
        </w:rPr>
        <w:t xml:space="preserve"> </w:t>
      </w:r>
      <w:r w:rsidR="00D13D23" w:rsidRPr="00B95E0F">
        <w:rPr>
          <w:rFonts w:ascii="Book Antiqua" w:hAnsi="Book Antiqua"/>
          <w:lang w:val="es-ES"/>
        </w:rPr>
        <w:t>de 2025</w:t>
      </w:r>
    </w:p>
    <w:bookmarkEnd w:id="2"/>
    <w:bookmarkEnd w:id="3"/>
    <w:p w14:paraId="518A096B" w14:textId="07DCC0DC" w:rsidR="005B2884" w:rsidRPr="00B95E0F" w:rsidRDefault="001B5218" w:rsidP="001B5218">
      <w:pPr>
        <w:tabs>
          <w:tab w:val="left" w:pos="-720"/>
        </w:tabs>
        <w:suppressAutoHyphens/>
        <w:spacing w:before="240" w:after="240" w:line="240" w:lineRule="atLeast"/>
        <w:rPr>
          <w:rFonts w:ascii="Book Antiqua" w:hAnsi="Book Antiqua"/>
          <w:szCs w:val="24"/>
          <w:lang w:val="es-ES"/>
        </w:rPr>
      </w:pPr>
      <w:r w:rsidRPr="00B95E0F">
        <w:rPr>
          <w:rFonts w:ascii="Book Antiqua" w:hAnsi="Book Antiqua"/>
          <w:b/>
          <w:szCs w:val="24"/>
          <w:lang w:val="es-ES"/>
        </w:rPr>
        <w:t xml:space="preserve">AL SENADO DE PUERTO RICO: </w:t>
      </w:r>
    </w:p>
    <w:p w14:paraId="37982730" w14:textId="15ED8D37" w:rsidR="005B2884" w:rsidRPr="00B95E0F" w:rsidRDefault="00A52CD9" w:rsidP="00006DDC">
      <w:pPr>
        <w:suppressAutoHyphens/>
        <w:jc w:val="both"/>
        <w:rPr>
          <w:rFonts w:ascii="Book Antiqua" w:hAnsi="Book Antiqua"/>
          <w:spacing w:val="-3"/>
          <w:lang w:val="es-ES"/>
        </w:rPr>
      </w:pPr>
      <w:r w:rsidRPr="00B95E0F">
        <w:rPr>
          <w:rFonts w:ascii="Book Antiqua" w:hAnsi="Book Antiqua"/>
          <w:spacing w:val="-3"/>
          <w:lang w:val="es-ES"/>
        </w:rPr>
        <w:t xml:space="preserve">      </w:t>
      </w:r>
      <w:r w:rsidR="009F427F" w:rsidRPr="00B95E0F">
        <w:rPr>
          <w:rFonts w:ascii="Book Antiqua" w:hAnsi="Book Antiqua"/>
          <w:spacing w:val="-3"/>
          <w:lang w:val="es-ES"/>
        </w:rPr>
        <w:tab/>
      </w:r>
      <w:r w:rsidR="001B5218" w:rsidRPr="00B95E0F">
        <w:rPr>
          <w:rFonts w:ascii="Book Antiqua" w:hAnsi="Book Antiqua"/>
          <w:spacing w:val="-3"/>
          <w:lang w:val="es-ES"/>
        </w:rPr>
        <w:t xml:space="preserve">La </w:t>
      </w:r>
      <w:r w:rsidR="00E17E3B" w:rsidRPr="00B95E0F">
        <w:rPr>
          <w:rFonts w:ascii="Book Antiqua" w:hAnsi="Book Antiqua"/>
          <w:spacing w:val="-3"/>
          <w:lang w:val="es-ES"/>
        </w:rPr>
        <w:t>Comisión de lo Jurídico del Senado de Puerto Rico</w:t>
      </w:r>
      <w:r w:rsidR="001B5218" w:rsidRPr="00B95E0F">
        <w:rPr>
          <w:rFonts w:ascii="Book Antiqua" w:hAnsi="Book Antiqua"/>
          <w:spacing w:val="-3"/>
          <w:lang w:val="es-ES"/>
        </w:rPr>
        <w:t>, previo estudio y consideración</w:t>
      </w:r>
      <w:r w:rsidR="009F427F" w:rsidRPr="00B95E0F">
        <w:rPr>
          <w:rFonts w:ascii="Book Antiqua" w:hAnsi="Book Antiqua"/>
          <w:spacing w:val="-3"/>
          <w:lang w:val="es-ES"/>
        </w:rPr>
        <w:t xml:space="preserve"> del </w:t>
      </w:r>
      <w:r w:rsidR="005B3FEA" w:rsidRPr="00B95E0F">
        <w:rPr>
          <w:rFonts w:ascii="Book Antiqua" w:hAnsi="Book Antiqua"/>
          <w:spacing w:val="-3"/>
          <w:lang w:val="es-ES"/>
        </w:rPr>
        <w:t>Proyecto del Senado 445, no</w:t>
      </w:r>
      <w:r w:rsidR="001B5218" w:rsidRPr="00B95E0F">
        <w:rPr>
          <w:rFonts w:ascii="Book Antiqua" w:hAnsi="Book Antiqua"/>
          <w:spacing w:val="-3"/>
          <w:lang w:val="es-ES"/>
        </w:rPr>
        <w:t xml:space="preserve"> </w:t>
      </w:r>
      <w:r w:rsidR="009F427F" w:rsidRPr="00B95E0F">
        <w:rPr>
          <w:rFonts w:ascii="Book Antiqua" w:hAnsi="Book Antiqua"/>
          <w:spacing w:val="-3"/>
          <w:lang w:val="es-ES"/>
        </w:rPr>
        <w:t>recomienda a este Alto Cuerpo su</w:t>
      </w:r>
      <w:r w:rsidR="008E051A" w:rsidRPr="00B95E0F">
        <w:rPr>
          <w:rFonts w:ascii="Book Antiqua" w:hAnsi="Book Antiqua"/>
          <w:spacing w:val="-3"/>
          <w:lang w:val="es-ES"/>
        </w:rPr>
        <w:t xml:space="preserve"> </w:t>
      </w:r>
      <w:r w:rsidR="001B5218" w:rsidRPr="00B95E0F">
        <w:rPr>
          <w:rFonts w:ascii="Book Antiqua" w:hAnsi="Book Antiqua"/>
          <w:spacing w:val="-3"/>
          <w:lang w:val="es-ES"/>
        </w:rPr>
        <w:t>aprobación</w:t>
      </w:r>
      <w:r w:rsidR="005B3FEA" w:rsidRPr="00B95E0F">
        <w:rPr>
          <w:rFonts w:ascii="Book Antiqua" w:hAnsi="Book Antiqua"/>
          <w:spacing w:val="-3"/>
          <w:lang w:val="es-ES"/>
        </w:rPr>
        <w:t>.</w:t>
      </w:r>
    </w:p>
    <w:p w14:paraId="1C36686D" w14:textId="77777777" w:rsidR="000C52A1" w:rsidRPr="00B95E0F" w:rsidRDefault="000C52A1" w:rsidP="00006DDC">
      <w:pPr>
        <w:suppressAutoHyphens/>
        <w:jc w:val="both"/>
        <w:rPr>
          <w:rFonts w:ascii="Book Antiqua" w:hAnsi="Book Antiqua"/>
          <w:spacing w:val="-3"/>
          <w:lang w:val="es-ES"/>
        </w:rPr>
      </w:pPr>
    </w:p>
    <w:p w14:paraId="632423B1" w14:textId="77777777" w:rsidR="0024131E" w:rsidRPr="00B95E0F" w:rsidRDefault="001B5218" w:rsidP="000C52A1">
      <w:pPr>
        <w:tabs>
          <w:tab w:val="left" w:pos="-720"/>
        </w:tabs>
        <w:suppressAutoHyphens/>
        <w:jc w:val="center"/>
        <w:rPr>
          <w:rFonts w:ascii="Book Antiqua" w:hAnsi="Book Antiqua"/>
          <w:b/>
          <w:bCs/>
          <w:szCs w:val="24"/>
          <w:lang w:val="es-ES"/>
        </w:rPr>
      </w:pPr>
      <w:r w:rsidRPr="00B95E0F">
        <w:rPr>
          <w:rFonts w:ascii="Book Antiqua" w:hAnsi="Book Antiqua"/>
          <w:b/>
          <w:bCs/>
          <w:szCs w:val="24"/>
          <w:lang w:val="es-ES"/>
        </w:rPr>
        <w:t xml:space="preserve">ALCANCE DE LA MEDIDA </w:t>
      </w:r>
    </w:p>
    <w:p w14:paraId="5B5C79B2" w14:textId="77777777" w:rsidR="000C52A1" w:rsidRPr="00B95E0F" w:rsidRDefault="000C52A1" w:rsidP="001C2FA8">
      <w:pPr>
        <w:tabs>
          <w:tab w:val="left" w:pos="-720"/>
        </w:tabs>
        <w:suppressAutoHyphens/>
        <w:rPr>
          <w:rFonts w:ascii="Book Antiqua" w:hAnsi="Book Antiqua"/>
          <w:b/>
          <w:bCs/>
          <w:szCs w:val="24"/>
          <w:lang w:val="es-ES"/>
        </w:rPr>
      </w:pPr>
    </w:p>
    <w:p w14:paraId="7C7A3389" w14:textId="7D0D60ED" w:rsidR="006F51A8" w:rsidRPr="00B95E0F" w:rsidRDefault="009F427F" w:rsidP="000C52A1">
      <w:pPr>
        <w:tabs>
          <w:tab w:val="left" w:pos="-720"/>
        </w:tabs>
        <w:suppressAutoHyphens/>
        <w:ind w:firstLine="360"/>
        <w:jc w:val="both"/>
        <w:rPr>
          <w:rFonts w:ascii="Book Antiqua" w:hAnsi="Book Antiqua"/>
          <w:lang w:val="es-ES"/>
        </w:rPr>
      </w:pPr>
      <w:r w:rsidRPr="00B95E0F">
        <w:rPr>
          <w:rFonts w:ascii="Book Antiqua" w:hAnsi="Book Antiqua"/>
          <w:lang w:val="es-ES"/>
        </w:rPr>
        <w:tab/>
      </w:r>
      <w:r w:rsidR="001B5218" w:rsidRPr="00B95E0F">
        <w:rPr>
          <w:rFonts w:ascii="Book Antiqua" w:hAnsi="Book Antiqua"/>
          <w:lang w:val="es-ES"/>
        </w:rPr>
        <w:t xml:space="preserve">El Proyecto del Senado </w:t>
      </w:r>
      <w:r w:rsidR="005B3FEA" w:rsidRPr="00B95E0F">
        <w:rPr>
          <w:rFonts w:ascii="Book Antiqua" w:hAnsi="Book Antiqua"/>
          <w:lang w:val="es-ES"/>
        </w:rPr>
        <w:t>445</w:t>
      </w:r>
      <w:r w:rsidRPr="00B95E0F">
        <w:rPr>
          <w:rFonts w:ascii="Book Antiqua" w:hAnsi="Book Antiqua"/>
          <w:lang w:val="es-ES"/>
        </w:rPr>
        <w:t xml:space="preserve"> (en adelante, P. del S. </w:t>
      </w:r>
      <w:r w:rsidR="005B3FEA" w:rsidRPr="00B95E0F">
        <w:rPr>
          <w:rFonts w:ascii="Book Antiqua" w:hAnsi="Book Antiqua"/>
          <w:lang w:val="es-ES"/>
        </w:rPr>
        <w:t>445)</w:t>
      </w:r>
      <w:r w:rsidR="001B5218" w:rsidRPr="00B95E0F">
        <w:rPr>
          <w:rFonts w:ascii="Book Antiqua" w:hAnsi="Book Antiqua"/>
          <w:lang w:val="es-ES"/>
        </w:rPr>
        <w:t xml:space="preserve"> tiene como propósito </w:t>
      </w:r>
      <w:bookmarkStart w:id="4" w:name="_Hlk194438498"/>
      <w:r w:rsidR="00A53127" w:rsidRPr="00B95E0F">
        <w:rPr>
          <w:rFonts w:ascii="Book Antiqua" w:hAnsi="Book Antiqua"/>
          <w:lang w:val="es-ES"/>
        </w:rPr>
        <w:t>proclamar la Política Pública del Gobierno de Puerto Rico en contra de la violencia obstétrica como un asunto de derechos humanos; establecer una causa de acción civil especial por daños sufridos a causa de violencia obstétrica y para decretar otras disposiciones complementarias.</w:t>
      </w:r>
    </w:p>
    <w:p w14:paraId="6523E8A2" w14:textId="307F2464" w:rsidR="008A0E10" w:rsidRPr="00B95E0F" w:rsidRDefault="008A0E10" w:rsidP="008A0E10">
      <w:pPr>
        <w:tabs>
          <w:tab w:val="left" w:pos="-720"/>
        </w:tabs>
        <w:suppressAutoHyphens/>
        <w:ind w:firstLine="360"/>
        <w:jc w:val="both"/>
        <w:rPr>
          <w:rFonts w:ascii="Book Antiqua" w:hAnsi="Book Antiqua"/>
          <w:lang w:val="es-ES"/>
        </w:rPr>
      </w:pPr>
      <w:r w:rsidRPr="00B95E0F">
        <w:rPr>
          <w:rFonts w:ascii="Book Antiqua" w:hAnsi="Book Antiqua"/>
          <w:lang w:val="es-ES"/>
        </w:rPr>
        <w:tab/>
      </w:r>
      <w:bookmarkEnd w:id="4"/>
    </w:p>
    <w:p w14:paraId="6EE110C6" w14:textId="695AAC9E" w:rsidR="006F51A8" w:rsidRPr="00B95E0F" w:rsidRDefault="009F427F" w:rsidP="000C52A1">
      <w:pPr>
        <w:tabs>
          <w:tab w:val="left" w:pos="-720"/>
        </w:tabs>
        <w:suppressAutoHyphens/>
        <w:ind w:firstLine="360"/>
        <w:jc w:val="center"/>
        <w:rPr>
          <w:rFonts w:ascii="Book Antiqua" w:hAnsi="Book Antiqua"/>
          <w:b/>
          <w:bCs/>
          <w:lang w:val="es-ES"/>
        </w:rPr>
      </w:pPr>
      <w:r w:rsidRPr="00B95E0F">
        <w:rPr>
          <w:rFonts w:ascii="Book Antiqua" w:hAnsi="Book Antiqua"/>
          <w:b/>
          <w:bCs/>
          <w:lang w:val="es-ES"/>
        </w:rPr>
        <w:t>ANÁLISIS DE LA MEDIDA</w:t>
      </w:r>
    </w:p>
    <w:p w14:paraId="6FD2A601" w14:textId="77777777" w:rsidR="000C52A1" w:rsidRPr="00B95E0F" w:rsidRDefault="000C52A1" w:rsidP="000C52A1">
      <w:pPr>
        <w:tabs>
          <w:tab w:val="left" w:pos="-720"/>
        </w:tabs>
        <w:suppressAutoHyphens/>
        <w:ind w:firstLine="360"/>
        <w:jc w:val="center"/>
        <w:rPr>
          <w:rFonts w:ascii="Book Antiqua" w:hAnsi="Book Antiqua"/>
          <w:b/>
          <w:bCs/>
          <w:lang w:val="es-ES"/>
        </w:rPr>
      </w:pPr>
    </w:p>
    <w:p w14:paraId="617D9267" w14:textId="2ABC5C4D" w:rsidR="00EA0A66" w:rsidRPr="00B95E0F" w:rsidRDefault="009F524F" w:rsidP="008A0E10">
      <w:pPr>
        <w:tabs>
          <w:tab w:val="left" w:pos="-720"/>
        </w:tabs>
        <w:suppressAutoHyphens/>
        <w:ind w:firstLine="360"/>
        <w:jc w:val="both"/>
        <w:rPr>
          <w:rFonts w:ascii="Book Antiqua" w:hAnsi="Book Antiqua"/>
          <w:lang w:val="es-ES"/>
        </w:rPr>
      </w:pPr>
      <w:r w:rsidRPr="00B95E0F">
        <w:rPr>
          <w:rFonts w:ascii="Book Antiqua" w:hAnsi="Book Antiqua"/>
          <w:lang w:val="es-ES"/>
        </w:rPr>
        <w:tab/>
      </w:r>
      <w:r w:rsidR="00EA0A66" w:rsidRPr="00B95E0F">
        <w:rPr>
          <w:rFonts w:ascii="Book Antiqua" w:hAnsi="Book Antiqua"/>
          <w:lang w:val="es-ES"/>
        </w:rPr>
        <w:t>El P. del S. 445 define el termino de “</w:t>
      </w:r>
      <w:r w:rsidR="001F2F6D" w:rsidRPr="00B95E0F">
        <w:rPr>
          <w:rFonts w:ascii="Book Antiqua" w:hAnsi="Book Antiqua"/>
          <w:lang w:val="es-ES"/>
        </w:rPr>
        <w:t>violencia obstétrica” como “</w:t>
      </w:r>
      <w:r w:rsidR="001F2F6D" w:rsidRPr="00B95E0F">
        <w:rPr>
          <w:rFonts w:ascii="Book Antiqua" w:hAnsi="Book Antiqua"/>
          <w:color w:val="000000"/>
          <w:shd w:val="clear" w:color="auto" w:fill="FFFFFF"/>
          <w:lang w:val="es-ES"/>
        </w:rPr>
        <w:t xml:space="preserve">toda acción u omisión ejercida por el personal de salud sobre el cuerpo y los procesos reproductivos de las personas gestantes, expresada en un trato deshumanizado, un abuso de medicalización y patologización de los procesos naturales, que implique una apropiación del cuerpo de la persona gestante y de los procesos fisiológicos presentes durante el embarazo, el trabajo de parto, el alumbramiento de la placenta, la atención de la criatura recién nacida y el puerperio, trayendo consigo la pérdida de autonomía y de la capacidad de decisión de parte de la persona gestante durante su embarazo, parto y puerperio”. </w:t>
      </w:r>
      <w:r w:rsidR="001B6352" w:rsidRPr="00B95E0F">
        <w:rPr>
          <w:rFonts w:ascii="Book Antiqua" w:hAnsi="Book Antiqua"/>
          <w:lang w:val="es-ES"/>
        </w:rPr>
        <w:t xml:space="preserve"> </w:t>
      </w:r>
    </w:p>
    <w:p w14:paraId="4AFF2F76" w14:textId="6A4B946C" w:rsidR="008A0E10" w:rsidRPr="00B95E0F" w:rsidRDefault="001F2F6D" w:rsidP="008A0E10">
      <w:pPr>
        <w:tabs>
          <w:tab w:val="left" w:pos="-720"/>
        </w:tabs>
        <w:suppressAutoHyphens/>
        <w:ind w:firstLine="360"/>
        <w:jc w:val="both"/>
        <w:rPr>
          <w:rFonts w:ascii="Book Antiqua" w:hAnsi="Book Antiqua"/>
          <w:lang w:val="es-ES"/>
        </w:rPr>
      </w:pPr>
      <w:r w:rsidRPr="00B95E0F">
        <w:rPr>
          <w:rFonts w:ascii="Book Antiqua" w:hAnsi="Book Antiqua"/>
          <w:lang w:val="es-ES"/>
        </w:rPr>
        <w:tab/>
        <w:t xml:space="preserve">Además, </w:t>
      </w:r>
      <w:r w:rsidR="001B6352" w:rsidRPr="00B95E0F">
        <w:rPr>
          <w:rFonts w:ascii="Book Antiqua" w:hAnsi="Book Antiqua"/>
          <w:lang w:val="es-ES"/>
        </w:rPr>
        <w:t>procura establecer que</w:t>
      </w:r>
      <w:r w:rsidR="008A0E10" w:rsidRPr="00B95E0F">
        <w:rPr>
          <w:rFonts w:ascii="Book Antiqua" w:hAnsi="Book Antiqua"/>
          <w:lang w:val="es-ES"/>
        </w:rPr>
        <w:t xml:space="preserve"> el personal de salud que atienda a una persona durante el embarazo, la pérdida de un feto, el parto, el puerperio, la lactancia o en alguna intervención ginecológica relacionada, incurrirá en responsabilidad civil</w:t>
      </w:r>
      <w:r w:rsidR="00457513" w:rsidRPr="00B95E0F">
        <w:rPr>
          <w:rFonts w:ascii="Book Antiqua" w:hAnsi="Book Antiqua"/>
          <w:lang w:val="es-ES"/>
        </w:rPr>
        <w:t xml:space="preserve">, </w:t>
      </w:r>
      <w:r w:rsidR="00457513" w:rsidRPr="00B95E0F">
        <w:rPr>
          <w:rFonts w:ascii="Book Antiqua" w:hAnsi="Book Antiqua"/>
          <w:lang w:val="es-ES"/>
        </w:rPr>
        <w:lastRenderedPageBreak/>
        <w:t>debiendo pagar el doble del importe de los daños causados a la persona gestante, parturienta o lactante,</w:t>
      </w:r>
      <w:r w:rsidR="008A0E10" w:rsidRPr="00B95E0F">
        <w:rPr>
          <w:rFonts w:ascii="Book Antiqua" w:hAnsi="Book Antiqua"/>
          <w:lang w:val="es-ES"/>
        </w:rPr>
        <w:t xml:space="preserve"> si omite una atención oportuna y eficaz ante emergencias obstétricas; prohíbe sin justificación la presencia de familiares, dulas o acompañantes; restringe injustificadamente la ingesta de alimentos; altera innecesariamente un parto de bajo riesgo; agrede física, sexual, verbal, emocional o psicológicamente; intimida o coacciona; amenaza con retirar tratamiento si no se consiente un procedimiento; niega medicación contra el dolor; humilla mediante comentarios sexistas, burlas o gritos; emplea fuerza física o realiza exámenes vaginales sin consentimiento informado y respetuoso de la intimidad; practica una cesárea sin necesidad ni consentimiento, o limita el acceso a ella cuando es indispensable; esteriliza sin autorización válida; impide sin causa médica el apego precoz y el contacto piel con piel; amenaza con cometer cualquiera de estos actos; o incurre en cualquier otra forma de violencia obstétrica contraria a la política pública del Gobierno de Puerto Rico que provoque sufrimiento físico, sexual, emocional o psicológico.</w:t>
      </w:r>
    </w:p>
    <w:p w14:paraId="5965D980" w14:textId="77777777" w:rsidR="000E7ACF" w:rsidRPr="00B95E0F" w:rsidRDefault="000E7ACF" w:rsidP="000E7ACF">
      <w:pPr>
        <w:tabs>
          <w:tab w:val="left" w:pos="-720"/>
        </w:tabs>
        <w:suppressAutoHyphens/>
        <w:jc w:val="both"/>
        <w:rPr>
          <w:rFonts w:ascii="Book Antiqua" w:hAnsi="Book Antiqua"/>
          <w:lang w:val="es-ES"/>
        </w:rPr>
      </w:pPr>
    </w:p>
    <w:p w14:paraId="58A5ACA3" w14:textId="5C9B96A3" w:rsidR="00602E51" w:rsidRPr="00B95E0F" w:rsidRDefault="00602E51" w:rsidP="000E7ACF">
      <w:pPr>
        <w:tabs>
          <w:tab w:val="left" w:pos="-720"/>
        </w:tabs>
        <w:suppressAutoHyphens/>
        <w:jc w:val="center"/>
        <w:rPr>
          <w:rFonts w:ascii="Book Antiqua" w:hAnsi="Book Antiqua"/>
          <w:b/>
          <w:bCs/>
          <w:i/>
          <w:iCs/>
          <w:smallCaps/>
          <w:lang w:val="es-ES"/>
        </w:rPr>
      </w:pPr>
      <w:r w:rsidRPr="00B95E0F">
        <w:rPr>
          <w:rFonts w:ascii="Book Antiqua" w:hAnsi="Book Antiqua"/>
          <w:b/>
          <w:bCs/>
          <w:i/>
          <w:iCs/>
          <w:smallCaps/>
          <w:lang w:val="es-ES"/>
        </w:rPr>
        <w:t>La impericia m</w:t>
      </w:r>
      <w:r w:rsidR="000E7ACF" w:rsidRPr="00B95E0F">
        <w:rPr>
          <w:rFonts w:ascii="Book Antiqua" w:hAnsi="Book Antiqua"/>
          <w:b/>
          <w:bCs/>
          <w:i/>
          <w:iCs/>
          <w:smallCaps/>
          <w:lang w:val="es-ES"/>
        </w:rPr>
        <w:t>é</w:t>
      </w:r>
      <w:r w:rsidRPr="00B95E0F">
        <w:rPr>
          <w:rFonts w:ascii="Book Antiqua" w:hAnsi="Book Antiqua"/>
          <w:b/>
          <w:bCs/>
          <w:i/>
          <w:iCs/>
          <w:smallCaps/>
          <w:lang w:val="es-ES"/>
        </w:rPr>
        <w:t xml:space="preserve">dica como fuente de </w:t>
      </w:r>
      <w:r w:rsidR="000E7ACF" w:rsidRPr="00B95E0F">
        <w:rPr>
          <w:rFonts w:ascii="Book Antiqua" w:hAnsi="Book Antiqua"/>
          <w:b/>
          <w:bCs/>
          <w:i/>
          <w:iCs/>
          <w:smallCaps/>
          <w:lang w:val="es-ES"/>
        </w:rPr>
        <w:t>responsabilidad civil extracontractual</w:t>
      </w:r>
    </w:p>
    <w:p w14:paraId="7435C51F" w14:textId="77777777" w:rsidR="000E7ACF" w:rsidRPr="00B95E0F" w:rsidRDefault="000E7ACF" w:rsidP="008A0E10">
      <w:pPr>
        <w:tabs>
          <w:tab w:val="left" w:pos="-720"/>
        </w:tabs>
        <w:suppressAutoHyphens/>
        <w:ind w:firstLine="360"/>
        <w:jc w:val="both"/>
        <w:rPr>
          <w:rFonts w:ascii="Book Antiqua" w:hAnsi="Book Antiqua"/>
          <w:lang w:val="es-ES"/>
        </w:rPr>
      </w:pPr>
    </w:p>
    <w:p w14:paraId="71F1CFD8" w14:textId="1110FE2C" w:rsidR="00492B5E" w:rsidRPr="00B95E0F" w:rsidRDefault="000E7ACF" w:rsidP="0060779B">
      <w:pPr>
        <w:tabs>
          <w:tab w:val="left" w:pos="-720"/>
        </w:tabs>
        <w:suppressAutoHyphens/>
        <w:ind w:firstLine="360"/>
        <w:jc w:val="both"/>
        <w:rPr>
          <w:rFonts w:ascii="Book Antiqua" w:hAnsi="Book Antiqua"/>
          <w:lang w:val="es-ES"/>
        </w:rPr>
      </w:pPr>
      <w:r w:rsidRPr="00B95E0F">
        <w:rPr>
          <w:rFonts w:ascii="Book Antiqua" w:hAnsi="Book Antiqua"/>
          <w:lang w:val="es-ES"/>
        </w:rPr>
        <w:tab/>
      </w:r>
      <w:r w:rsidR="00602E51" w:rsidRPr="00B95E0F">
        <w:rPr>
          <w:rFonts w:ascii="Book Antiqua" w:hAnsi="Book Antiqua"/>
          <w:lang w:val="es-ES"/>
        </w:rPr>
        <w:t xml:space="preserve">Los actos y omisiones en que intervenga cualquier género de culpa o negligencia son fuentes de obligaciones que generan responsabilidad civil extracontractual. Por ello, el Artículo </w:t>
      </w:r>
      <w:r w:rsidR="00C86598" w:rsidRPr="00B95E0F">
        <w:rPr>
          <w:rFonts w:ascii="Book Antiqua" w:hAnsi="Book Antiqua"/>
          <w:lang w:val="es-ES"/>
        </w:rPr>
        <w:t>1536</w:t>
      </w:r>
      <w:r w:rsidR="00602E51" w:rsidRPr="00B95E0F">
        <w:rPr>
          <w:rFonts w:ascii="Book Antiqua" w:hAnsi="Book Antiqua"/>
          <w:lang w:val="es-ES"/>
        </w:rPr>
        <w:t xml:space="preserve"> del Código Civil de Puerto Rico de </w:t>
      </w:r>
      <w:r w:rsidR="00C86598" w:rsidRPr="00B95E0F">
        <w:rPr>
          <w:rFonts w:ascii="Book Antiqua" w:hAnsi="Book Antiqua"/>
          <w:lang w:val="es-ES"/>
        </w:rPr>
        <w:t>2020</w:t>
      </w:r>
      <w:r w:rsidR="00602E51" w:rsidRPr="00B95E0F">
        <w:rPr>
          <w:rFonts w:ascii="Book Antiqua" w:hAnsi="Book Antiqua"/>
          <w:lang w:val="es-ES"/>
        </w:rPr>
        <w:t xml:space="preserve"> establece que</w:t>
      </w:r>
      <w:r w:rsidR="003D4D04" w:rsidRPr="00B95E0F">
        <w:rPr>
          <w:rFonts w:ascii="Book Antiqua" w:hAnsi="Book Antiqua"/>
          <w:lang w:val="es-ES"/>
        </w:rPr>
        <w:t xml:space="preserve"> “La persona que por culpa o negligencia causa daño a otra, viene obligada a repararlo”</w:t>
      </w:r>
      <w:r w:rsidR="00602E51" w:rsidRPr="00B95E0F">
        <w:rPr>
          <w:rFonts w:ascii="Book Antiqua" w:hAnsi="Book Antiqua"/>
          <w:lang w:val="es-ES"/>
        </w:rPr>
        <w:t>.</w:t>
      </w:r>
      <w:r w:rsidR="0057693B" w:rsidRPr="00B95E0F">
        <w:rPr>
          <w:rStyle w:val="FootnoteReference"/>
          <w:rFonts w:ascii="Book Antiqua" w:hAnsi="Book Antiqua"/>
          <w:lang w:val="es-ES"/>
        </w:rPr>
        <w:footnoteReference w:id="1"/>
      </w:r>
      <w:r w:rsidR="00602E51" w:rsidRPr="00B95E0F">
        <w:rPr>
          <w:rFonts w:ascii="Book Antiqua" w:hAnsi="Book Antiqua"/>
          <w:lang w:val="es-ES"/>
        </w:rPr>
        <w:t xml:space="preserve"> La responsabilidad civil al amparo de esta norma requiere la concurrencia de tres elementos, a saber: (1) la ocurrencia de un daño; (2) que dicho daño hubiera surgido como resultado de un acto u omisión culposa o negligente del demandado y (3) la existencia de un nexo causal entre el daño sufrido y dicho acto u omisión.</w:t>
      </w:r>
      <w:r w:rsidR="002B0512" w:rsidRPr="00B95E0F">
        <w:rPr>
          <w:rStyle w:val="FootnoteReference"/>
          <w:rFonts w:ascii="Book Antiqua" w:hAnsi="Book Antiqua"/>
          <w:lang w:val="es-ES"/>
        </w:rPr>
        <w:footnoteReference w:id="2"/>
      </w:r>
      <w:r w:rsidR="00602E51" w:rsidRPr="00B95E0F">
        <w:rPr>
          <w:rFonts w:ascii="Book Antiqua" w:hAnsi="Book Antiqua"/>
          <w:lang w:val="es-ES"/>
        </w:rPr>
        <w:t xml:space="preserve"> Las acciones por responsabilidad civil extracontractual </w:t>
      </w:r>
      <w:r w:rsidR="002B0512" w:rsidRPr="00B95E0F">
        <w:rPr>
          <w:rFonts w:ascii="Book Antiqua" w:hAnsi="Book Antiqua"/>
          <w:lang w:val="es-ES"/>
        </w:rPr>
        <w:t>“</w:t>
      </w:r>
      <w:r w:rsidR="00602E51" w:rsidRPr="00B95E0F">
        <w:rPr>
          <w:rFonts w:ascii="Book Antiqua" w:hAnsi="Book Antiqua"/>
          <w:lang w:val="es-ES"/>
        </w:rPr>
        <w:t>se distinguen porque la responsabilidad frente al perjudicado surge sin que le preceda una relación jurídica entre las partes</w:t>
      </w:r>
      <w:r w:rsidR="002B0512" w:rsidRPr="00B95E0F">
        <w:rPr>
          <w:rFonts w:ascii="Book Antiqua" w:hAnsi="Book Antiqua"/>
          <w:lang w:val="es-ES"/>
        </w:rPr>
        <w:t>”</w:t>
      </w:r>
      <w:r w:rsidR="00602E51" w:rsidRPr="00B95E0F">
        <w:rPr>
          <w:rFonts w:ascii="Book Antiqua" w:hAnsi="Book Antiqua"/>
          <w:lang w:val="es-ES"/>
        </w:rPr>
        <w:t>.</w:t>
      </w:r>
      <w:r w:rsidR="00F232DC" w:rsidRPr="00B95E0F">
        <w:rPr>
          <w:rStyle w:val="FootnoteReference"/>
          <w:rFonts w:ascii="Book Antiqua" w:hAnsi="Book Antiqua"/>
          <w:lang w:val="es-ES"/>
        </w:rPr>
        <w:footnoteReference w:id="3"/>
      </w:r>
      <w:r w:rsidR="00602E51" w:rsidRPr="00B95E0F">
        <w:rPr>
          <w:rFonts w:ascii="Book Antiqua" w:hAnsi="Book Antiqua"/>
          <w:lang w:val="es-ES"/>
        </w:rPr>
        <w:t xml:space="preserve"> En estos casos, la culpa o negligencia consiste en la falta de cuidado al no anticipar o prever las consecuencias de un acto, tal y como lo haría una persona prudente y razonable en iguales circunstancias.</w:t>
      </w:r>
      <w:r w:rsidR="00F232DC" w:rsidRPr="00B95E0F">
        <w:rPr>
          <w:rStyle w:val="FootnoteReference"/>
          <w:rFonts w:ascii="Book Antiqua" w:hAnsi="Book Antiqua"/>
          <w:lang w:val="es-ES"/>
        </w:rPr>
        <w:footnoteReference w:id="4"/>
      </w:r>
      <w:r w:rsidR="00602E51" w:rsidRPr="00B95E0F">
        <w:rPr>
          <w:rFonts w:ascii="Book Antiqua" w:hAnsi="Book Antiqua"/>
          <w:lang w:val="es-ES"/>
        </w:rPr>
        <w:t xml:space="preserve"> Siendo ello así, la norma exige que se actúe con el grado de cuidado, diligencia, vigilancia y precaución que las particularidades del asunto de que trate exijan.</w:t>
      </w:r>
      <w:r w:rsidR="00F232DC" w:rsidRPr="00B95E0F">
        <w:rPr>
          <w:rStyle w:val="FootnoteReference"/>
          <w:rFonts w:ascii="Book Antiqua" w:hAnsi="Book Antiqua"/>
          <w:lang w:val="es-ES"/>
        </w:rPr>
        <w:footnoteReference w:id="5"/>
      </w:r>
      <w:r w:rsidR="00F232DC" w:rsidRPr="00B95E0F">
        <w:rPr>
          <w:rFonts w:ascii="Book Antiqua" w:hAnsi="Book Antiqua"/>
          <w:lang w:val="es-ES"/>
        </w:rPr>
        <w:t xml:space="preserve"> </w:t>
      </w:r>
      <w:r w:rsidR="00602E51" w:rsidRPr="00B95E0F">
        <w:rPr>
          <w:rFonts w:ascii="Book Antiqua" w:hAnsi="Book Antiqua"/>
          <w:lang w:val="es-ES"/>
        </w:rPr>
        <w:t xml:space="preserve">En </w:t>
      </w:r>
      <w:r w:rsidR="00602E51" w:rsidRPr="00B95E0F">
        <w:rPr>
          <w:rFonts w:ascii="Book Antiqua" w:hAnsi="Book Antiqua"/>
          <w:i/>
          <w:iCs/>
          <w:lang w:val="es-ES"/>
        </w:rPr>
        <w:t>Rodríguez v. Hospital</w:t>
      </w:r>
      <w:r w:rsidR="00602E51" w:rsidRPr="00B95E0F">
        <w:rPr>
          <w:rFonts w:ascii="Book Antiqua" w:hAnsi="Book Antiqua"/>
          <w:lang w:val="es-ES"/>
        </w:rPr>
        <w:t xml:space="preserve"> </w:t>
      </w:r>
      <w:r w:rsidR="005244BE" w:rsidRPr="00B95E0F">
        <w:rPr>
          <w:rFonts w:ascii="Book Antiqua" w:hAnsi="Book Antiqua"/>
          <w:lang w:val="es-ES"/>
        </w:rPr>
        <w:t>el Tribunal Supremo de Puerto Rico</w:t>
      </w:r>
      <w:r w:rsidR="00602E51" w:rsidRPr="00B95E0F">
        <w:rPr>
          <w:rFonts w:ascii="Book Antiqua" w:hAnsi="Book Antiqua"/>
          <w:lang w:val="es-ES"/>
        </w:rPr>
        <w:t xml:space="preserve"> reiteró que una acción para exigir responsabilidad profesional a un médico no es distinta a la de un caso ordinario de daños y perjuicios por negligencia al amparo del Código Civil.</w:t>
      </w:r>
      <w:r w:rsidR="006E23B2" w:rsidRPr="00B95E0F">
        <w:rPr>
          <w:rStyle w:val="FootnoteReference"/>
          <w:rFonts w:ascii="Book Antiqua" w:hAnsi="Book Antiqua"/>
          <w:lang w:val="es-ES"/>
        </w:rPr>
        <w:footnoteReference w:id="6"/>
      </w:r>
      <w:r w:rsidR="00602E51" w:rsidRPr="00B95E0F">
        <w:rPr>
          <w:rFonts w:ascii="Book Antiqua" w:hAnsi="Book Antiqua"/>
          <w:lang w:val="es-ES"/>
        </w:rPr>
        <w:t xml:space="preserve"> Por lo tanto, al igual que cualquier otra </w:t>
      </w:r>
      <w:r w:rsidR="00602E51" w:rsidRPr="00B95E0F">
        <w:rPr>
          <w:rFonts w:ascii="Book Antiqua" w:hAnsi="Book Antiqua"/>
          <w:lang w:val="es-ES"/>
        </w:rPr>
        <w:lastRenderedPageBreak/>
        <w:t>causa de acción por daños y perjuicios, la reclamación por impericia médica requiere que la parte demandante establezca por preponderancia de la evidencia, creída por el juzgador, que los actos de negligencia, falta de cuidado o impericia del médico causaron el daño reclamado.</w:t>
      </w:r>
      <w:r w:rsidR="006E23B2" w:rsidRPr="00B95E0F">
        <w:rPr>
          <w:rFonts w:ascii="Book Antiqua" w:hAnsi="Book Antiqua"/>
          <w:lang w:val="es-ES"/>
        </w:rPr>
        <w:t xml:space="preserve"> </w:t>
      </w:r>
      <w:r w:rsidR="00602E51" w:rsidRPr="00B95E0F">
        <w:rPr>
          <w:rFonts w:ascii="Book Antiqua" w:hAnsi="Book Antiqua"/>
          <w:lang w:val="es-ES"/>
        </w:rPr>
        <w:t>En los casos de impericia médica es necesario que el promovente de la acción demuestre la ocurrencia de un acto médico culposo o negligente, la producción de un daño real y la relación causal entre el acto del médico y el daño sufrido.</w:t>
      </w:r>
      <w:r w:rsidR="00B2120A" w:rsidRPr="00B95E0F">
        <w:rPr>
          <w:rStyle w:val="FootnoteReference"/>
          <w:rFonts w:ascii="Book Antiqua" w:hAnsi="Book Antiqua"/>
          <w:lang w:val="es-ES"/>
        </w:rPr>
        <w:footnoteReference w:id="7"/>
      </w:r>
      <w:r w:rsidR="00602E51" w:rsidRPr="00B95E0F">
        <w:rPr>
          <w:rFonts w:ascii="Book Antiqua" w:hAnsi="Book Antiqua"/>
          <w:lang w:val="es-ES"/>
        </w:rPr>
        <w:t xml:space="preserve"> De modo que le corresponde al demandante probar, mediante preponderancia de la prueba, que las acciones negligentes del médico fueron el factor que con mayor probabilidad ocasionó el daño sufrido y establecer el vínculo causal requerido</w:t>
      </w:r>
      <w:r w:rsidR="00B2120A" w:rsidRPr="00B95E0F">
        <w:rPr>
          <w:rFonts w:ascii="Book Antiqua" w:hAnsi="Book Antiqua"/>
          <w:lang w:val="es-ES"/>
        </w:rPr>
        <w:t xml:space="preserve">. Sin </w:t>
      </w:r>
      <w:r w:rsidR="00602E51" w:rsidRPr="00B95E0F">
        <w:rPr>
          <w:rFonts w:ascii="Book Antiqua" w:hAnsi="Book Antiqua"/>
          <w:lang w:val="es-ES"/>
        </w:rPr>
        <w:t xml:space="preserve">embargo, en nuestra jurisdicción rige una presunción a favor del médico que sugiere que este haya observado un grado razonable de cuidado y atención en la administración del tratamiento médico y que los exámenes practicados al paciente hayan sido adecuados. Por ello, le </w:t>
      </w:r>
      <w:r w:rsidR="00B2120A" w:rsidRPr="00B95E0F">
        <w:rPr>
          <w:rFonts w:ascii="Book Antiqua" w:hAnsi="Book Antiqua"/>
          <w:lang w:val="es-ES"/>
        </w:rPr>
        <w:t>corresponde a</w:t>
      </w:r>
      <w:r w:rsidR="00602E51" w:rsidRPr="00B95E0F">
        <w:rPr>
          <w:rFonts w:ascii="Book Antiqua" w:hAnsi="Book Antiqua"/>
          <w:lang w:val="es-ES"/>
        </w:rPr>
        <w:t xml:space="preserve"> la parte demandante controvertir esta presunción con prueba que demuestre algo más que una mera posibilidad de que el daño se debió al incumplimiento del médico de su obligación profesional. La relación de causalidad no se puede establecer a base de una mera especulación o conjetura.</w:t>
      </w:r>
      <w:r w:rsidR="009B54DB" w:rsidRPr="00B95E0F">
        <w:rPr>
          <w:rStyle w:val="FootnoteReference"/>
          <w:rFonts w:ascii="Book Antiqua" w:hAnsi="Book Antiqua"/>
          <w:lang w:val="es-ES"/>
        </w:rPr>
        <w:footnoteReference w:id="8"/>
      </w:r>
      <w:r w:rsidR="00B2120A" w:rsidRPr="00B95E0F">
        <w:rPr>
          <w:rFonts w:ascii="Book Antiqua" w:hAnsi="Book Antiqua"/>
          <w:lang w:val="es-ES"/>
        </w:rPr>
        <w:t xml:space="preserve"> </w:t>
      </w:r>
      <w:r w:rsidR="00602E51" w:rsidRPr="00B95E0F">
        <w:rPr>
          <w:rFonts w:ascii="Book Antiqua" w:hAnsi="Book Antiqua"/>
          <w:lang w:val="es-ES"/>
        </w:rPr>
        <w:t xml:space="preserve">Al evaluar esta prueba, el tribunal debe considerar que en nuestro ordenamiento jurídico las normas mínimas de cuidado, conocimiento y destrezas que le son requeridas a los profesionales de la salud, en casos de alegada mala práctica profesional, son las de brindar a sus pacientes aquella atención que </w:t>
      </w:r>
      <w:r w:rsidR="00F67B66" w:rsidRPr="00B95E0F">
        <w:rPr>
          <w:rFonts w:ascii="Book Antiqua" w:hAnsi="Book Antiqua"/>
          <w:lang w:val="es-ES"/>
        </w:rPr>
        <w:t>“</w:t>
      </w:r>
      <w:r w:rsidR="00602E51" w:rsidRPr="00B95E0F">
        <w:rPr>
          <w:rFonts w:ascii="Book Antiqua" w:hAnsi="Book Antiqua"/>
          <w:lang w:val="es-ES"/>
        </w:rPr>
        <w:t>a la luz de los modernos medios de comunicación y enseñanza, y conforme al estado de conocimiento de la ciencia y la práctica prevaleciente de la medicina, satisface las exigencias profesionales generalmente reconocidas por la profesión médica</w:t>
      </w:r>
      <w:r w:rsidR="00F67B66" w:rsidRPr="00B95E0F">
        <w:rPr>
          <w:rFonts w:ascii="Book Antiqua" w:hAnsi="Book Antiqua"/>
          <w:lang w:val="es-ES"/>
        </w:rPr>
        <w:t>”</w:t>
      </w:r>
      <w:r w:rsidR="00602E51" w:rsidRPr="00B95E0F">
        <w:rPr>
          <w:rFonts w:ascii="Book Antiqua" w:hAnsi="Book Antiqua"/>
          <w:lang w:val="es-ES"/>
        </w:rPr>
        <w:t>.</w:t>
      </w:r>
      <w:r w:rsidR="003A36CC" w:rsidRPr="00B95E0F">
        <w:rPr>
          <w:rStyle w:val="FootnoteReference"/>
          <w:rFonts w:ascii="Book Antiqua" w:hAnsi="Book Antiqua"/>
          <w:lang w:val="es-ES"/>
        </w:rPr>
        <w:footnoteReference w:id="9"/>
      </w:r>
      <w:r w:rsidR="00F67B66" w:rsidRPr="00B95E0F">
        <w:rPr>
          <w:rFonts w:ascii="Book Antiqua" w:hAnsi="Book Antiqua"/>
          <w:lang w:val="es-ES"/>
        </w:rPr>
        <w:t xml:space="preserve"> </w:t>
      </w:r>
      <w:r w:rsidR="00602E51" w:rsidRPr="00B95E0F">
        <w:rPr>
          <w:rFonts w:ascii="Book Antiqua" w:hAnsi="Book Antiqua"/>
          <w:lang w:val="es-ES"/>
        </w:rPr>
        <w:t>Hay que tener presente que la negligencia del médico no se presume por el hecho de que el paciente haya sufrido un daño o que el tratamiento no haya sido exitoso.</w:t>
      </w:r>
      <w:r w:rsidR="00C8168E" w:rsidRPr="00B95E0F">
        <w:rPr>
          <w:rStyle w:val="FootnoteReference"/>
          <w:rFonts w:ascii="Book Antiqua" w:hAnsi="Book Antiqua"/>
          <w:lang w:val="es-ES"/>
        </w:rPr>
        <w:footnoteReference w:id="10"/>
      </w:r>
      <w:r w:rsidR="00602E51" w:rsidRPr="00B95E0F">
        <w:rPr>
          <w:rFonts w:ascii="Book Antiqua" w:hAnsi="Book Antiqua"/>
          <w:lang w:val="es-ES"/>
        </w:rPr>
        <w:t xml:space="preserve"> Se ha dicho al respecto que, para establecer un caso </w:t>
      </w:r>
      <w:r w:rsidR="00602E51" w:rsidRPr="00B95E0F">
        <w:rPr>
          <w:rFonts w:ascii="Book Antiqua" w:hAnsi="Book Antiqua"/>
          <w:i/>
          <w:iCs/>
          <w:lang w:val="es-ES"/>
        </w:rPr>
        <w:t>prima facie</w:t>
      </w:r>
      <w:r w:rsidR="00602E51" w:rsidRPr="00B95E0F">
        <w:rPr>
          <w:rFonts w:ascii="Book Antiqua" w:hAnsi="Book Antiqua"/>
          <w:lang w:val="es-ES"/>
        </w:rPr>
        <w:t xml:space="preserve"> de impericia médica se tiene que presentar prueba sobre: </w:t>
      </w:r>
      <w:r w:rsidR="00C8168E" w:rsidRPr="00B95E0F">
        <w:rPr>
          <w:rFonts w:ascii="Book Antiqua" w:hAnsi="Book Antiqua"/>
          <w:lang w:val="es-ES"/>
        </w:rPr>
        <w:t>(</w:t>
      </w:r>
      <w:r w:rsidR="00602E51" w:rsidRPr="00B95E0F">
        <w:rPr>
          <w:rFonts w:ascii="Book Antiqua" w:hAnsi="Book Antiqua"/>
          <w:lang w:val="es-ES"/>
        </w:rPr>
        <w:t xml:space="preserve">1) las normas mínimas de conocimiento y cuidado médico aplicables a los generalistas o a los especialistas, </w:t>
      </w:r>
      <w:r w:rsidR="00C8168E" w:rsidRPr="00B95E0F">
        <w:rPr>
          <w:rFonts w:ascii="Book Antiqua" w:hAnsi="Book Antiqua"/>
          <w:lang w:val="es-ES"/>
        </w:rPr>
        <w:t>(</w:t>
      </w:r>
      <w:r w:rsidR="00602E51" w:rsidRPr="00B95E0F">
        <w:rPr>
          <w:rFonts w:ascii="Book Antiqua" w:hAnsi="Book Antiqua"/>
          <w:lang w:val="es-ES"/>
        </w:rPr>
        <w:t xml:space="preserve">2) demostrar que el demandado incumplió con estas normas en el tratamiento del paciente; y (3) demostrar que </w:t>
      </w:r>
      <w:r w:rsidR="00C8168E" w:rsidRPr="00B95E0F">
        <w:rPr>
          <w:rFonts w:ascii="Book Antiqua" w:hAnsi="Book Antiqua"/>
          <w:lang w:val="es-ES"/>
        </w:rPr>
        <w:t>e</w:t>
      </w:r>
      <w:r w:rsidR="00602E51" w:rsidRPr="00B95E0F">
        <w:rPr>
          <w:rFonts w:ascii="Book Antiqua" w:hAnsi="Book Antiqua"/>
          <w:lang w:val="es-ES"/>
        </w:rPr>
        <w:t>sta fue la causa de la lesión sufrida por el paciente.</w:t>
      </w:r>
      <w:r w:rsidR="00C8168E" w:rsidRPr="00B95E0F">
        <w:rPr>
          <w:rStyle w:val="FootnoteReference"/>
          <w:rFonts w:ascii="Book Antiqua" w:hAnsi="Book Antiqua"/>
          <w:lang w:val="es-ES"/>
        </w:rPr>
        <w:footnoteReference w:id="11"/>
      </w:r>
      <w:r w:rsidR="00C8168E" w:rsidRPr="00B95E0F">
        <w:rPr>
          <w:rFonts w:ascii="Book Antiqua" w:hAnsi="Book Antiqua"/>
          <w:lang w:val="es-ES"/>
        </w:rPr>
        <w:t xml:space="preserve"> </w:t>
      </w:r>
      <w:r w:rsidR="00602E51" w:rsidRPr="00B95E0F">
        <w:rPr>
          <w:rFonts w:ascii="Book Antiqua" w:hAnsi="Book Antiqua"/>
          <w:lang w:val="es-ES"/>
        </w:rPr>
        <w:t>Lo anterior quiere decir que le corresponde al demandante establecer, mediante prueba pericial, cuáles son los requisitos de cuidado y conocimiento científico requeridos por la profesión en un tratamiento determinado, las normas de conocimiento informado y la razón por la cual el médico demandado no cumplió con las mismas.</w:t>
      </w:r>
      <w:r w:rsidR="0017277D" w:rsidRPr="00B95E0F">
        <w:rPr>
          <w:rStyle w:val="FootnoteReference"/>
          <w:rFonts w:ascii="Book Antiqua" w:hAnsi="Book Antiqua"/>
          <w:lang w:val="es-ES"/>
        </w:rPr>
        <w:footnoteReference w:id="12"/>
      </w:r>
      <w:r w:rsidR="00602E51" w:rsidRPr="00B95E0F">
        <w:rPr>
          <w:rFonts w:ascii="Book Antiqua" w:hAnsi="Book Antiqua"/>
          <w:lang w:val="es-ES"/>
        </w:rPr>
        <w:t xml:space="preserve"> Conforme a la norma antes indicada, el médico solamente responde por los daños y perjuicios causados cuando </w:t>
      </w:r>
      <w:r w:rsidR="00602E51" w:rsidRPr="00B95E0F">
        <w:rPr>
          <w:rFonts w:ascii="Book Antiqua" w:hAnsi="Book Antiqua"/>
          <w:lang w:val="es-ES"/>
        </w:rPr>
        <w:lastRenderedPageBreak/>
        <w:t>actúa negligentemente, con descuido o cuando falta a la pericia profesional que exigen las circunstancias.</w:t>
      </w:r>
    </w:p>
    <w:p w14:paraId="6900FE1F" w14:textId="77777777" w:rsidR="00E774A1" w:rsidRPr="00B95E0F" w:rsidRDefault="00E774A1" w:rsidP="00E774A1">
      <w:pPr>
        <w:tabs>
          <w:tab w:val="left" w:pos="-720"/>
        </w:tabs>
        <w:suppressAutoHyphens/>
        <w:jc w:val="both"/>
        <w:rPr>
          <w:rFonts w:ascii="Book Antiqua" w:hAnsi="Book Antiqua"/>
          <w:lang w:val="es-ES"/>
        </w:rPr>
      </w:pPr>
    </w:p>
    <w:p w14:paraId="0FB96E42" w14:textId="53F0748B" w:rsidR="00E774A1" w:rsidRPr="00B95E0F" w:rsidRDefault="00E774A1" w:rsidP="00E774A1">
      <w:pPr>
        <w:tabs>
          <w:tab w:val="left" w:pos="-720"/>
        </w:tabs>
        <w:suppressAutoHyphens/>
        <w:jc w:val="center"/>
        <w:rPr>
          <w:rFonts w:ascii="Book Antiqua" w:hAnsi="Book Antiqua"/>
          <w:b/>
          <w:bCs/>
          <w:i/>
          <w:iCs/>
          <w:smallCaps/>
          <w:lang w:val="es-ES"/>
        </w:rPr>
      </w:pPr>
      <w:r w:rsidRPr="00B95E0F">
        <w:rPr>
          <w:rFonts w:ascii="Book Antiqua" w:hAnsi="Book Antiqua"/>
          <w:b/>
          <w:bCs/>
          <w:i/>
          <w:iCs/>
          <w:smallCaps/>
          <w:lang w:val="es-ES"/>
        </w:rPr>
        <w:t>El error de juicio m</w:t>
      </w:r>
      <w:r w:rsidR="005E0502" w:rsidRPr="00B95E0F">
        <w:rPr>
          <w:rFonts w:ascii="Book Antiqua" w:hAnsi="Book Antiqua"/>
          <w:b/>
          <w:bCs/>
          <w:i/>
          <w:iCs/>
          <w:smallCaps/>
          <w:lang w:val="es-ES"/>
        </w:rPr>
        <w:t>é</w:t>
      </w:r>
      <w:r w:rsidRPr="00B95E0F">
        <w:rPr>
          <w:rFonts w:ascii="Book Antiqua" w:hAnsi="Book Antiqua"/>
          <w:b/>
          <w:bCs/>
          <w:i/>
          <w:iCs/>
          <w:smallCaps/>
          <w:lang w:val="es-ES"/>
        </w:rPr>
        <w:t>dico</w:t>
      </w:r>
      <w:r w:rsidR="00D007A6" w:rsidRPr="00B95E0F">
        <w:rPr>
          <w:rFonts w:ascii="Book Antiqua" w:hAnsi="Book Antiqua"/>
          <w:b/>
          <w:bCs/>
          <w:i/>
          <w:iCs/>
          <w:smallCaps/>
          <w:lang w:val="es-ES"/>
        </w:rPr>
        <w:t xml:space="preserve"> en el diagnóstico y tratamiento</w:t>
      </w:r>
    </w:p>
    <w:p w14:paraId="792E4745" w14:textId="77777777" w:rsidR="00E774A1" w:rsidRPr="00B95E0F" w:rsidRDefault="00E774A1" w:rsidP="00E774A1">
      <w:pPr>
        <w:tabs>
          <w:tab w:val="left" w:pos="-720"/>
        </w:tabs>
        <w:suppressAutoHyphens/>
        <w:jc w:val="both"/>
        <w:rPr>
          <w:rFonts w:ascii="Book Antiqua" w:hAnsi="Book Antiqua"/>
          <w:lang w:val="es-ES"/>
        </w:rPr>
      </w:pPr>
    </w:p>
    <w:p w14:paraId="3C16FFA4" w14:textId="7ABC9E4B" w:rsidR="00E774A1" w:rsidRPr="00B95E0F" w:rsidRDefault="005E0502" w:rsidP="005E0502">
      <w:pPr>
        <w:tabs>
          <w:tab w:val="left" w:pos="-720"/>
        </w:tabs>
        <w:suppressAutoHyphens/>
        <w:ind w:firstLine="360"/>
        <w:jc w:val="both"/>
        <w:rPr>
          <w:rFonts w:ascii="Book Antiqua" w:hAnsi="Book Antiqua"/>
          <w:lang w:val="es-ES"/>
        </w:rPr>
      </w:pPr>
      <w:r w:rsidRPr="00B95E0F">
        <w:rPr>
          <w:rFonts w:ascii="Book Antiqua" w:hAnsi="Book Antiqua"/>
          <w:lang w:val="es-ES"/>
        </w:rPr>
        <w:tab/>
      </w:r>
      <w:r w:rsidR="00E774A1" w:rsidRPr="00B95E0F">
        <w:rPr>
          <w:rFonts w:ascii="Book Antiqua" w:hAnsi="Book Antiqua"/>
          <w:lang w:val="es-ES"/>
        </w:rPr>
        <w:t xml:space="preserve">Dentro del ejercicio de la medicina, puede existir un error de juicio por parte del médico, el cual resulta aceptable para los tribunales. No obstante, corresponde a estos últimos velar porque la negligencia o la impericia no se encubran bajo la categoría de error de juicio. En el ámbito del </w:t>
      </w:r>
      <w:r w:rsidR="00E774A1" w:rsidRPr="00B95E0F">
        <w:rPr>
          <w:rFonts w:ascii="Book Antiqua" w:hAnsi="Book Antiqua"/>
          <w:b/>
          <w:bCs/>
          <w:lang w:val="es-ES"/>
        </w:rPr>
        <w:t>diagnóstico</w:t>
      </w:r>
      <w:r w:rsidR="00E774A1" w:rsidRPr="00B95E0F">
        <w:rPr>
          <w:rFonts w:ascii="Book Antiqua" w:hAnsi="Book Antiqua"/>
          <w:lang w:val="es-ES"/>
        </w:rPr>
        <w:t xml:space="preserve">, el error de juicio es aceptable como defensa cuando está presente una de las siguientes circunstancias: </w:t>
      </w:r>
      <w:r w:rsidR="00574F25" w:rsidRPr="00B95E0F">
        <w:rPr>
          <w:rFonts w:ascii="Book Antiqua" w:hAnsi="Book Antiqua"/>
          <w:lang w:val="es-ES"/>
        </w:rPr>
        <w:t>“(1) Cuando existe una duda razonable sobre la condición o enfermedad del paciente; (2) cuando las autoridades médicas reconocidas están divididas en cuanto a cuál debe ser el procedimiento de diagnóstico a seguirse; o (3) cuando el diagnóstico se hace después de un esfuerzo concienzudo del médico para enterarse de los síntomas y de la condición del paciente</w:t>
      </w:r>
      <w:r w:rsidRPr="00B95E0F">
        <w:rPr>
          <w:rFonts w:ascii="Book Antiqua" w:hAnsi="Book Antiqua"/>
          <w:lang w:val="es-ES"/>
        </w:rPr>
        <w:t>”.</w:t>
      </w:r>
      <w:r w:rsidRPr="00B95E0F">
        <w:rPr>
          <w:rStyle w:val="FootnoteReference"/>
          <w:rFonts w:ascii="Book Antiqua" w:hAnsi="Book Antiqua"/>
          <w:lang w:val="es-ES"/>
        </w:rPr>
        <w:footnoteReference w:id="13"/>
      </w:r>
      <w:r w:rsidRPr="00B95E0F">
        <w:rPr>
          <w:rFonts w:ascii="Book Antiqua" w:hAnsi="Book Antiqua"/>
          <w:lang w:val="es-ES"/>
        </w:rPr>
        <w:t xml:space="preserve"> </w:t>
      </w:r>
      <w:r w:rsidR="00E774A1" w:rsidRPr="00B95E0F">
        <w:rPr>
          <w:rFonts w:ascii="Book Antiqua" w:hAnsi="Book Antiqua"/>
          <w:lang w:val="es-ES"/>
        </w:rPr>
        <w:t xml:space="preserve">En lo que respecta al </w:t>
      </w:r>
      <w:r w:rsidR="00E774A1" w:rsidRPr="00B95E0F">
        <w:rPr>
          <w:rFonts w:ascii="Book Antiqua" w:hAnsi="Book Antiqua"/>
          <w:b/>
          <w:bCs/>
          <w:lang w:val="es-ES"/>
        </w:rPr>
        <w:t>tratamiento</w:t>
      </w:r>
      <w:r w:rsidR="00E774A1" w:rsidRPr="00B95E0F">
        <w:rPr>
          <w:rFonts w:ascii="Book Antiqua" w:hAnsi="Book Antiqua"/>
          <w:lang w:val="es-ES"/>
        </w:rPr>
        <w:t xml:space="preserve">, se ha establecido que la defensa de error de juicio procede únicamente cuando las autoridades médicas reconocidas discrepan sobre cuál debe ser el tratamiento adecuado. Así, </w:t>
      </w:r>
      <w:r w:rsidR="001D7A27" w:rsidRPr="00B95E0F">
        <w:rPr>
          <w:rFonts w:ascii="Book Antiqua" w:hAnsi="Book Antiqua"/>
          <w:lang w:val="es-ES"/>
        </w:rPr>
        <w:t xml:space="preserve">al </w:t>
      </w:r>
      <w:r w:rsidR="00E774A1" w:rsidRPr="00B95E0F">
        <w:rPr>
          <w:rFonts w:ascii="Book Antiqua" w:hAnsi="Book Antiqua"/>
          <w:lang w:val="es-ES"/>
        </w:rPr>
        <w:t>médico se le concede una amplia discreción profesional en el ejercicio de su labor, y no se le puede atribuir responsabilidad por mala práctica cuando enfrenta una situación en la que exista una duda educada y razonable sobre el curso de acción que debe seguirse.</w:t>
      </w:r>
      <w:r w:rsidR="00D355C0" w:rsidRPr="00B95E0F">
        <w:rPr>
          <w:rStyle w:val="FootnoteReference"/>
          <w:rFonts w:ascii="Book Antiqua" w:hAnsi="Book Antiqua"/>
          <w:lang w:val="es-ES"/>
        </w:rPr>
        <w:footnoteReference w:id="14"/>
      </w:r>
    </w:p>
    <w:p w14:paraId="3DE5170A" w14:textId="77777777" w:rsidR="00D13AE6" w:rsidRPr="00B95E0F" w:rsidRDefault="00D13AE6" w:rsidP="00D13AE6">
      <w:pPr>
        <w:tabs>
          <w:tab w:val="left" w:pos="-720"/>
        </w:tabs>
        <w:suppressAutoHyphens/>
        <w:jc w:val="both"/>
        <w:rPr>
          <w:rFonts w:ascii="Book Antiqua" w:hAnsi="Book Antiqua"/>
          <w:lang w:val="es-ES"/>
        </w:rPr>
      </w:pPr>
    </w:p>
    <w:p w14:paraId="2633EC90" w14:textId="02CEE58D" w:rsidR="00D13AE6" w:rsidRPr="00B95E0F" w:rsidRDefault="00D13AE6" w:rsidP="007E502E">
      <w:pPr>
        <w:tabs>
          <w:tab w:val="left" w:pos="-720"/>
        </w:tabs>
        <w:suppressAutoHyphens/>
        <w:jc w:val="center"/>
        <w:rPr>
          <w:rFonts w:ascii="Book Antiqua" w:hAnsi="Book Antiqua"/>
          <w:b/>
          <w:bCs/>
          <w:i/>
          <w:iCs/>
          <w:smallCaps/>
          <w:lang w:val="es-ES"/>
        </w:rPr>
      </w:pPr>
      <w:r w:rsidRPr="00B95E0F">
        <w:rPr>
          <w:rFonts w:ascii="Book Antiqua" w:hAnsi="Book Antiqua"/>
          <w:b/>
          <w:bCs/>
          <w:i/>
          <w:iCs/>
          <w:smallCaps/>
          <w:lang w:val="es-ES"/>
        </w:rPr>
        <w:t>El consentimiento informado</w:t>
      </w:r>
    </w:p>
    <w:p w14:paraId="3D655BDA" w14:textId="77777777" w:rsidR="00D13AE6" w:rsidRPr="00B95E0F" w:rsidRDefault="00D13AE6" w:rsidP="00D13AE6">
      <w:pPr>
        <w:tabs>
          <w:tab w:val="left" w:pos="-720"/>
        </w:tabs>
        <w:suppressAutoHyphens/>
        <w:jc w:val="both"/>
        <w:rPr>
          <w:rFonts w:ascii="Book Antiqua" w:hAnsi="Book Antiqua"/>
          <w:lang w:val="es-ES"/>
        </w:rPr>
      </w:pPr>
    </w:p>
    <w:p w14:paraId="4B01DCE1" w14:textId="22454356" w:rsidR="007E502E" w:rsidRPr="00B95E0F" w:rsidRDefault="007E502E" w:rsidP="007E502E">
      <w:pPr>
        <w:tabs>
          <w:tab w:val="left" w:pos="-720"/>
        </w:tabs>
        <w:suppressAutoHyphens/>
        <w:jc w:val="both"/>
        <w:rPr>
          <w:rFonts w:ascii="Book Antiqua" w:hAnsi="Book Antiqua"/>
          <w:lang w:val="es-ES"/>
        </w:rPr>
      </w:pPr>
      <w:r w:rsidRPr="00B95E0F">
        <w:rPr>
          <w:rFonts w:ascii="Book Antiqua" w:hAnsi="Book Antiqua"/>
          <w:lang w:val="es-ES"/>
        </w:rPr>
        <w:tab/>
        <w:t>El consentimiento de una paciente es un elemento indispensable para efectuar un procedimiento médico-quirúrgico, salvo los casos de excepciones reconocidas como las situaciones de emergencia y de perjuicio al estado sicológico de aprehensión del paciente.</w:t>
      </w:r>
      <w:r w:rsidRPr="00B95E0F">
        <w:rPr>
          <w:rStyle w:val="FootnoteReference"/>
          <w:rFonts w:ascii="Book Antiqua" w:hAnsi="Book Antiqua"/>
          <w:lang w:val="es-ES"/>
        </w:rPr>
        <w:footnoteReference w:id="15"/>
      </w:r>
      <w:r w:rsidRPr="00B95E0F">
        <w:rPr>
          <w:rFonts w:ascii="Book Antiqua" w:hAnsi="Book Antiqua"/>
          <w:lang w:val="es-ES"/>
        </w:rPr>
        <w:t xml:space="preserve"> </w:t>
      </w:r>
      <w:r w:rsidR="00937637" w:rsidRPr="00B95E0F">
        <w:rPr>
          <w:rFonts w:ascii="Book Antiqua" w:hAnsi="Book Antiqua"/>
          <w:lang w:val="es-ES"/>
        </w:rPr>
        <w:t xml:space="preserve">En cuanto a la doctrina del consentimiento informado, el Tribunal Supremo de Puerto Rico, en </w:t>
      </w:r>
      <w:r w:rsidR="00937637" w:rsidRPr="00B95E0F">
        <w:rPr>
          <w:rFonts w:ascii="Book Antiqua" w:hAnsi="Book Antiqua"/>
          <w:i/>
          <w:iCs/>
          <w:lang w:val="es-ES"/>
        </w:rPr>
        <w:t>Rodríguez Crespo v. Hernández</w:t>
      </w:r>
      <w:r w:rsidR="00937637" w:rsidRPr="00B95E0F">
        <w:rPr>
          <w:rFonts w:ascii="Book Antiqua" w:hAnsi="Book Antiqua"/>
          <w:lang w:val="es-ES"/>
        </w:rPr>
        <w:t>, expuso:</w:t>
      </w:r>
    </w:p>
    <w:p w14:paraId="21836DC5" w14:textId="77777777" w:rsidR="007E502E" w:rsidRPr="00B95E0F" w:rsidRDefault="007E502E" w:rsidP="007E502E">
      <w:pPr>
        <w:tabs>
          <w:tab w:val="left" w:pos="-720"/>
        </w:tabs>
        <w:suppressAutoHyphens/>
        <w:jc w:val="both"/>
        <w:rPr>
          <w:rFonts w:ascii="Book Antiqua" w:hAnsi="Book Antiqua"/>
          <w:lang w:val="es-ES"/>
        </w:rPr>
      </w:pPr>
    </w:p>
    <w:p w14:paraId="4A16E3BA" w14:textId="1238542F" w:rsidR="007E502E" w:rsidRPr="00B95E0F" w:rsidRDefault="007E502E" w:rsidP="00734FC2">
      <w:pPr>
        <w:tabs>
          <w:tab w:val="left" w:pos="-720"/>
        </w:tabs>
        <w:suppressAutoHyphens/>
        <w:ind w:left="720" w:right="720"/>
        <w:jc w:val="both"/>
        <w:rPr>
          <w:rFonts w:ascii="Book Antiqua" w:hAnsi="Book Antiqua"/>
          <w:lang w:val="es-ES"/>
        </w:rPr>
      </w:pPr>
      <w:r w:rsidRPr="00B95E0F">
        <w:rPr>
          <w:rFonts w:ascii="Book Antiqua" w:hAnsi="Book Antiqua"/>
          <w:lang w:val="es-ES"/>
        </w:rPr>
        <w:t xml:space="preserve">La doctrina del consentimiento informado impone al médico el deber de informar a su paciente acerca de la naturaleza y riesgos de un tratamiento médico propuesto, de manera que el paciente se encuentre en la posición de hacer una decisión inteligente e informada. </w:t>
      </w:r>
      <w:r w:rsidR="00734FC2" w:rsidRPr="00B95E0F">
        <w:rPr>
          <w:rFonts w:ascii="Book Antiqua" w:hAnsi="Book Antiqua"/>
          <w:lang w:val="es-ES"/>
        </w:rPr>
        <w:t xml:space="preserve">[Citas omitidas]. </w:t>
      </w:r>
    </w:p>
    <w:p w14:paraId="6B2B2325" w14:textId="77777777" w:rsidR="007E502E" w:rsidRPr="00B95E0F" w:rsidRDefault="007E502E" w:rsidP="00734FC2">
      <w:pPr>
        <w:tabs>
          <w:tab w:val="left" w:pos="-720"/>
        </w:tabs>
        <w:suppressAutoHyphens/>
        <w:ind w:left="720" w:right="720"/>
        <w:jc w:val="both"/>
        <w:rPr>
          <w:rFonts w:ascii="Book Antiqua" w:hAnsi="Book Antiqua"/>
          <w:lang w:val="es-ES"/>
        </w:rPr>
      </w:pPr>
    </w:p>
    <w:p w14:paraId="70F034B4" w14:textId="20D7BC5A" w:rsidR="007E502E" w:rsidRPr="00B95E0F" w:rsidRDefault="007E502E" w:rsidP="00734FC2">
      <w:pPr>
        <w:tabs>
          <w:tab w:val="left" w:pos="-720"/>
        </w:tabs>
        <w:suppressAutoHyphens/>
        <w:ind w:left="720" w:right="720"/>
        <w:jc w:val="both"/>
        <w:rPr>
          <w:rFonts w:ascii="Book Antiqua" w:hAnsi="Book Antiqua"/>
          <w:lang w:val="es-ES"/>
        </w:rPr>
      </w:pPr>
      <w:r w:rsidRPr="00B95E0F">
        <w:rPr>
          <w:rFonts w:ascii="Book Antiqua" w:hAnsi="Book Antiqua"/>
          <w:lang w:val="es-ES"/>
        </w:rPr>
        <w:t xml:space="preserve">La doctrina moderna establece que el médico le debe revelar a su paciente toda aquella información que, de acuerdo con su conocimiento y experiencia, necesitaría conocer el paciente por ser pertinente a la </w:t>
      </w:r>
      <w:r w:rsidRPr="00B95E0F">
        <w:rPr>
          <w:rFonts w:ascii="Book Antiqua" w:hAnsi="Book Antiqua"/>
          <w:lang w:val="es-ES"/>
        </w:rPr>
        <w:lastRenderedPageBreak/>
        <w:t xml:space="preserve">decisión que debe tomar en cuanto a consentir o no a someterse al procedimiento médico propuesto. </w:t>
      </w:r>
      <w:r w:rsidR="00734FC2" w:rsidRPr="00B95E0F">
        <w:rPr>
          <w:rFonts w:ascii="Book Antiqua" w:hAnsi="Book Antiqua"/>
          <w:lang w:val="es-ES"/>
        </w:rPr>
        <w:t>[Citas omitidas].</w:t>
      </w:r>
    </w:p>
    <w:p w14:paraId="4A22DDBE" w14:textId="77777777" w:rsidR="007E502E" w:rsidRPr="00B95E0F" w:rsidRDefault="007E502E" w:rsidP="00734FC2">
      <w:pPr>
        <w:tabs>
          <w:tab w:val="left" w:pos="-720"/>
        </w:tabs>
        <w:suppressAutoHyphens/>
        <w:ind w:left="720" w:right="720"/>
        <w:jc w:val="both"/>
        <w:rPr>
          <w:rFonts w:ascii="Book Antiqua" w:hAnsi="Book Antiqua"/>
          <w:lang w:val="es-ES"/>
        </w:rPr>
      </w:pPr>
    </w:p>
    <w:p w14:paraId="36A1A1B5" w14:textId="06900918" w:rsidR="007E502E" w:rsidRPr="00B95E0F" w:rsidRDefault="007E502E" w:rsidP="00734FC2">
      <w:pPr>
        <w:tabs>
          <w:tab w:val="left" w:pos="-720"/>
        </w:tabs>
        <w:suppressAutoHyphens/>
        <w:ind w:left="720" w:right="720"/>
        <w:jc w:val="both"/>
        <w:rPr>
          <w:rFonts w:ascii="Book Antiqua" w:hAnsi="Book Antiqua"/>
          <w:lang w:val="es-ES"/>
        </w:rPr>
      </w:pPr>
      <w:r w:rsidRPr="00B95E0F">
        <w:rPr>
          <w:rFonts w:ascii="Book Antiqua" w:hAnsi="Book Antiqua"/>
          <w:lang w:val="es-ES"/>
        </w:rPr>
        <w:t>El médico tiene la obligació</w:t>
      </w:r>
      <w:r w:rsidR="00734FC2" w:rsidRPr="00B95E0F">
        <w:rPr>
          <w:rFonts w:ascii="Book Antiqua" w:hAnsi="Book Antiqua"/>
          <w:lang w:val="es-ES"/>
        </w:rPr>
        <w:t>n</w:t>
      </w:r>
      <w:r w:rsidRPr="00B95E0F">
        <w:rPr>
          <w:rFonts w:ascii="Book Antiqua" w:hAnsi="Book Antiqua"/>
          <w:lang w:val="es-ES"/>
        </w:rPr>
        <w:t xml:space="preserve"> de divulgarle al paciente los riesgos razonablemente previsibles, así como los beneficios de tratamientos y procedimientos invasivos del cuerpo humano y de las alternativas disponibles. También debe informar al paciente sobre los riesgos probables relacionados a no tratarse la condición.</w:t>
      </w:r>
    </w:p>
    <w:p w14:paraId="71C574DE" w14:textId="77777777" w:rsidR="007E502E" w:rsidRPr="00B95E0F" w:rsidRDefault="007E502E" w:rsidP="00734FC2">
      <w:pPr>
        <w:tabs>
          <w:tab w:val="left" w:pos="-720"/>
        </w:tabs>
        <w:suppressAutoHyphens/>
        <w:ind w:left="720" w:right="720"/>
        <w:jc w:val="both"/>
        <w:rPr>
          <w:rFonts w:ascii="Book Antiqua" w:hAnsi="Book Antiqua"/>
          <w:lang w:val="es-ES"/>
        </w:rPr>
      </w:pPr>
    </w:p>
    <w:p w14:paraId="3F2159DE" w14:textId="7B9739B2" w:rsidR="007E502E" w:rsidRPr="00B95E0F" w:rsidRDefault="007E502E" w:rsidP="00734FC2">
      <w:pPr>
        <w:tabs>
          <w:tab w:val="left" w:pos="-720"/>
        </w:tabs>
        <w:suppressAutoHyphens/>
        <w:ind w:left="720" w:right="720"/>
        <w:jc w:val="both"/>
        <w:rPr>
          <w:rFonts w:ascii="Book Antiqua" w:hAnsi="Book Antiqua"/>
          <w:lang w:val="es-ES"/>
        </w:rPr>
      </w:pPr>
      <w:r w:rsidRPr="00B95E0F">
        <w:rPr>
          <w:rFonts w:ascii="Book Antiqua" w:hAnsi="Book Antiqua"/>
          <w:lang w:val="es-ES"/>
        </w:rPr>
        <w:t xml:space="preserve">Sin embargo, el médico no es responsable por no divulgar riesgos que razonablemente no pueda </w:t>
      </w:r>
      <w:r w:rsidR="00FE1E05" w:rsidRPr="00B95E0F">
        <w:rPr>
          <w:rFonts w:ascii="Book Antiqua" w:hAnsi="Book Antiqua"/>
          <w:lang w:val="es-ES"/>
        </w:rPr>
        <w:t>[prever]</w:t>
      </w:r>
      <w:r w:rsidRPr="00B95E0F">
        <w:rPr>
          <w:rFonts w:ascii="Book Antiqua" w:hAnsi="Book Antiqua"/>
          <w:lang w:val="es-ES"/>
        </w:rPr>
        <w:t xml:space="preserve"> o por no informar de alguna secuela inesperada que surja durante la cirugía. </w:t>
      </w:r>
      <w:r w:rsidR="00FE1E05" w:rsidRPr="00B95E0F">
        <w:rPr>
          <w:rFonts w:ascii="Book Antiqua" w:hAnsi="Book Antiqua"/>
          <w:lang w:val="es-ES"/>
        </w:rPr>
        <w:t>[Citas omitidas]</w:t>
      </w:r>
      <w:r w:rsidRPr="00B95E0F">
        <w:rPr>
          <w:rFonts w:ascii="Book Antiqua" w:hAnsi="Book Antiqua"/>
          <w:lang w:val="es-ES"/>
        </w:rPr>
        <w:t xml:space="preserve">. En general, el médico debe divulgar aquella información que él razonablemente crea o deba saber que genere un riesgo. Ello no significa que deba comunicar aquellos riesgos de los cuales un paciente promedio estaría advertido o sobre aquellos que el paciente particular haya descubierto por haber sido sometido a un tratamiento similar en el pasado. </w:t>
      </w:r>
      <w:r w:rsidR="00FE1E05" w:rsidRPr="00B95E0F">
        <w:rPr>
          <w:rFonts w:ascii="Book Antiqua" w:hAnsi="Book Antiqua"/>
          <w:lang w:val="es-ES"/>
        </w:rPr>
        <w:t>[Citas omitidas].</w:t>
      </w:r>
    </w:p>
    <w:p w14:paraId="7D815ECE" w14:textId="77777777" w:rsidR="007E502E" w:rsidRPr="00B95E0F" w:rsidRDefault="007E502E" w:rsidP="00734FC2">
      <w:pPr>
        <w:tabs>
          <w:tab w:val="left" w:pos="-720"/>
        </w:tabs>
        <w:suppressAutoHyphens/>
        <w:ind w:left="720" w:right="720"/>
        <w:jc w:val="both"/>
        <w:rPr>
          <w:rFonts w:ascii="Book Antiqua" w:hAnsi="Book Antiqua"/>
          <w:lang w:val="es-ES"/>
        </w:rPr>
      </w:pPr>
    </w:p>
    <w:p w14:paraId="671EF7C6" w14:textId="634103AF" w:rsidR="007E502E" w:rsidRPr="00B95E0F" w:rsidRDefault="007E502E" w:rsidP="00734FC2">
      <w:pPr>
        <w:tabs>
          <w:tab w:val="left" w:pos="-720"/>
        </w:tabs>
        <w:suppressAutoHyphens/>
        <w:ind w:left="720" w:right="720"/>
        <w:jc w:val="both"/>
        <w:rPr>
          <w:rFonts w:ascii="Book Antiqua" w:hAnsi="Book Antiqua"/>
          <w:lang w:val="es-ES"/>
        </w:rPr>
      </w:pPr>
      <w:r w:rsidRPr="00B95E0F">
        <w:rPr>
          <w:rFonts w:ascii="Book Antiqua" w:hAnsi="Book Antiqua"/>
          <w:lang w:val="es-ES"/>
        </w:rPr>
        <w:t xml:space="preserve">Como sostuviéramos en </w:t>
      </w:r>
      <w:r w:rsidRPr="00B95E0F">
        <w:rPr>
          <w:rFonts w:ascii="Book Antiqua" w:hAnsi="Book Antiqua"/>
          <w:i/>
          <w:iCs/>
          <w:lang w:val="es-ES"/>
        </w:rPr>
        <w:t>Ríos Ruiz v. Mark</w:t>
      </w:r>
      <w:r w:rsidRPr="00B95E0F">
        <w:rPr>
          <w:rFonts w:ascii="Book Antiqua" w:hAnsi="Book Antiqua"/>
          <w:lang w:val="es-ES"/>
        </w:rPr>
        <w:t xml:space="preserve">, </w:t>
      </w:r>
      <w:proofErr w:type="gramStart"/>
      <w:r w:rsidR="00FE1E05" w:rsidRPr="00B95E0F">
        <w:rPr>
          <w:rFonts w:ascii="Book Antiqua" w:hAnsi="Book Antiqua"/>
          <w:lang w:val="es-ES"/>
        </w:rPr>
        <w:t xml:space="preserve">… </w:t>
      </w:r>
      <w:r w:rsidRPr="00B95E0F">
        <w:rPr>
          <w:rFonts w:ascii="Book Antiqua" w:hAnsi="Book Antiqua"/>
          <w:lang w:val="es-ES"/>
        </w:rPr>
        <w:t>,</w:t>
      </w:r>
      <w:proofErr w:type="gramEnd"/>
      <w:r w:rsidRPr="00B95E0F">
        <w:rPr>
          <w:rFonts w:ascii="Book Antiqua" w:hAnsi="Book Antiqua"/>
          <w:lang w:val="es-ES"/>
        </w:rPr>
        <w:t xml:space="preserve"> los médicos tienen el deber de suministrar al paciente suficiente información sobre la naturaleza del tratamiento, los riesgos involucrados y los beneficios que se esperan. Aunque hay diversidad de criterios sobre el alcance y el contenido del deber de divulgación, hay consenso sobre el hecho de que no hay que divulgar riesgos remotos que hayan ocurrido en pocas ocasiones y que no es probable que le ocurran a ese paciente en particular.</w:t>
      </w:r>
      <w:r w:rsidR="00D5168B" w:rsidRPr="00B95E0F">
        <w:rPr>
          <w:rStyle w:val="FootnoteReference"/>
          <w:rFonts w:ascii="Book Antiqua" w:hAnsi="Book Antiqua"/>
          <w:lang w:val="es-ES"/>
        </w:rPr>
        <w:footnoteReference w:id="16"/>
      </w:r>
    </w:p>
    <w:p w14:paraId="41105620" w14:textId="3ACC8F92" w:rsidR="00872313" w:rsidRPr="00B95E0F" w:rsidRDefault="00872313" w:rsidP="00D5168B">
      <w:pPr>
        <w:tabs>
          <w:tab w:val="left" w:pos="-720"/>
        </w:tabs>
        <w:suppressAutoHyphens/>
        <w:jc w:val="both"/>
        <w:rPr>
          <w:rFonts w:ascii="Book Antiqua" w:hAnsi="Book Antiqua"/>
          <w:lang w:val="es-ES"/>
        </w:rPr>
      </w:pPr>
    </w:p>
    <w:p w14:paraId="27536C60" w14:textId="44E64C9A" w:rsidR="0028699B" w:rsidRPr="00383863" w:rsidRDefault="00B95E0F" w:rsidP="00383863">
      <w:pPr>
        <w:tabs>
          <w:tab w:val="left" w:pos="-720"/>
        </w:tabs>
        <w:suppressAutoHyphens/>
        <w:jc w:val="center"/>
        <w:rPr>
          <w:rFonts w:ascii="Book Antiqua" w:hAnsi="Book Antiqua"/>
          <w:b/>
          <w:bCs/>
          <w:i/>
          <w:iCs/>
          <w:smallCaps/>
          <w:lang w:val="es-ES"/>
        </w:rPr>
      </w:pPr>
      <w:r w:rsidRPr="00383863">
        <w:rPr>
          <w:rFonts w:ascii="Book Antiqua" w:hAnsi="Book Antiqua"/>
          <w:b/>
          <w:bCs/>
          <w:i/>
          <w:iCs/>
          <w:smallCaps/>
          <w:lang w:val="es-ES"/>
        </w:rPr>
        <w:t>Impericia médica en la obstetricia</w:t>
      </w:r>
    </w:p>
    <w:p w14:paraId="435EC7B6" w14:textId="77777777" w:rsidR="00B95E0F" w:rsidRDefault="00B95E0F" w:rsidP="00D5168B">
      <w:pPr>
        <w:tabs>
          <w:tab w:val="left" w:pos="-720"/>
        </w:tabs>
        <w:suppressAutoHyphens/>
        <w:jc w:val="both"/>
        <w:rPr>
          <w:rFonts w:ascii="Book Antiqua" w:hAnsi="Book Antiqua"/>
          <w:lang w:val="es-ES"/>
        </w:rPr>
      </w:pPr>
    </w:p>
    <w:p w14:paraId="3B49CE2C" w14:textId="73B40F83" w:rsidR="00B95E0F" w:rsidRDefault="00383863" w:rsidP="00D5168B">
      <w:pPr>
        <w:tabs>
          <w:tab w:val="left" w:pos="-720"/>
        </w:tabs>
        <w:suppressAutoHyphens/>
        <w:jc w:val="both"/>
        <w:rPr>
          <w:rFonts w:ascii="Book Antiqua" w:hAnsi="Book Antiqua"/>
          <w:lang w:val="es-ES"/>
        </w:rPr>
      </w:pPr>
      <w:r>
        <w:rPr>
          <w:rFonts w:ascii="Book Antiqua" w:hAnsi="Book Antiqua"/>
          <w:lang w:val="es-ES"/>
        </w:rPr>
        <w:tab/>
        <w:t xml:space="preserve">La categorización de la “violencia obstétrica” fue rechazada por el Tribunal Supremo de Puerto Rico </w:t>
      </w:r>
      <w:r w:rsidR="001E49F4">
        <w:rPr>
          <w:rFonts w:ascii="Book Antiqua" w:hAnsi="Book Antiqua"/>
          <w:lang w:val="es-ES"/>
        </w:rPr>
        <w:t xml:space="preserve">como una causa de acción </w:t>
      </w:r>
      <w:r w:rsidR="00116E5E">
        <w:rPr>
          <w:rFonts w:ascii="Book Antiqua" w:hAnsi="Book Antiqua"/>
          <w:lang w:val="es-ES"/>
        </w:rPr>
        <w:t xml:space="preserve">distinta y </w:t>
      </w:r>
      <w:r w:rsidR="001E49F4">
        <w:rPr>
          <w:rFonts w:ascii="Book Antiqua" w:hAnsi="Book Antiqua"/>
          <w:lang w:val="es-ES"/>
        </w:rPr>
        <w:t>separada a la responsabilidad propia que surge de las obligaciones extracontractuales cuando</w:t>
      </w:r>
      <w:r w:rsidR="00116E5E">
        <w:rPr>
          <w:rFonts w:ascii="Book Antiqua" w:hAnsi="Book Antiqua"/>
          <w:lang w:val="es-ES"/>
        </w:rPr>
        <w:t>, mediando culpa o negligencia,</w:t>
      </w:r>
      <w:r w:rsidR="001E49F4">
        <w:rPr>
          <w:rFonts w:ascii="Book Antiqua" w:hAnsi="Book Antiqua"/>
          <w:lang w:val="es-ES"/>
        </w:rPr>
        <w:t xml:space="preserve"> se causa un daño.</w:t>
      </w:r>
      <w:r w:rsidR="00ED26C7">
        <w:rPr>
          <w:rFonts w:ascii="Book Antiqua" w:hAnsi="Book Antiqua"/>
          <w:lang w:val="es-ES"/>
        </w:rPr>
        <w:t xml:space="preserve"> El Tribunal</w:t>
      </w:r>
      <w:r w:rsidR="0098758B">
        <w:rPr>
          <w:rFonts w:ascii="Book Antiqua" w:hAnsi="Book Antiqua"/>
          <w:lang w:val="es-ES"/>
        </w:rPr>
        <w:t xml:space="preserve">, en </w:t>
      </w:r>
      <w:r w:rsidR="007A715A" w:rsidRPr="00415CBE">
        <w:rPr>
          <w:rFonts w:ascii="Book Antiqua" w:hAnsi="Book Antiqua"/>
          <w:i/>
          <w:iCs/>
          <w:lang w:val="es-ES"/>
        </w:rPr>
        <w:t>Cruz Flores v. Hospital Ryder</w:t>
      </w:r>
      <w:r w:rsidR="007A715A">
        <w:rPr>
          <w:rFonts w:ascii="Book Antiqua" w:hAnsi="Book Antiqua"/>
          <w:lang w:val="es-ES"/>
        </w:rPr>
        <w:t>,</w:t>
      </w:r>
      <w:r w:rsidR="00415CBE">
        <w:rPr>
          <w:rStyle w:val="FootnoteReference"/>
          <w:rFonts w:ascii="Book Antiqua" w:hAnsi="Book Antiqua"/>
          <w:lang w:val="es-ES"/>
        </w:rPr>
        <w:footnoteReference w:id="17"/>
      </w:r>
      <w:r w:rsidR="007A715A">
        <w:rPr>
          <w:rFonts w:ascii="Book Antiqua" w:hAnsi="Book Antiqua"/>
          <w:lang w:val="es-ES"/>
        </w:rPr>
        <w:t xml:space="preserve"> se enfrentó a una reclamación contra un médico </w:t>
      </w:r>
      <w:r w:rsidR="004E308D">
        <w:rPr>
          <w:rFonts w:ascii="Book Antiqua" w:hAnsi="Book Antiqua"/>
          <w:lang w:val="es-ES"/>
        </w:rPr>
        <w:t>obstetra</w:t>
      </w:r>
      <w:r w:rsidR="007A715A">
        <w:rPr>
          <w:rFonts w:ascii="Book Antiqua" w:hAnsi="Book Antiqua"/>
          <w:lang w:val="es-ES"/>
        </w:rPr>
        <w:t xml:space="preserve"> </w:t>
      </w:r>
      <w:r w:rsidR="0071082D">
        <w:rPr>
          <w:rFonts w:ascii="Book Antiqua" w:hAnsi="Book Antiqua"/>
          <w:lang w:val="es-ES"/>
        </w:rPr>
        <w:t>que</w:t>
      </w:r>
      <w:r w:rsidR="00BA78C9">
        <w:rPr>
          <w:rFonts w:ascii="Book Antiqua" w:hAnsi="Book Antiqua"/>
          <w:lang w:val="es-ES"/>
        </w:rPr>
        <w:t>: (1)</w:t>
      </w:r>
      <w:r w:rsidR="0071082D">
        <w:rPr>
          <w:rFonts w:ascii="Book Antiqua" w:hAnsi="Book Antiqua"/>
          <w:lang w:val="es-ES"/>
        </w:rPr>
        <w:t xml:space="preserve"> dio la instrucción de inducir el parto de la </w:t>
      </w:r>
      <w:r w:rsidR="00A97014">
        <w:rPr>
          <w:rFonts w:ascii="Book Antiqua" w:hAnsi="Book Antiqua"/>
          <w:lang w:val="es-ES"/>
        </w:rPr>
        <w:t>paciente</w:t>
      </w:r>
      <w:r w:rsidR="0071082D">
        <w:rPr>
          <w:rFonts w:ascii="Book Antiqua" w:hAnsi="Book Antiqua"/>
          <w:lang w:val="es-ES"/>
        </w:rPr>
        <w:t xml:space="preserve"> sin razón médica alguna,</w:t>
      </w:r>
      <w:r w:rsidR="00332D2E">
        <w:rPr>
          <w:rFonts w:ascii="Book Antiqua" w:hAnsi="Book Antiqua"/>
          <w:lang w:val="es-ES"/>
        </w:rPr>
        <w:t xml:space="preserve"> rompiendo artificialmente la membrana amniótica,</w:t>
      </w:r>
      <w:r w:rsidR="0071082D">
        <w:rPr>
          <w:rFonts w:ascii="Book Antiqua" w:hAnsi="Book Antiqua"/>
          <w:lang w:val="es-ES"/>
        </w:rPr>
        <w:t xml:space="preserve"> </w:t>
      </w:r>
      <w:r w:rsidR="00BA78C9">
        <w:rPr>
          <w:rFonts w:ascii="Book Antiqua" w:hAnsi="Book Antiqua"/>
          <w:lang w:val="es-ES"/>
        </w:rPr>
        <w:t xml:space="preserve">(2) </w:t>
      </w:r>
      <w:r w:rsidR="00A97014">
        <w:rPr>
          <w:rFonts w:ascii="Book Antiqua" w:hAnsi="Book Antiqua"/>
          <w:lang w:val="es-ES"/>
        </w:rPr>
        <w:t>no otorgó ni recibió</w:t>
      </w:r>
      <w:r w:rsidR="00BA78C9">
        <w:rPr>
          <w:rFonts w:ascii="Book Antiqua" w:hAnsi="Book Antiqua"/>
          <w:lang w:val="es-ES"/>
        </w:rPr>
        <w:t xml:space="preserve"> el consentimiento informado de la </w:t>
      </w:r>
      <w:r w:rsidR="00413C0F">
        <w:rPr>
          <w:rFonts w:ascii="Book Antiqua" w:hAnsi="Book Antiqua"/>
          <w:lang w:val="es-ES"/>
        </w:rPr>
        <w:t>paciente</w:t>
      </w:r>
      <w:r w:rsidR="00497AEA">
        <w:rPr>
          <w:rFonts w:ascii="Book Antiqua" w:hAnsi="Book Antiqua"/>
          <w:lang w:val="es-ES"/>
        </w:rPr>
        <w:t xml:space="preserve">, y (3) ordenó la administración de una dosis equivocada de un medicamento </w:t>
      </w:r>
      <w:r w:rsidR="006310F3">
        <w:rPr>
          <w:rFonts w:ascii="Book Antiqua" w:hAnsi="Book Antiqua"/>
          <w:lang w:val="es-ES"/>
        </w:rPr>
        <w:t>usado para ablandar y dilatar el cuello uterino en casos de inducción de parto (Misoprostol).</w:t>
      </w:r>
      <w:r w:rsidR="00413C0F">
        <w:rPr>
          <w:rStyle w:val="FootnoteReference"/>
          <w:rFonts w:ascii="Book Antiqua" w:hAnsi="Book Antiqua"/>
          <w:lang w:val="es-ES"/>
        </w:rPr>
        <w:footnoteReference w:id="18"/>
      </w:r>
      <w:r w:rsidR="006310F3">
        <w:rPr>
          <w:rFonts w:ascii="Book Antiqua" w:hAnsi="Book Antiqua"/>
          <w:lang w:val="es-ES"/>
        </w:rPr>
        <w:t xml:space="preserve"> </w:t>
      </w:r>
      <w:r w:rsidR="00F832A0">
        <w:rPr>
          <w:rFonts w:ascii="Book Antiqua" w:hAnsi="Book Antiqua"/>
          <w:lang w:val="es-ES"/>
        </w:rPr>
        <w:t>Como consecuencia de lo anterior, la bebé</w:t>
      </w:r>
      <w:r w:rsidR="00466579">
        <w:rPr>
          <w:rFonts w:ascii="Book Antiqua" w:hAnsi="Book Antiqua"/>
          <w:lang w:val="es-ES"/>
        </w:rPr>
        <w:t xml:space="preserve">, de nombre April, </w:t>
      </w:r>
      <w:r w:rsidR="00F832A0">
        <w:rPr>
          <w:rFonts w:ascii="Book Antiqua" w:hAnsi="Book Antiqua"/>
          <w:lang w:val="es-ES"/>
        </w:rPr>
        <w:lastRenderedPageBreak/>
        <w:t xml:space="preserve">murió 12 días luego del </w:t>
      </w:r>
      <w:r w:rsidR="00466579">
        <w:rPr>
          <w:rFonts w:ascii="Book Antiqua" w:hAnsi="Book Antiqua"/>
          <w:lang w:val="es-ES"/>
        </w:rPr>
        <w:t>alumbramiento</w:t>
      </w:r>
      <w:r w:rsidR="00F832A0">
        <w:rPr>
          <w:rFonts w:ascii="Book Antiqua" w:hAnsi="Book Antiqua"/>
          <w:lang w:val="es-ES"/>
        </w:rPr>
        <w:t xml:space="preserve">. El Tribunal le imputó al médico obstetra un 70% de responsabilidad y al hospital un 30%. </w:t>
      </w:r>
      <w:r w:rsidR="004C7073">
        <w:rPr>
          <w:rFonts w:ascii="Book Antiqua" w:hAnsi="Book Antiqua"/>
          <w:lang w:val="es-ES"/>
        </w:rPr>
        <w:t>La Alta Curia subray</w:t>
      </w:r>
      <w:r w:rsidR="004E63CC">
        <w:rPr>
          <w:rFonts w:ascii="Book Antiqua" w:hAnsi="Book Antiqua"/>
          <w:lang w:val="es-ES"/>
        </w:rPr>
        <w:t>ó</w:t>
      </w:r>
      <w:r w:rsidR="004C7073">
        <w:rPr>
          <w:rFonts w:ascii="Book Antiqua" w:hAnsi="Book Antiqua"/>
          <w:lang w:val="es-ES"/>
        </w:rPr>
        <w:t xml:space="preserve"> que el punto de referencia que deben usar los médicos </w:t>
      </w:r>
      <w:r w:rsidR="004E63CC">
        <w:rPr>
          <w:rFonts w:ascii="Book Antiqua" w:hAnsi="Book Antiqua"/>
          <w:lang w:val="es-ES"/>
        </w:rPr>
        <w:t xml:space="preserve">obstetras </w:t>
      </w:r>
      <w:r w:rsidR="004C7073">
        <w:rPr>
          <w:rFonts w:ascii="Book Antiqua" w:hAnsi="Book Antiqua"/>
          <w:lang w:val="es-ES"/>
        </w:rPr>
        <w:t xml:space="preserve">al momento de casos como este es la literatura médica, particularmente las guías </w:t>
      </w:r>
      <w:r w:rsidR="00243AC7">
        <w:rPr>
          <w:rFonts w:ascii="Book Antiqua" w:hAnsi="Book Antiqua"/>
          <w:lang w:val="es-ES"/>
        </w:rPr>
        <w:t>o protocolos del Colegio Americano de Obs</w:t>
      </w:r>
      <w:r w:rsidR="00475C13">
        <w:rPr>
          <w:rFonts w:ascii="Book Antiqua" w:hAnsi="Book Antiqua"/>
          <w:lang w:val="es-ES"/>
        </w:rPr>
        <w:t>tetricia y Ginecología</w:t>
      </w:r>
      <w:r w:rsidR="00F01B12">
        <w:rPr>
          <w:rFonts w:ascii="Book Antiqua" w:hAnsi="Book Antiqua"/>
          <w:lang w:val="es-ES"/>
        </w:rPr>
        <w:t xml:space="preserve">, esto en virtud de la norma mínima de cuidado </w:t>
      </w:r>
      <w:r w:rsidR="0079353F">
        <w:rPr>
          <w:rFonts w:ascii="Book Antiqua" w:hAnsi="Book Antiqua"/>
          <w:lang w:val="es-ES"/>
        </w:rPr>
        <w:t>médico</w:t>
      </w:r>
      <w:r w:rsidR="00F01B12">
        <w:rPr>
          <w:rFonts w:ascii="Book Antiqua" w:hAnsi="Book Antiqua"/>
          <w:lang w:val="es-ES"/>
        </w:rPr>
        <w:t xml:space="preserve"> </w:t>
      </w:r>
      <w:r w:rsidR="0079353F">
        <w:rPr>
          <w:rFonts w:ascii="Book Antiqua" w:hAnsi="Book Antiqua"/>
          <w:lang w:val="es-ES"/>
        </w:rPr>
        <w:t>exigible</w:t>
      </w:r>
      <w:r w:rsidR="00F01B12">
        <w:rPr>
          <w:rFonts w:ascii="Book Antiqua" w:hAnsi="Book Antiqua"/>
          <w:lang w:val="es-ES"/>
        </w:rPr>
        <w:t xml:space="preserve"> a la luz de los modernos </w:t>
      </w:r>
      <w:r w:rsidR="00333A7B">
        <w:rPr>
          <w:rFonts w:ascii="Book Antiqua" w:hAnsi="Book Antiqua"/>
          <w:lang w:val="es-ES"/>
        </w:rPr>
        <w:t xml:space="preserve">medios de comunicación y </w:t>
      </w:r>
      <w:r w:rsidR="0079353F">
        <w:rPr>
          <w:rFonts w:ascii="Book Antiqua" w:hAnsi="Book Antiqua"/>
          <w:lang w:val="es-ES"/>
        </w:rPr>
        <w:t>enseñanza</w:t>
      </w:r>
      <w:r w:rsidR="00333A7B">
        <w:rPr>
          <w:rFonts w:ascii="Book Antiqua" w:hAnsi="Book Antiqua"/>
          <w:lang w:val="es-ES"/>
        </w:rPr>
        <w:t xml:space="preserve"> y conforme al estado de conocimiento de la ciencia y la práctica prevaleciente de la medicina, que </w:t>
      </w:r>
      <w:r w:rsidR="00D15BDC">
        <w:rPr>
          <w:rFonts w:ascii="Book Antiqua" w:hAnsi="Book Antiqua"/>
          <w:lang w:val="es-ES"/>
        </w:rPr>
        <w:t>satisfacen las exigencias generalmente reconocidas por la profesión.</w:t>
      </w:r>
      <w:r w:rsidR="00D15BDC">
        <w:rPr>
          <w:rStyle w:val="FootnoteReference"/>
          <w:rFonts w:ascii="Book Antiqua" w:hAnsi="Book Antiqua"/>
          <w:lang w:val="es-ES"/>
        </w:rPr>
        <w:footnoteReference w:id="19"/>
      </w:r>
    </w:p>
    <w:p w14:paraId="01211006" w14:textId="1628D8F4" w:rsidR="00F56569" w:rsidRDefault="00725009" w:rsidP="00D5168B">
      <w:pPr>
        <w:tabs>
          <w:tab w:val="left" w:pos="-720"/>
        </w:tabs>
        <w:suppressAutoHyphens/>
        <w:jc w:val="both"/>
        <w:rPr>
          <w:rFonts w:ascii="Book Antiqua" w:hAnsi="Book Antiqua"/>
          <w:lang w:val="es-ES"/>
        </w:rPr>
      </w:pPr>
      <w:r>
        <w:rPr>
          <w:rFonts w:ascii="Book Antiqua" w:hAnsi="Book Antiqua"/>
          <w:lang w:val="es-ES"/>
        </w:rPr>
        <w:tab/>
      </w:r>
      <w:r w:rsidR="002B5DA1">
        <w:rPr>
          <w:rFonts w:ascii="Book Antiqua" w:hAnsi="Book Antiqua"/>
          <w:lang w:val="es-ES"/>
        </w:rPr>
        <w:t>En el contexto hospitalario, el Tribu</w:t>
      </w:r>
      <w:r w:rsidR="00A2373E">
        <w:rPr>
          <w:rFonts w:ascii="Book Antiqua" w:hAnsi="Book Antiqua"/>
          <w:lang w:val="es-ES"/>
        </w:rPr>
        <w:t xml:space="preserve">nal enfatizó </w:t>
      </w:r>
      <w:r w:rsidR="00405DB3">
        <w:rPr>
          <w:rFonts w:ascii="Book Antiqua" w:hAnsi="Book Antiqua"/>
          <w:lang w:val="es-ES"/>
        </w:rPr>
        <w:t>que,</w:t>
      </w:r>
      <w:r w:rsidR="00A2373E">
        <w:rPr>
          <w:rFonts w:ascii="Book Antiqua" w:hAnsi="Book Antiqua"/>
          <w:lang w:val="es-ES"/>
        </w:rPr>
        <w:t xml:space="preserve"> de acuerdo con la teoría de responsabilidad corporativa, en los caso</w:t>
      </w:r>
      <w:r w:rsidR="00E93BE9">
        <w:rPr>
          <w:rFonts w:ascii="Book Antiqua" w:hAnsi="Book Antiqua"/>
          <w:lang w:val="es-ES"/>
        </w:rPr>
        <w:t>s</w:t>
      </w:r>
      <w:r w:rsidR="00186109">
        <w:rPr>
          <w:rFonts w:ascii="Book Antiqua" w:hAnsi="Book Antiqua"/>
          <w:lang w:val="es-ES"/>
        </w:rPr>
        <w:t xml:space="preserve"> que un médico goce de privilegios en una institución hospitalaria, el hospital e</w:t>
      </w:r>
      <w:r w:rsidR="00405DB3">
        <w:rPr>
          <w:rFonts w:ascii="Book Antiqua" w:hAnsi="Book Antiqua"/>
          <w:lang w:val="es-ES"/>
        </w:rPr>
        <w:t>s</w:t>
      </w:r>
      <w:r w:rsidR="00186109">
        <w:rPr>
          <w:rFonts w:ascii="Book Antiqua" w:hAnsi="Book Antiqua"/>
          <w:lang w:val="es-ES"/>
        </w:rPr>
        <w:t xml:space="preserve"> responsable </w:t>
      </w:r>
      <w:r w:rsidR="00405DB3">
        <w:rPr>
          <w:rFonts w:ascii="Book Antiqua" w:hAnsi="Book Antiqua"/>
          <w:lang w:val="es-ES"/>
        </w:rPr>
        <w:t>si</w:t>
      </w:r>
      <w:r w:rsidR="00186109">
        <w:rPr>
          <w:rFonts w:ascii="Book Antiqua" w:hAnsi="Book Antiqua"/>
          <w:lang w:val="es-ES"/>
        </w:rPr>
        <w:t xml:space="preserve"> incumple con el estándar adecuado de atención que se le debe dar a un paciente, en garantizar </w:t>
      </w:r>
      <w:r w:rsidR="00D70419">
        <w:rPr>
          <w:rFonts w:ascii="Book Antiqua" w:hAnsi="Book Antiqua"/>
          <w:lang w:val="es-ES"/>
        </w:rPr>
        <w:t>su seguridad y bienestar mientras está en el hospital.</w:t>
      </w:r>
      <w:r w:rsidR="00D70419">
        <w:rPr>
          <w:rStyle w:val="FootnoteReference"/>
          <w:rFonts w:ascii="Book Antiqua" w:hAnsi="Book Antiqua"/>
          <w:lang w:val="es-ES"/>
        </w:rPr>
        <w:footnoteReference w:id="20"/>
      </w:r>
      <w:r w:rsidR="00405DB3">
        <w:rPr>
          <w:rFonts w:ascii="Book Antiqua" w:hAnsi="Book Antiqua"/>
          <w:lang w:val="es-ES"/>
        </w:rPr>
        <w:t xml:space="preserve"> En ese sentido, el Tribunal le adjudicó responsabilidad civil al </w:t>
      </w:r>
      <w:r w:rsidR="0052036F">
        <w:rPr>
          <w:rFonts w:ascii="Book Antiqua" w:hAnsi="Book Antiqua"/>
          <w:lang w:val="es-ES"/>
        </w:rPr>
        <w:t>Hospital</w:t>
      </w:r>
      <w:r w:rsidR="00405DB3">
        <w:rPr>
          <w:rFonts w:ascii="Book Antiqua" w:hAnsi="Book Antiqua"/>
          <w:lang w:val="es-ES"/>
        </w:rPr>
        <w:t xml:space="preserve"> Ryder por</w:t>
      </w:r>
      <w:r w:rsidR="0000463A">
        <w:rPr>
          <w:rFonts w:ascii="Book Antiqua" w:hAnsi="Book Antiqua"/>
          <w:lang w:val="es-ES"/>
        </w:rPr>
        <w:t>: (1) no revisar los documentos médicos de la paciente para constatar su consentimiento informado para la inducción del parto</w:t>
      </w:r>
      <w:r w:rsidR="001D55F8">
        <w:rPr>
          <w:rFonts w:ascii="Book Antiqua" w:hAnsi="Book Antiqua"/>
          <w:lang w:val="es-ES"/>
        </w:rPr>
        <w:t>,</w:t>
      </w:r>
      <w:r w:rsidR="0000463A">
        <w:rPr>
          <w:rFonts w:ascii="Book Antiqua" w:hAnsi="Book Antiqua"/>
          <w:lang w:val="es-ES"/>
        </w:rPr>
        <w:t xml:space="preserve"> según requerido en la literatura médica como una buena práctica de la medicina</w:t>
      </w:r>
      <w:r w:rsidR="0052036F">
        <w:rPr>
          <w:rFonts w:ascii="Book Antiqua" w:hAnsi="Book Antiqua"/>
          <w:lang w:val="es-ES"/>
        </w:rPr>
        <w:t>, (2) no revisar el expediente médico para constatar el consentimiento informado para el uso del medicamento Misoprostol, y (3) no poseer protocolos para el manejo de este tipo de procedimientos y medicamentos.</w:t>
      </w:r>
      <w:r w:rsidR="0052036F">
        <w:rPr>
          <w:rStyle w:val="FootnoteReference"/>
          <w:rFonts w:ascii="Book Antiqua" w:hAnsi="Book Antiqua"/>
          <w:lang w:val="es-ES"/>
        </w:rPr>
        <w:footnoteReference w:id="21"/>
      </w:r>
    </w:p>
    <w:p w14:paraId="6F06F507" w14:textId="023E7B1A" w:rsidR="009D6A89" w:rsidRPr="00B95E0F" w:rsidRDefault="00F56569" w:rsidP="00D5168B">
      <w:pPr>
        <w:tabs>
          <w:tab w:val="left" w:pos="-720"/>
        </w:tabs>
        <w:suppressAutoHyphens/>
        <w:jc w:val="both"/>
        <w:rPr>
          <w:rFonts w:ascii="Book Antiqua" w:hAnsi="Book Antiqua"/>
          <w:lang w:val="es-ES"/>
        </w:rPr>
      </w:pPr>
      <w:r>
        <w:rPr>
          <w:rFonts w:ascii="Book Antiqua" w:hAnsi="Book Antiqua"/>
          <w:lang w:val="es-ES"/>
        </w:rPr>
        <w:tab/>
      </w:r>
      <w:r w:rsidR="001D1C23">
        <w:rPr>
          <w:rFonts w:ascii="Book Antiqua" w:hAnsi="Book Antiqua"/>
          <w:lang w:val="es-ES"/>
        </w:rPr>
        <w:t>Por tanto, el</w:t>
      </w:r>
      <w:r w:rsidR="009D6A89">
        <w:rPr>
          <w:rFonts w:ascii="Book Antiqua" w:hAnsi="Book Antiqua"/>
          <w:lang w:val="es-ES"/>
        </w:rPr>
        <w:t xml:space="preserve"> </w:t>
      </w:r>
      <w:r w:rsidR="001D1C23">
        <w:rPr>
          <w:rFonts w:ascii="Book Antiqua" w:hAnsi="Book Antiqua"/>
          <w:lang w:val="es-ES"/>
        </w:rPr>
        <w:t>T</w:t>
      </w:r>
      <w:r w:rsidR="009D6A89">
        <w:rPr>
          <w:rFonts w:ascii="Book Antiqua" w:hAnsi="Book Antiqua"/>
          <w:lang w:val="es-ES"/>
        </w:rPr>
        <w:t xml:space="preserve">ribunal </w:t>
      </w:r>
      <w:r>
        <w:rPr>
          <w:rFonts w:ascii="Book Antiqua" w:hAnsi="Book Antiqua"/>
          <w:lang w:val="es-ES"/>
        </w:rPr>
        <w:t xml:space="preserve">Supremo </w:t>
      </w:r>
      <w:r w:rsidR="009D6A89">
        <w:rPr>
          <w:rFonts w:ascii="Book Antiqua" w:hAnsi="Book Antiqua"/>
          <w:lang w:val="es-ES"/>
        </w:rPr>
        <w:t xml:space="preserve">concluyó que </w:t>
      </w:r>
      <w:r w:rsidR="00FD537B">
        <w:rPr>
          <w:rFonts w:ascii="Book Antiqua" w:hAnsi="Book Antiqua"/>
          <w:lang w:val="es-ES"/>
        </w:rPr>
        <w:t xml:space="preserve">cualquier reclamación </w:t>
      </w:r>
      <w:r w:rsidR="005A55D3">
        <w:rPr>
          <w:rFonts w:ascii="Book Antiqua" w:hAnsi="Book Antiqua"/>
          <w:lang w:val="es-ES"/>
        </w:rPr>
        <w:t>que surja de</w:t>
      </w:r>
      <w:r w:rsidR="00FD537B">
        <w:rPr>
          <w:rFonts w:ascii="Book Antiqua" w:hAnsi="Book Antiqua"/>
          <w:lang w:val="es-ES"/>
        </w:rPr>
        <w:t xml:space="preserve"> la llamada “violencia obstétrica”</w:t>
      </w:r>
      <w:r w:rsidR="009D6A89">
        <w:rPr>
          <w:rFonts w:ascii="Book Antiqua" w:hAnsi="Book Antiqua"/>
          <w:lang w:val="es-ES"/>
        </w:rPr>
        <w:t xml:space="preserve"> </w:t>
      </w:r>
      <w:r w:rsidR="00FD537B">
        <w:rPr>
          <w:rFonts w:ascii="Book Antiqua" w:hAnsi="Book Antiqua"/>
          <w:lang w:val="es-ES"/>
        </w:rPr>
        <w:t>queda subsumida por la causa de acción</w:t>
      </w:r>
      <w:r w:rsidR="00237AF0">
        <w:rPr>
          <w:rFonts w:ascii="Book Antiqua" w:hAnsi="Book Antiqua"/>
          <w:lang w:val="es-ES"/>
        </w:rPr>
        <w:t xml:space="preserve"> que surge del Artículo 1536 del Código Civil de Puerto Rico: </w:t>
      </w:r>
      <w:r w:rsidR="009D5DE3">
        <w:rPr>
          <w:rFonts w:ascii="Book Antiqua" w:hAnsi="Book Antiqua"/>
          <w:lang w:val="es-ES"/>
        </w:rPr>
        <w:t>la</w:t>
      </w:r>
      <w:r w:rsidR="009D5DE3" w:rsidRPr="009D5DE3">
        <w:rPr>
          <w:rFonts w:ascii="Book Antiqua" w:hAnsi="Book Antiqua"/>
          <w:lang w:val="es-ES"/>
        </w:rPr>
        <w:t xml:space="preserve"> persona que por culpa o negligencia causa daño a otra, viene obligada a repararlo.</w:t>
      </w:r>
      <w:r w:rsidR="009D5DE3">
        <w:rPr>
          <w:rStyle w:val="FootnoteReference"/>
          <w:rFonts w:ascii="Book Antiqua" w:hAnsi="Book Antiqua"/>
          <w:lang w:val="es-ES"/>
        </w:rPr>
        <w:footnoteReference w:id="22"/>
      </w:r>
    </w:p>
    <w:p w14:paraId="43441B3B" w14:textId="77777777" w:rsidR="00B95E0F" w:rsidRPr="00B95E0F" w:rsidRDefault="00B95E0F" w:rsidP="00D5168B">
      <w:pPr>
        <w:tabs>
          <w:tab w:val="left" w:pos="-720"/>
        </w:tabs>
        <w:suppressAutoHyphens/>
        <w:jc w:val="both"/>
        <w:rPr>
          <w:rFonts w:ascii="Book Antiqua" w:hAnsi="Book Antiqua"/>
          <w:lang w:val="es-ES"/>
        </w:rPr>
      </w:pPr>
    </w:p>
    <w:p w14:paraId="1B060CC2" w14:textId="73AF9915" w:rsidR="00872313" w:rsidRPr="00B95E0F" w:rsidRDefault="00872313" w:rsidP="00872313">
      <w:pPr>
        <w:tabs>
          <w:tab w:val="left" w:pos="-720"/>
        </w:tabs>
        <w:suppressAutoHyphens/>
        <w:jc w:val="center"/>
        <w:rPr>
          <w:rFonts w:ascii="Book Antiqua" w:hAnsi="Book Antiqua"/>
          <w:b/>
          <w:bCs/>
          <w:lang w:val="es-ES"/>
        </w:rPr>
      </w:pPr>
      <w:r w:rsidRPr="00B95E0F">
        <w:rPr>
          <w:rFonts w:ascii="Book Antiqua" w:hAnsi="Book Antiqua"/>
          <w:b/>
          <w:bCs/>
          <w:lang w:val="es-ES"/>
        </w:rPr>
        <w:t>ALCANCE DEL INFORME</w:t>
      </w:r>
    </w:p>
    <w:p w14:paraId="5A061AE8" w14:textId="77777777" w:rsidR="00872313" w:rsidRPr="00B95E0F" w:rsidRDefault="00872313" w:rsidP="006D5838">
      <w:pPr>
        <w:tabs>
          <w:tab w:val="left" w:pos="-720"/>
        </w:tabs>
        <w:suppressAutoHyphens/>
        <w:ind w:firstLine="360"/>
        <w:jc w:val="both"/>
        <w:rPr>
          <w:rFonts w:ascii="Book Antiqua" w:hAnsi="Book Antiqua"/>
          <w:lang w:val="es-ES"/>
        </w:rPr>
      </w:pPr>
    </w:p>
    <w:p w14:paraId="7D81C205" w14:textId="7E60D6C6" w:rsidR="006D5838" w:rsidRPr="00B95E0F" w:rsidRDefault="009F524F" w:rsidP="00872313">
      <w:pPr>
        <w:tabs>
          <w:tab w:val="left" w:pos="-720"/>
        </w:tabs>
        <w:suppressAutoHyphens/>
        <w:ind w:firstLine="360"/>
        <w:jc w:val="both"/>
        <w:rPr>
          <w:rFonts w:ascii="Book Antiqua" w:hAnsi="Book Antiqua"/>
          <w:lang w:val="es-ES"/>
        </w:rPr>
      </w:pPr>
      <w:r w:rsidRPr="00B95E0F">
        <w:rPr>
          <w:rFonts w:ascii="Book Antiqua" w:hAnsi="Book Antiqua"/>
          <w:lang w:val="es-ES"/>
        </w:rPr>
        <w:tab/>
      </w:r>
      <w:r w:rsidR="009154BD" w:rsidRPr="00B95E0F">
        <w:rPr>
          <w:rFonts w:ascii="Book Antiqua" w:hAnsi="Book Antiqua"/>
          <w:lang w:val="es-ES"/>
        </w:rPr>
        <w:t xml:space="preserve">La </w:t>
      </w:r>
      <w:r w:rsidR="000C5B91" w:rsidRPr="00B95E0F">
        <w:rPr>
          <w:rFonts w:ascii="Book Antiqua" w:hAnsi="Book Antiqua"/>
          <w:spacing w:val="-3"/>
          <w:lang w:val="es-ES"/>
        </w:rPr>
        <w:t>Comisión de lo Jurídico del Senado de Puerto Rico</w:t>
      </w:r>
      <w:r w:rsidR="009154BD" w:rsidRPr="00B95E0F">
        <w:rPr>
          <w:rFonts w:ascii="Book Antiqua" w:hAnsi="Book Antiqua"/>
          <w:spacing w:val="-3"/>
          <w:lang w:val="es-ES"/>
        </w:rPr>
        <w:t xml:space="preserve">, como parte del estudio y evaluación del </w:t>
      </w:r>
      <w:r w:rsidR="00872313" w:rsidRPr="00B95E0F">
        <w:rPr>
          <w:rFonts w:ascii="Book Antiqua" w:hAnsi="Book Antiqua"/>
          <w:spacing w:val="-3"/>
          <w:lang w:val="es-ES"/>
        </w:rPr>
        <w:t>P. del S. 445</w:t>
      </w:r>
      <w:r w:rsidR="00481C39" w:rsidRPr="00B95E0F">
        <w:rPr>
          <w:rFonts w:ascii="Book Antiqua" w:hAnsi="Book Antiqua"/>
          <w:lang w:val="es-ES"/>
        </w:rPr>
        <w:t xml:space="preserve"> </w:t>
      </w:r>
      <w:r w:rsidR="00872313" w:rsidRPr="00B95E0F">
        <w:rPr>
          <w:rFonts w:ascii="Book Antiqua" w:hAnsi="Book Antiqua"/>
          <w:lang w:val="es-ES"/>
        </w:rPr>
        <w:t>solicit</w:t>
      </w:r>
      <w:r w:rsidR="00C157CE" w:rsidRPr="00B95E0F">
        <w:rPr>
          <w:rFonts w:ascii="Book Antiqua" w:hAnsi="Book Antiqua"/>
          <w:lang w:val="es-ES"/>
        </w:rPr>
        <w:t>ó</w:t>
      </w:r>
      <w:r w:rsidR="00872313" w:rsidRPr="00B95E0F">
        <w:rPr>
          <w:rFonts w:ascii="Book Antiqua" w:hAnsi="Book Antiqua"/>
          <w:lang w:val="es-ES"/>
        </w:rPr>
        <w:t xml:space="preserve"> memoriales explicativos al Departamento de Justicia,</w:t>
      </w:r>
      <w:r w:rsidR="00D6491A" w:rsidRPr="00B95E0F">
        <w:rPr>
          <w:rFonts w:ascii="Book Antiqua" w:hAnsi="Book Antiqua"/>
          <w:lang w:val="es-ES"/>
        </w:rPr>
        <w:t xml:space="preserve"> al Departamento de Salud,</w:t>
      </w:r>
      <w:r w:rsidR="00872313" w:rsidRPr="00B95E0F">
        <w:rPr>
          <w:rFonts w:ascii="Book Antiqua" w:hAnsi="Book Antiqua"/>
          <w:lang w:val="es-ES"/>
        </w:rPr>
        <w:t xml:space="preserve"> al Colegio de </w:t>
      </w:r>
      <w:r w:rsidR="002B27D0" w:rsidRPr="00B95E0F">
        <w:rPr>
          <w:rFonts w:ascii="Book Antiqua" w:hAnsi="Book Antiqua"/>
          <w:lang w:val="es-ES"/>
        </w:rPr>
        <w:t>Médicos</w:t>
      </w:r>
      <w:r w:rsidR="00872313" w:rsidRPr="00B95E0F">
        <w:rPr>
          <w:rFonts w:ascii="Book Antiqua" w:hAnsi="Book Antiqua"/>
          <w:lang w:val="es-ES"/>
        </w:rPr>
        <w:t xml:space="preserve"> Cirujanos de Puerto Rico y a la Asociación de Hospitales. </w:t>
      </w:r>
    </w:p>
    <w:p w14:paraId="60AB3FA8" w14:textId="759D00B9" w:rsidR="00872313" w:rsidRPr="00B95E0F" w:rsidRDefault="00872313" w:rsidP="00872313">
      <w:pPr>
        <w:tabs>
          <w:tab w:val="left" w:pos="-720"/>
        </w:tabs>
        <w:suppressAutoHyphens/>
        <w:ind w:firstLine="360"/>
        <w:jc w:val="both"/>
        <w:rPr>
          <w:rFonts w:ascii="Book Antiqua" w:hAnsi="Book Antiqua"/>
          <w:lang w:val="es-ES"/>
        </w:rPr>
      </w:pPr>
      <w:r w:rsidRPr="00B95E0F">
        <w:rPr>
          <w:rFonts w:ascii="Book Antiqua" w:hAnsi="Book Antiqua"/>
          <w:lang w:val="es-ES"/>
        </w:rPr>
        <w:tab/>
        <w:t xml:space="preserve">Al momento de la redacción de este informe la Comisión solamente recibió </w:t>
      </w:r>
      <w:r w:rsidR="00A5285A">
        <w:rPr>
          <w:rFonts w:ascii="Book Antiqua" w:hAnsi="Book Antiqua"/>
          <w:lang w:val="es-ES"/>
        </w:rPr>
        <w:t>los</w:t>
      </w:r>
      <w:r w:rsidRPr="00B95E0F">
        <w:rPr>
          <w:rFonts w:ascii="Book Antiqua" w:hAnsi="Book Antiqua"/>
          <w:lang w:val="es-ES"/>
        </w:rPr>
        <w:t xml:space="preserve"> memorial</w:t>
      </w:r>
      <w:r w:rsidR="00A5285A">
        <w:rPr>
          <w:rFonts w:ascii="Book Antiqua" w:hAnsi="Book Antiqua"/>
          <w:lang w:val="es-ES"/>
        </w:rPr>
        <w:t>es</w:t>
      </w:r>
      <w:r w:rsidRPr="00B95E0F">
        <w:rPr>
          <w:rFonts w:ascii="Book Antiqua" w:hAnsi="Book Antiqua"/>
          <w:lang w:val="es-ES"/>
        </w:rPr>
        <w:t xml:space="preserve"> explicativo</w:t>
      </w:r>
      <w:r w:rsidR="00A5285A">
        <w:rPr>
          <w:rFonts w:ascii="Book Antiqua" w:hAnsi="Book Antiqua"/>
          <w:lang w:val="es-ES"/>
        </w:rPr>
        <w:t>s</w:t>
      </w:r>
      <w:r w:rsidRPr="00B95E0F">
        <w:rPr>
          <w:rFonts w:ascii="Book Antiqua" w:hAnsi="Book Antiqua"/>
          <w:lang w:val="es-ES"/>
        </w:rPr>
        <w:t xml:space="preserve"> de la Asociación de Hospitales</w:t>
      </w:r>
      <w:r w:rsidR="00A5285A">
        <w:rPr>
          <w:rFonts w:ascii="Book Antiqua" w:hAnsi="Book Antiqua"/>
          <w:lang w:val="es-ES"/>
        </w:rPr>
        <w:t xml:space="preserve"> y del Colegio</w:t>
      </w:r>
      <w:r w:rsidR="0008094E">
        <w:rPr>
          <w:rFonts w:ascii="Book Antiqua" w:hAnsi="Book Antiqua"/>
          <w:lang w:val="es-ES"/>
        </w:rPr>
        <w:t xml:space="preserve"> de Médicos Cirujanos</w:t>
      </w:r>
      <w:r w:rsidRPr="00B95E0F">
        <w:rPr>
          <w:rFonts w:ascii="Book Antiqua" w:hAnsi="Book Antiqua"/>
          <w:lang w:val="es-ES"/>
        </w:rPr>
        <w:t xml:space="preserve">. </w:t>
      </w:r>
      <w:r w:rsidR="00D6491A" w:rsidRPr="00B95E0F">
        <w:rPr>
          <w:rFonts w:ascii="Book Antiqua" w:hAnsi="Book Antiqua"/>
          <w:lang w:val="es-ES"/>
        </w:rPr>
        <w:t>También,</w:t>
      </w:r>
      <w:r w:rsidR="00C157CE" w:rsidRPr="00B95E0F">
        <w:rPr>
          <w:rFonts w:ascii="Book Antiqua" w:hAnsi="Book Antiqua"/>
          <w:lang w:val="es-ES"/>
        </w:rPr>
        <w:t xml:space="preserve"> esta </w:t>
      </w:r>
      <w:r w:rsidR="002B27D0" w:rsidRPr="00B95E0F">
        <w:rPr>
          <w:rFonts w:ascii="Book Antiqua" w:hAnsi="Book Antiqua"/>
          <w:lang w:val="es-ES"/>
        </w:rPr>
        <w:t>Comisión</w:t>
      </w:r>
      <w:r w:rsidR="00C157CE" w:rsidRPr="00B95E0F">
        <w:rPr>
          <w:rFonts w:ascii="Book Antiqua" w:hAnsi="Book Antiqua"/>
          <w:lang w:val="es-ES"/>
        </w:rPr>
        <w:t xml:space="preserve"> analiz</w:t>
      </w:r>
      <w:r w:rsidR="00B32DA1" w:rsidRPr="00B95E0F">
        <w:rPr>
          <w:rFonts w:ascii="Book Antiqua" w:hAnsi="Book Antiqua"/>
          <w:lang w:val="es-ES"/>
        </w:rPr>
        <w:t>ó</w:t>
      </w:r>
      <w:r w:rsidR="00C157CE" w:rsidRPr="00B95E0F">
        <w:rPr>
          <w:rFonts w:ascii="Book Antiqua" w:hAnsi="Book Antiqua"/>
          <w:lang w:val="es-ES"/>
        </w:rPr>
        <w:t xml:space="preserve"> los comentarios de la </w:t>
      </w:r>
      <w:r w:rsidR="002B27D0" w:rsidRPr="00B95E0F">
        <w:rPr>
          <w:rFonts w:ascii="Book Antiqua" w:hAnsi="Book Antiqua"/>
          <w:lang w:val="es-ES"/>
        </w:rPr>
        <w:t>Asociación</w:t>
      </w:r>
      <w:r w:rsidR="00C157CE" w:rsidRPr="00B95E0F">
        <w:rPr>
          <w:rFonts w:ascii="Book Antiqua" w:hAnsi="Book Antiqua"/>
          <w:lang w:val="es-ES"/>
        </w:rPr>
        <w:t xml:space="preserve"> </w:t>
      </w:r>
      <w:r w:rsidR="002B27D0" w:rsidRPr="00B95E0F">
        <w:rPr>
          <w:rFonts w:ascii="Book Antiqua" w:hAnsi="Book Antiqua"/>
          <w:lang w:val="es-ES"/>
        </w:rPr>
        <w:t>Médica</w:t>
      </w:r>
      <w:r w:rsidR="00C157CE" w:rsidRPr="00B95E0F">
        <w:rPr>
          <w:rFonts w:ascii="Book Antiqua" w:hAnsi="Book Antiqua"/>
          <w:lang w:val="es-ES"/>
        </w:rPr>
        <w:t xml:space="preserve"> de Puerto Rico en torno al Proyecto de la </w:t>
      </w:r>
      <w:r w:rsidR="002B27D0" w:rsidRPr="00B95E0F">
        <w:rPr>
          <w:rFonts w:ascii="Book Antiqua" w:hAnsi="Book Antiqua"/>
          <w:lang w:val="es-ES"/>
        </w:rPr>
        <w:t>Cámara</w:t>
      </w:r>
      <w:r w:rsidR="00C157CE" w:rsidRPr="00B95E0F">
        <w:rPr>
          <w:rFonts w:ascii="Book Antiqua" w:hAnsi="Book Antiqua"/>
          <w:lang w:val="es-ES"/>
        </w:rPr>
        <w:t xml:space="preserve"> </w:t>
      </w:r>
      <w:r w:rsidR="002B27D0" w:rsidRPr="00B95E0F">
        <w:rPr>
          <w:rFonts w:ascii="Book Antiqua" w:hAnsi="Book Antiqua"/>
          <w:lang w:val="es-ES"/>
        </w:rPr>
        <w:t>459, medida análoga al P. del S. 445.</w:t>
      </w:r>
    </w:p>
    <w:p w14:paraId="096CE021" w14:textId="77777777" w:rsidR="007515F0" w:rsidRPr="00B95E0F" w:rsidRDefault="007515F0" w:rsidP="004E63CC">
      <w:pPr>
        <w:tabs>
          <w:tab w:val="left" w:pos="-720"/>
        </w:tabs>
        <w:suppressAutoHyphens/>
        <w:rPr>
          <w:rFonts w:ascii="Book Antiqua" w:hAnsi="Book Antiqua"/>
          <w:b/>
          <w:bCs/>
          <w:lang w:val="es-ES"/>
        </w:rPr>
      </w:pPr>
    </w:p>
    <w:p w14:paraId="4532B366" w14:textId="77777777" w:rsidR="0008094E" w:rsidRDefault="0008094E">
      <w:pPr>
        <w:rPr>
          <w:rFonts w:ascii="Book Antiqua" w:hAnsi="Book Antiqua"/>
          <w:b/>
          <w:bCs/>
          <w:lang w:val="es-ES"/>
        </w:rPr>
      </w:pPr>
      <w:r>
        <w:rPr>
          <w:rFonts w:ascii="Book Antiqua" w:hAnsi="Book Antiqua"/>
          <w:b/>
          <w:bCs/>
          <w:lang w:val="es-ES"/>
        </w:rPr>
        <w:br w:type="page"/>
      </w:r>
    </w:p>
    <w:p w14:paraId="471B5547" w14:textId="2331B67E" w:rsidR="00867243" w:rsidRPr="00B95E0F" w:rsidRDefault="00872313" w:rsidP="00872313">
      <w:pPr>
        <w:tabs>
          <w:tab w:val="left" w:pos="-720"/>
        </w:tabs>
        <w:suppressAutoHyphens/>
        <w:jc w:val="center"/>
        <w:rPr>
          <w:rFonts w:ascii="Book Antiqua" w:hAnsi="Book Antiqua"/>
          <w:b/>
          <w:bCs/>
          <w:lang w:val="es-ES"/>
        </w:rPr>
      </w:pPr>
      <w:r w:rsidRPr="00B95E0F">
        <w:rPr>
          <w:rFonts w:ascii="Book Antiqua" w:hAnsi="Book Antiqua"/>
          <w:b/>
          <w:bCs/>
          <w:lang w:val="es-ES"/>
        </w:rPr>
        <w:lastRenderedPageBreak/>
        <w:t>ASOCIACIÓN DE HOSPITALES DE PUERTO RICO</w:t>
      </w:r>
    </w:p>
    <w:p w14:paraId="64156837" w14:textId="77777777" w:rsidR="00872313" w:rsidRPr="00B95E0F" w:rsidRDefault="00872313" w:rsidP="00011E09">
      <w:pPr>
        <w:tabs>
          <w:tab w:val="left" w:pos="-720"/>
        </w:tabs>
        <w:suppressAutoHyphens/>
        <w:jc w:val="both"/>
        <w:rPr>
          <w:rFonts w:ascii="Book Antiqua" w:hAnsi="Book Antiqua"/>
          <w:lang w:val="es-ES"/>
        </w:rPr>
      </w:pPr>
    </w:p>
    <w:p w14:paraId="59FCBAD8" w14:textId="06E97082" w:rsidR="00867243" w:rsidRPr="00B95E0F" w:rsidRDefault="00867243" w:rsidP="00011E09">
      <w:pPr>
        <w:tabs>
          <w:tab w:val="left" w:pos="-720"/>
        </w:tabs>
        <w:suppressAutoHyphens/>
        <w:jc w:val="both"/>
        <w:rPr>
          <w:rFonts w:ascii="Book Antiqua" w:hAnsi="Book Antiqua"/>
          <w:lang w:val="es-ES"/>
        </w:rPr>
      </w:pPr>
      <w:r w:rsidRPr="00B95E0F">
        <w:rPr>
          <w:rFonts w:ascii="Book Antiqua" w:hAnsi="Book Antiqua"/>
          <w:lang w:val="es-ES"/>
        </w:rPr>
        <w:tab/>
      </w:r>
      <w:r w:rsidR="002B27D0" w:rsidRPr="00B95E0F">
        <w:rPr>
          <w:rFonts w:ascii="Book Antiqua" w:hAnsi="Book Antiqua"/>
          <w:lang w:val="es-ES"/>
        </w:rPr>
        <w:t xml:space="preserve">La </w:t>
      </w:r>
      <w:r w:rsidR="00D0466C" w:rsidRPr="00B95E0F">
        <w:rPr>
          <w:rFonts w:ascii="Book Antiqua" w:hAnsi="Book Antiqua"/>
          <w:lang w:val="es-ES"/>
        </w:rPr>
        <w:t>Asociación</w:t>
      </w:r>
      <w:r w:rsidR="002B27D0" w:rsidRPr="00B95E0F">
        <w:rPr>
          <w:rFonts w:ascii="Book Antiqua" w:hAnsi="Book Antiqua"/>
          <w:lang w:val="es-ES"/>
        </w:rPr>
        <w:t xml:space="preserve"> de Hospitales de Puerto Rico (AHPR) </w:t>
      </w:r>
      <w:r w:rsidR="00D0466C" w:rsidRPr="00B95E0F">
        <w:rPr>
          <w:rFonts w:ascii="Book Antiqua" w:hAnsi="Book Antiqua"/>
          <w:lang w:val="es-ES"/>
        </w:rPr>
        <w:t xml:space="preserve">se opuso a la aprobación de la medida. Esta entidad </w:t>
      </w:r>
      <w:r w:rsidR="00FA2E84" w:rsidRPr="00B95E0F">
        <w:rPr>
          <w:rFonts w:ascii="Book Antiqua" w:hAnsi="Book Antiqua"/>
          <w:lang w:val="es-ES"/>
        </w:rPr>
        <w:t>expresó que el proyecto resulta innecesario dentro del marco jurídico actual, impone consecuencias punitivas desproporcionadas, afecta adversamente la estabilidad del sistema de salud y crea una exposición legal discriminatoria hacia una clase profesional ya en cr</w:t>
      </w:r>
      <w:r w:rsidR="006F58F5" w:rsidRPr="00B95E0F">
        <w:rPr>
          <w:rFonts w:ascii="Book Antiqua" w:hAnsi="Book Antiqua"/>
          <w:lang w:val="es-ES"/>
        </w:rPr>
        <w:t xml:space="preserve">isis. A juicio de la AHPR, el ordenamiento jurídico actual con la elaborada jurisprudencia establecida por el Tribunal Supremo de Puerto Rico sobre danos ocasionados por </w:t>
      </w:r>
      <w:r w:rsidR="00E13593" w:rsidRPr="00B95E0F">
        <w:rPr>
          <w:rFonts w:ascii="Book Antiqua" w:hAnsi="Book Antiqua"/>
          <w:lang w:val="es-ES"/>
        </w:rPr>
        <w:t>impericia</w:t>
      </w:r>
      <w:r w:rsidR="006F58F5" w:rsidRPr="00B95E0F">
        <w:rPr>
          <w:rFonts w:ascii="Book Antiqua" w:hAnsi="Book Antiqua"/>
          <w:lang w:val="es-ES"/>
        </w:rPr>
        <w:t xml:space="preserve"> </w:t>
      </w:r>
      <w:r w:rsidR="00E13593" w:rsidRPr="00B95E0F">
        <w:rPr>
          <w:rFonts w:ascii="Book Antiqua" w:hAnsi="Book Antiqua"/>
          <w:lang w:val="es-ES"/>
        </w:rPr>
        <w:t>médica</w:t>
      </w:r>
      <w:r w:rsidR="006F58F5" w:rsidRPr="00B95E0F">
        <w:rPr>
          <w:rFonts w:ascii="Book Antiqua" w:hAnsi="Book Antiqua"/>
          <w:lang w:val="es-ES"/>
        </w:rPr>
        <w:t xml:space="preserve">, ya contempla la norma de atención medica </w:t>
      </w:r>
      <w:r w:rsidR="00E13593" w:rsidRPr="00B95E0F">
        <w:rPr>
          <w:rFonts w:ascii="Book Antiqua" w:hAnsi="Book Antiqua"/>
          <w:lang w:val="es-ES"/>
        </w:rPr>
        <w:t>mínima</w:t>
      </w:r>
      <w:r w:rsidR="006F58F5" w:rsidRPr="00B95E0F">
        <w:rPr>
          <w:rFonts w:ascii="Book Antiqua" w:hAnsi="Book Antiqua"/>
          <w:lang w:val="es-ES"/>
        </w:rPr>
        <w:t xml:space="preserve"> exigible en la </w:t>
      </w:r>
      <w:r w:rsidR="00E369F8" w:rsidRPr="00B95E0F">
        <w:rPr>
          <w:rFonts w:ascii="Book Antiqua" w:hAnsi="Book Antiqua"/>
          <w:lang w:val="es-ES"/>
        </w:rPr>
        <w:t>práctica</w:t>
      </w:r>
      <w:r w:rsidR="006F58F5" w:rsidRPr="00B95E0F">
        <w:rPr>
          <w:rFonts w:ascii="Book Antiqua" w:hAnsi="Book Antiqua"/>
          <w:lang w:val="es-ES"/>
        </w:rPr>
        <w:t xml:space="preserve"> de la medicina, reclamaciones por omisiones, errores de juicio </w:t>
      </w:r>
      <w:r w:rsidR="00E13593" w:rsidRPr="00B95E0F">
        <w:rPr>
          <w:rFonts w:ascii="Book Antiqua" w:hAnsi="Book Antiqua"/>
          <w:lang w:val="es-ES"/>
        </w:rPr>
        <w:t>médico</w:t>
      </w:r>
      <w:r w:rsidR="006F58F5" w:rsidRPr="00B95E0F">
        <w:rPr>
          <w:rFonts w:ascii="Book Antiqua" w:hAnsi="Book Antiqua"/>
          <w:lang w:val="es-ES"/>
        </w:rPr>
        <w:t xml:space="preserve">, fallas en el manejo clínico de emergencias, prescripción y uso de medicamentos, valoración y </w:t>
      </w:r>
      <w:r w:rsidR="00E13593" w:rsidRPr="00B95E0F">
        <w:rPr>
          <w:rFonts w:ascii="Book Antiqua" w:hAnsi="Book Antiqua"/>
          <w:lang w:val="es-ES"/>
        </w:rPr>
        <w:t>reparación</w:t>
      </w:r>
      <w:r w:rsidR="006F58F5" w:rsidRPr="00B95E0F">
        <w:rPr>
          <w:rFonts w:ascii="Book Antiqua" w:hAnsi="Book Antiqua"/>
          <w:lang w:val="es-ES"/>
        </w:rPr>
        <w:t xml:space="preserve"> del da</w:t>
      </w:r>
      <w:r w:rsidR="00E13593" w:rsidRPr="00B95E0F">
        <w:rPr>
          <w:rFonts w:ascii="Book Antiqua" w:hAnsi="Book Antiqua"/>
          <w:lang w:val="es-ES"/>
        </w:rPr>
        <w:t>ñ</w:t>
      </w:r>
      <w:r w:rsidR="006F58F5" w:rsidRPr="00B95E0F">
        <w:rPr>
          <w:rFonts w:ascii="Book Antiqua" w:hAnsi="Book Antiqua"/>
          <w:lang w:val="es-ES"/>
        </w:rPr>
        <w:t>os</w:t>
      </w:r>
      <w:r w:rsidR="00E13593" w:rsidRPr="00B95E0F">
        <w:rPr>
          <w:rFonts w:ascii="Book Antiqua" w:hAnsi="Book Antiqua"/>
          <w:lang w:val="es-ES"/>
        </w:rPr>
        <w:t xml:space="preserve"> y también por la imposición de tratamientos sin el consentimiento informado del paciente. </w:t>
      </w:r>
      <w:r w:rsidR="00DF1066" w:rsidRPr="00B95E0F">
        <w:rPr>
          <w:rFonts w:ascii="Book Antiqua" w:hAnsi="Book Antiqua"/>
          <w:lang w:val="es-ES"/>
        </w:rPr>
        <w:t>Es decir, las mujeres gestantes no se encuentran desprovistas de remedios en casos de mala práctica médica.</w:t>
      </w:r>
      <w:r w:rsidR="009B3C87" w:rsidRPr="00B95E0F">
        <w:rPr>
          <w:rFonts w:ascii="Book Antiqua" w:hAnsi="Book Antiqua"/>
          <w:lang w:val="es-ES"/>
        </w:rPr>
        <w:t xml:space="preserve"> La </w:t>
      </w:r>
      <w:r w:rsidR="00622C33" w:rsidRPr="00B95E0F">
        <w:rPr>
          <w:rFonts w:ascii="Book Antiqua" w:hAnsi="Book Antiqua"/>
          <w:lang w:val="es-ES"/>
        </w:rPr>
        <w:t>Asociación</w:t>
      </w:r>
      <w:r w:rsidR="009B3C87" w:rsidRPr="00B95E0F">
        <w:rPr>
          <w:rFonts w:ascii="Book Antiqua" w:hAnsi="Book Antiqua"/>
          <w:lang w:val="es-ES"/>
        </w:rPr>
        <w:t xml:space="preserve"> que agrupa a los hospitales de Puerto Rico comentó que la medida </w:t>
      </w:r>
      <w:r w:rsidR="00622C33" w:rsidRPr="00B95E0F">
        <w:rPr>
          <w:rFonts w:ascii="Book Antiqua" w:hAnsi="Book Antiqua"/>
          <w:lang w:val="es-ES"/>
        </w:rPr>
        <w:t>propuesta</w:t>
      </w:r>
      <w:r w:rsidR="009B3C87" w:rsidRPr="00B95E0F">
        <w:rPr>
          <w:rFonts w:ascii="Book Antiqua" w:hAnsi="Book Antiqua"/>
          <w:lang w:val="es-ES"/>
        </w:rPr>
        <w:t xml:space="preserve"> pretende catalogar como “violencia obstétrica” una serie de actuaciones u omisiones clínicas, sin </w:t>
      </w:r>
      <w:r w:rsidR="00622C33" w:rsidRPr="00B95E0F">
        <w:rPr>
          <w:rFonts w:ascii="Book Antiqua" w:hAnsi="Book Antiqua"/>
          <w:lang w:val="es-ES"/>
        </w:rPr>
        <w:t>exigir</w:t>
      </w:r>
      <w:r w:rsidR="009B3C87" w:rsidRPr="00B95E0F">
        <w:rPr>
          <w:rFonts w:ascii="Book Antiqua" w:hAnsi="Book Antiqua"/>
          <w:lang w:val="es-ES"/>
        </w:rPr>
        <w:t xml:space="preserve"> prueba alguna </w:t>
      </w:r>
      <w:r w:rsidR="00622C33" w:rsidRPr="00B95E0F">
        <w:rPr>
          <w:rFonts w:ascii="Book Antiqua" w:hAnsi="Book Antiqua"/>
          <w:lang w:val="es-ES"/>
        </w:rPr>
        <w:t>de intención por parte del personal médica y peor aún, impone como consecuencia una indemnización por una suma igual al doble del daño probado.</w:t>
      </w:r>
      <w:r w:rsidR="00660C04" w:rsidRPr="00B95E0F">
        <w:rPr>
          <w:rFonts w:ascii="Book Antiqua" w:hAnsi="Book Antiqua"/>
          <w:lang w:val="es-ES"/>
        </w:rPr>
        <w:t xml:space="preserve"> En ese sentido, se </w:t>
      </w:r>
      <w:r w:rsidR="00536EA7" w:rsidRPr="00B95E0F">
        <w:rPr>
          <w:rFonts w:ascii="Book Antiqua" w:hAnsi="Book Antiqua"/>
          <w:lang w:val="es-ES"/>
        </w:rPr>
        <w:t>distorsiona</w:t>
      </w:r>
      <w:r w:rsidR="00660C04" w:rsidRPr="00B95E0F">
        <w:rPr>
          <w:rFonts w:ascii="Book Antiqua" w:hAnsi="Book Antiqua"/>
          <w:lang w:val="es-ES"/>
        </w:rPr>
        <w:t xml:space="preserve"> el significado jurídico del </w:t>
      </w:r>
      <w:proofErr w:type="spellStart"/>
      <w:r w:rsidR="00660C04" w:rsidRPr="00B95E0F">
        <w:rPr>
          <w:rFonts w:ascii="Book Antiqua" w:hAnsi="Book Antiqua"/>
          <w:lang w:val="es-ES"/>
        </w:rPr>
        <w:t>termino</w:t>
      </w:r>
      <w:proofErr w:type="spellEnd"/>
      <w:r w:rsidR="00660C04" w:rsidRPr="00B95E0F">
        <w:rPr>
          <w:rFonts w:ascii="Book Antiqua" w:hAnsi="Book Antiqua"/>
          <w:lang w:val="es-ES"/>
        </w:rPr>
        <w:t xml:space="preserve"> “violencia” al eliminar el requisito de intención </w:t>
      </w:r>
      <w:r w:rsidR="006D2C89" w:rsidRPr="00B95E0F">
        <w:rPr>
          <w:rFonts w:ascii="Book Antiqua" w:hAnsi="Book Antiqua"/>
          <w:lang w:val="es-ES"/>
        </w:rPr>
        <w:t xml:space="preserve">y el diseño de la medida responde a una lógica eminentemente </w:t>
      </w:r>
      <w:r w:rsidR="00536EA7" w:rsidRPr="00B95E0F">
        <w:rPr>
          <w:rFonts w:ascii="Book Antiqua" w:hAnsi="Book Antiqua"/>
          <w:lang w:val="es-ES"/>
        </w:rPr>
        <w:t>punitiva</w:t>
      </w:r>
      <w:r w:rsidR="006D2C89" w:rsidRPr="00B95E0F">
        <w:rPr>
          <w:rFonts w:ascii="Book Antiqua" w:hAnsi="Book Antiqua"/>
          <w:lang w:val="es-ES"/>
        </w:rPr>
        <w:t xml:space="preserve">. </w:t>
      </w:r>
      <w:r w:rsidR="00536EA7" w:rsidRPr="00B95E0F">
        <w:rPr>
          <w:rFonts w:ascii="Book Antiqua" w:hAnsi="Book Antiqua"/>
          <w:lang w:val="es-ES"/>
        </w:rPr>
        <w:t xml:space="preserve">Exponen que la medida omite completamente la evaluación en cuanto a la exigencia de prueba sobre la intención que requiere el termino de “violencia” y la sustituye por una presunción generalizada de que todo error clínico en el ámbito obstétrico equivale a un acto de violencia. </w:t>
      </w:r>
    </w:p>
    <w:p w14:paraId="7C56EC80" w14:textId="77777777" w:rsidR="00D1053D" w:rsidRPr="00B95E0F" w:rsidRDefault="006D05B3" w:rsidP="00011E09">
      <w:pPr>
        <w:tabs>
          <w:tab w:val="left" w:pos="-720"/>
        </w:tabs>
        <w:suppressAutoHyphens/>
        <w:jc w:val="both"/>
        <w:rPr>
          <w:rFonts w:ascii="Book Antiqua" w:hAnsi="Book Antiqua"/>
          <w:lang w:val="es-ES"/>
        </w:rPr>
      </w:pPr>
      <w:r w:rsidRPr="00B95E0F">
        <w:rPr>
          <w:rFonts w:ascii="Book Antiqua" w:hAnsi="Book Antiqua"/>
          <w:lang w:val="es-ES"/>
        </w:rPr>
        <w:tab/>
        <w:t xml:space="preserve">Por su parte, la </w:t>
      </w:r>
      <w:r w:rsidR="006166AB" w:rsidRPr="00B95E0F">
        <w:rPr>
          <w:rFonts w:ascii="Book Antiqua" w:hAnsi="Book Antiqua"/>
          <w:lang w:val="es-ES"/>
        </w:rPr>
        <w:t>Asociación</w:t>
      </w:r>
      <w:r w:rsidRPr="00B95E0F">
        <w:rPr>
          <w:rFonts w:ascii="Book Antiqua" w:hAnsi="Book Antiqua"/>
          <w:lang w:val="es-ES"/>
        </w:rPr>
        <w:t xml:space="preserve"> argumenta que los profesionales de la medicina obstétrica y ginecológica serian sometidos a un régimen de responsabilidad agravada, no por la naturaleza intrínseca de sus actos, sino por el tipo de paciente que atienden. La consecuencia </w:t>
      </w:r>
      <w:r w:rsidR="006166AB" w:rsidRPr="00B95E0F">
        <w:rPr>
          <w:rFonts w:ascii="Book Antiqua" w:hAnsi="Book Antiqua"/>
          <w:lang w:val="es-ES"/>
        </w:rPr>
        <w:t>práctica</w:t>
      </w:r>
      <w:r w:rsidRPr="00B95E0F">
        <w:rPr>
          <w:rFonts w:ascii="Book Antiqua" w:hAnsi="Book Antiqua"/>
          <w:lang w:val="es-ES"/>
        </w:rPr>
        <w:t>, a su ju</w:t>
      </w:r>
      <w:r w:rsidR="006166AB" w:rsidRPr="00B95E0F">
        <w:rPr>
          <w:rFonts w:ascii="Book Antiqua" w:hAnsi="Book Antiqua"/>
          <w:lang w:val="es-ES"/>
        </w:rPr>
        <w:t xml:space="preserve">icio, sería la imposición de una responsabilidad mayor y desigual únicamente a quienes ejercen en el ámbito </w:t>
      </w:r>
      <w:r w:rsidR="00695AB1" w:rsidRPr="00B95E0F">
        <w:rPr>
          <w:rFonts w:ascii="Book Antiqua" w:hAnsi="Book Antiqua"/>
          <w:lang w:val="es-ES"/>
        </w:rPr>
        <w:t>obstétrico</w:t>
      </w:r>
      <w:r w:rsidR="006166AB" w:rsidRPr="00B95E0F">
        <w:rPr>
          <w:rFonts w:ascii="Book Antiqua" w:hAnsi="Book Antiqua"/>
          <w:lang w:val="es-ES"/>
        </w:rPr>
        <w:t xml:space="preserve">, elevando su exposición al riesgo legal y económico de forma </w:t>
      </w:r>
      <w:r w:rsidR="00695AB1" w:rsidRPr="00B95E0F">
        <w:rPr>
          <w:rFonts w:ascii="Book Antiqua" w:hAnsi="Book Antiqua"/>
          <w:lang w:val="es-ES"/>
        </w:rPr>
        <w:t>desproporcionada</w:t>
      </w:r>
      <w:r w:rsidR="006166AB" w:rsidRPr="00B95E0F">
        <w:rPr>
          <w:rFonts w:ascii="Book Antiqua" w:hAnsi="Book Antiqua"/>
          <w:lang w:val="es-ES"/>
        </w:rPr>
        <w:t>.</w:t>
      </w:r>
    </w:p>
    <w:p w14:paraId="553C17DE" w14:textId="00A5A47F" w:rsidR="006D05B3" w:rsidRPr="00B95E0F" w:rsidRDefault="00D1053D" w:rsidP="00011E09">
      <w:pPr>
        <w:tabs>
          <w:tab w:val="left" w:pos="-720"/>
        </w:tabs>
        <w:suppressAutoHyphens/>
        <w:jc w:val="both"/>
        <w:rPr>
          <w:rFonts w:ascii="Book Antiqua" w:hAnsi="Book Antiqua"/>
          <w:lang w:val="es-ES"/>
        </w:rPr>
      </w:pPr>
      <w:r w:rsidRPr="00B95E0F">
        <w:rPr>
          <w:rFonts w:ascii="Book Antiqua" w:hAnsi="Book Antiqua"/>
          <w:lang w:val="es-ES"/>
        </w:rPr>
        <w:tab/>
        <w:t xml:space="preserve">Por </w:t>
      </w:r>
      <w:r w:rsidR="001A7AEC" w:rsidRPr="00B95E0F">
        <w:rPr>
          <w:rFonts w:ascii="Book Antiqua" w:hAnsi="Book Antiqua"/>
          <w:lang w:val="es-ES"/>
        </w:rPr>
        <w:t>último</w:t>
      </w:r>
      <w:r w:rsidRPr="00B95E0F">
        <w:rPr>
          <w:rFonts w:ascii="Book Antiqua" w:hAnsi="Book Antiqua"/>
          <w:lang w:val="es-ES"/>
        </w:rPr>
        <w:t xml:space="preserve">, la entidad concluye </w:t>
      </w:r>
      <w:r w:rsidR="001A7AEC" w:rsidRPr="00B95E0F">
        <w:rPr>
          <w:rFonts w:ascii="Book Antiqua" w:hAnsi="Book Antiqua"/>
          <w:lang w:val="es-ES"/>
        </w:rPr>
        <w:t xml:space="preserve">diciendo </w:t>
      </w:r>
      <w:r w:rsidRPr="00B95E0F">
        <w:rPr>
          <w:rFonts w:ascii="Book Antiqua" w:hAnsi="Book Antiqua"/>
          <w:lang w:val="es-ES"/>
        </w:rPr>
        <w:t xml:space="preserve">que la medida entra en abierta contradicción con los esfuerzos del propio estado y su política </w:t>
      </w:r>
      <w:proofErr w:type="spellStart"/>
      <w:r w:rsidRPr="00B95E0F">
        <w:rPr>
          <w:rFonts w:ascii="Book Antiqua" w:hAnsi="Book Antiqua"/>
          <w:lang w:val="es-ES"/>
        </w:rPr>
        <w:t>publica</w:t>
      </w:r>
      <w:proofErr w:type="spellEnd"/>
      <w:r w:rsidRPr="00B95E0F">
        <w:rPr>
          <w:rFonts w:ascii="Book Antiqua" w:hAnsi="Book Antiqua"/>
          <w:lang w:val="es-ES"/>
        </w:rPr>
        <w:t xml:space="preserve"> de retener y atraer médicos especialistas a Puerto Rico</w:t>
      </w:r>
      <w:r w:rsidR="001A7AEC" w:rsidRPr="00B95E0F">
        <w:rPr>
          <w:rFonts w:ascii="Book Antiqua" w:hAnsi="Book Antiqua"/>
          <w:lang w:val="es-ES"/>
        </w:rPr>
        <w:t xml:space="preserve">, ya que penaliza precisamente a los profesionales cuya permanencia en la isla se intenta asegurar. </w:t>
      </w:r>
      <w:r w:rsidR="006166AB" w:rsidRPr="00B95E0F">
        <w:rPr>
          <w:rFonts w:ascii="Book Antiqua" w:hAnsi="Book Antiqua"/>
          <w:lang w:val="es-ES"/>
        </w:rPr>
        <w:t xml:space="preserve"> </w:t>
      </w:r>
      <w:r w:rsidR="00346E77" w:rsidRPr="00B95E0F">
        <w:rPr>
          <w:rFonts w:ascii="Book Antiqua" w:hAnsi="Book Antiqua"/>
          <w:lang w:val="es-ES"/>
        </w:rPr>
        <w:t xml:space="preserve">Lejos de promover la permanencia de estos médicos, o atraer a quienes se encuentran ejerciendo en otras jurisdicciones, el P. del S. 445 genera un poderoso incentivo para abandonar la </w:t>
      </w:r>
      <w:r w:rsidR="00770AF9" w:rsidRPr="00B95E0F">
        <w:rPr>
          <w:rFonts w:ascii="Book Antiqua" w:hAnsi="Book Antiqua"/>
          <w:lang w:val="es-ES"/>
        </w:rPr>
        <w:t>práctica</w:t>
      </w:r>
      <w:r w:rsidR="00346E77" w:rsidRPr="00B95E0F">
        <w:rPr>
          <w:rFonts w:ascii="Book Antiqua" w:hAnsi="Book Antiqua"/>
          <w:lang w:val="es-ES"/>
        </w:rPr>
        <w:t xml:space="preserve"> obstétrica o trasladarla fuera de la isla</w:t>
      </w:r>
      <w:r w:rsidR="00770AF9" w:rsidRPr="00B95E0F">
        <w:rPr>
          <w:rFonts w:ascii="Book Antiqua" w:hAnsi="Book Antiqua"/>
          <w:lang w:val="es-ES"/>
        </w:rPr>
        <w:t xml:space="preserve"> al elevar los riesgos legales, económicos y profesionales de ejercer en Puerto Rico. </w:t>
      </w:r>
    </w:p>
    <w:p w14:paraId="74C38BE2" w14:textId="77777777" w:rsidR="007515F0" w:rsidRPr="00B95E0F" w:rsidRDefault="007515F0" w:rsidP="00725009">
      <w:pPr>
        <w:tabs>
          <w:tab w:val="left" w:pos="-720"/>
        </w:tabs>
        <w:suppressAutoHyphens/>
        <w:rPr>
          <w:rFonts w:ascii="Book Antiqua" w:hAnsi="Book Antiqua"/>
          <w:b/>
          <w:bCs/>
          <w:lang w:val="es-ES"/>
        </w:rPr>
      </w:pPr>
    </w:p>
    <w:p w14:paraId="58A33719" w14:textId="77777777" w:rsidR="00E3022F" w:rsidRDefault="00E3022F">
      <w:pPr>
        <w:rPr>
          <w:rFonts w:ascii="Book Antiqua" w:hAnsi="Book Antiqua"/>
          <w:b/>
          <w:bCs/>
          <w:lang w:val="es-ES"/>
        </w:rPr>
      </w:pPr>
      <w:r>
        <w:rPr>
          <w:rFonts w:ascii="Book Antiqua" w:hAnsi="Book Antiqua"/>
          <w:b/>
          <w:bCs/>
          <w:lang w:val="es-ES"/>
        </w:rPr>
        <w:br w:type="page"/>
      </w:r>
    </w:p>
    <w:p w14:paraId="49FAAFF6" w14:textId="111E760B" w:rsidR="00B32DA1" w:rsidRPr="00B95E0F" w:rsidRDefault="00B25006" w:rsidP="00B25006">
      <w:pPr>
        <w:tabs>
          <w:tab w:val="left" w:pos="-720"/>
        </w:tabs>
        <w:suppressAutoHyphens/>
        <w:jc w:val="center"/>
        <w:rPr>
          <w:rFonts w:ascii="Book Antiqua" w:hAnsi="Book Antiqua"/>
          <w:b/>
          <w:bCs/>
          <w:lang w:val="es-ES"/>
        </w:rPr>
      </w:pPr>
      <w:r w:rsidRPr="00B95E0F">
        <w:rPr>
          <w:rFonts w:ascii="Book Antiqua" w:hAnsi="Book Antiqua"/>
          <w:b/>
          <w:bCs/>
          <w:lang w:val="es-ES"/>
        </w:rPr>
        <w:lastRenderedPageBreak/>
        <w:t>ASOCIACIÓN MÉDICA DE PUERTO RICO</w:t>
      </w:r>
    </w:p>
    <w:p w14:paraId="3C12067E" w14:textId="77777777" w:rsidR="00B32DA1" w:rsidRPr="00B95E0F" w:rsidRDefault="00B32DA1" w:rsidP="00011E09">
      <w:pPr>
        <w:tabs>
          <w:tab w:val="left" w:pos="-720"/>
        </w:tabs>
        <w:suppressAutoHyphens/>
        <w:jc w:val="both"/>
        <w:rPr>
          <w:rFonts w:ascii="Book Antiqua" w:hAnsi="Book Antiqua"/>
          <w:lang w:val="es-ES"/>
        </w:rPr>
      </w:pPr>
    </w:p>
    <w:p w14:paraId="1B335E0B" w14:textId="5311BAC6" w:rsidR="00B32DA1" w:rsidRPr="00B95E0F" w:rsidRDefault="00B25006" w:rsidP="00011E09">
      <w:pPr>
        <w:tabs>
          <w:tab w:val="left" w:pos="-720"/>
        </w:tabs>
        <w:suppressAutoHyphens/>
        <w:jc w:val="both"/>
        <w:rPr>
          <w:rFonts w:ascii="Book Antiqua" w:hAnsi="Book Antiqua"/>
          <w:lang w:val="es-ES"/>
        </w:rPr>
      </w:pPr>
      <w:r w:rsidRPr="00B95E0F">
        <w:rPr>
          <w:rFonts w:ascii="Book Antiqua" w:hAnsi="Book Antiqua"/>
          <w:lang w:val="es-ES"/>
        </w:rPr>
        <w:tab/>
      </w:r>
      <w:r w:rsidR="00B32DA1" w:rsidRPr="00B95E0F">
        <w:rPr>
          <w:rFonts w:ascii="Book Antiqua" w:hAnsi="Book Antiqua"/>
          <w:lang w:val="es-ES"/>
        </w:rPr>
        <w:t xml:space="preserve">La </w:t>
      </w:r>
      <w:r w:rsidRPr="00B95E0F">
        <w:rPr>
          <w:rFonts w:ascii="Book Antiqua" w:hAnsi="Book Antiqua"/>
          <w:lang w:val="es-ES"/>
        </w:rPr>
        <w:t>Asociación</w:t>
      </w:r>
      <w:r w:rsidR="00B32DA1" w:rsidRPr="00B95E0F">
        <w:rPr>
          <w:rFonts w:ascii="Book Antiqua" w:hAnsi="Book Antiqua"/>
          <w:lang w:val="es-ES"/>
        </w:rPr>
        <w:t xml:space="preserve"> </w:t>
      </w:r>
      <w:r w:rsidRPr="00B95E0F">
        <w:rPr>
          <w:rFonts w:ascii="Book Antiqua" w:hAnsi="Book Antiqua"/>
          <w:lang w:val="es-ES"/>
        </w:rPr>
        <w:t>Médica</w:t>
      </w:r>
      <w:r w:rsidR="00B32DA1" w:rsidRPr="00B95E0F">
        <w:rPr>
          <w:rFonts w:ascii="Book Antiqua" w:hAnsi="Book Antiqua"/>
          <w:lang w:val="es-ES"/>
        </w:rPr>
        <w:t xml:space="preserve"> de Puerto Rico </w:t>
      </w:r>
      <w:r w:rsidRPr="00B95E0F">
        <w:rPr>
          <w:rFonts w:ascii="Book Antiqua" w:hAnsi="Book Antiqua"/>
          <w:lang w:val="es-ES"/>
        </w:rPr>
        <w:t>asumió una posición neutral</w:t>
      </w:r>
      <w:r w:rsidR="002E043E" w:rsidRPr="00B95E0F">
        <w:rPr>
          <w:rFonts w:ascii="Book Antiqua" w:hAnsi="Book Antiqua"/>
          <w:lang w:val="es-ES"/>
        </w:rPr>
        <w:t xml:space="preserve">. Expresan que no cuentan con la información, datos o evidencia suficiente que les permita validar la necesidad y conveniencia de aprobar la medida en su forma actual. A su juicio, el </w:t>
      </w:r>
      <w:r w:rsidR="00146FDE" w:rsidRPr="00B95E0F">
        <w:rPr>
          <w:rFonts w:ascii="Book Antiqua" w:hAnsi="Book Antiqua"/>
          <w:lang w:val="es-ES"/>
        </w:rPr>
        <w:t>proyecto</w:t>
      </w:r>
      <w:r w:rsidR="002E043E" w:rsidRPr="00B95E0F">
        <w:rPr>
          <w:rFonts w:ascii="Book Antiqua" w:hAnsi="Book Antiqua"/>
          <w:lang w:val="es-ES"/>
        </w:rPr>
        <w:t xml:space="preserve"> no establece una relación clara ni presenta datos específicos que reflejen la </w:t>
      </w:r>
      <w:r w:rsidR="00146FDE" w:rsidRPr="00B95E0F">
        <w:rPr>
          <w:rFonts w:ascii="Book Antiqua" w:hAnsi="Book Antiqua"/>
          <w:lang w:val="es-ES"/>
        </w:rPr>
        <w:t xml:space="preserve">realidad, particularidades y necesidades del sistema de salud. En lugar de aprobar la medida, la Asociación recomienda la creación de un comité de trabajo o una comisión especial que lleve a cabo una investigación integral. </w:t>
      </w:r>
    </w:p>
    <w:p w14:paraId="3936B14C" w14:textId="77777777" w:rsidR="00D03769" w:rsidRPr="00B95E0F" w:rsidRDefault="00D03769" w:rsidP="00011E09">
      <w:pPr>
        <w:tabs>
          <w:tab w:val="left" w:pos="-720"/>
        </w:tabs>
        <w:suppressAutoHyphens/>
        <w:jc w:val="both"/>
        <w:rPr>
          <w:rFonts w:ascii="Book Antiqua" w:hAnsi="Book Antiqua"/>
          <w:lang w:val="es-ES"/>
        </w:rPr>
      </w:pPr>
    </w:p>
    <w:p w14:paraId="67DD2C58" w14:textId="237E2C68" w:rsidR="00D03769" w:rsidRPr="00B95E0F" w:rsidRDefault="00D03769" w:rsidP="00D03769">
      <w:pPr>
        <w:tabs>
          <w:tab w:val="left" w:pos="-720"/>
        </w:tabs>
        <w:suppressAutoHyphens/>
        <w:jc w:val="center"/>
        <w:rPr>
          <w:rFonts w:ascii="Book Antiqua" w:hAnsi="Book Antiqua"/>
          <w:b/>
          <w:bCs/>
          <w:lang w:val="es-ES"/>
        </w:rPr>
      </w:pPr>
      <w:r w:rsidRPr="00B95E0F">
        <w:rPr>
          <w:rFonts w:ascii="Book Antiqua" w:hAnsi="Book Antiqua"/>
          <w:b/>
          <w:bCs/>
          <w:lang w:val="es-ES"/>
        </w:rPr>
        <w:t>COLEGIO DE MÉDICOS CIRUJANOS DE PUERTO RICO</w:t>
      </w:r>
    </w:p>
    <w:p w14:paraId="41DC44BD" w14:textId="77777777" w:rsidR="00D03769" w:rsidRPr="00B95E0F" w:rsidRDefault="00D03769" w:rsidP="00011E09">
      <w:pPr>
        <w:tabs>
          <w:tab w:val="left" w:pos="-720"/>
        </w:tabs>
        <w:suppressAutoHyphens/>
        <w:jc w:val="both"/>
        <w:rPr>
          <w:rFonts w:ascii="Book Antiqua" w:hAnsi="Book Antiqua"/>
          <w:lang w:val="es-ES"/>
        </w:rPr>
      </w:pPr>
    </w:p>
    <w:p w14:paraId="2474EF2D" w14:textId="212B76A3" w:rsidR="00D03769" w:rsidRPr="00B95E0F" w:rsidRDefault="00D03769" w:rsidP="00011E09">
      <w:pPr>
        <w:tabs>
          <w:tab w:val="left" w:pos="-720"/>
        </w:tabs>
        <w:suppressAutoHyphens/>
        <w:jc w:val="both"/>
        <w:rPr>
          <w:rFonts w:ascii="Book Antiqua" w:hAnsi="Book Antiqua"/>
          <w:lang w:val="es-ES"/>
        </w:rPr>
      </w:pPr>
      <w:r w:rsidRPr="00B95E0F">
        <w:rPr>
          <w:rFonts w:ascii="Book Antiqua" w:hAnsi="Book Antiqua"/>
          <w:lang w:val="es-ES"/>
        </w:rPr>
        <w:tab/>
        <w:t>El Colegio de Médicos Cirujanos de Puerto Rico</w:t>
      </w:r>
      <w:r w:rsidR="00A60748" w:rsidRPr="00B95E0F">
        <w:rPr>
          <w:rFonts w:ascii="Book Antiqua" w:hAnsi="Book Antiqua"/>
          <w:lang w:val="es-ES"/>
        </w:rPr>
        <w:t xml:space="preserve">, por entender que </w:t>
      </w:r>
      <w:r w:rsidR="00133662" w:rsidRPr="00B95E0F">
        <w:rPr>
          <w:rFonts w:ascii="Book Antiqua" w:hAnsi="Book Antiqua"/>
          <w:lang w:val="es-ES"/>
        </w:rPr>
        <w:t>el proyecto</w:t>
      </w:r>
      <w:r w:rsidR="00A60748" w:rsidRPr="00B95E0F">
        <w:rPr>
          <w:rFonts w:ascii="Book Antiqua" w:hAnsi="Book Antiqua"/>
          <w:lang w:val="es-ES"/>
        </w:rPr>
        <w:t xml:space="preserve"> introduce una redundancia normativa que no aporta nueva</w:t>
      </w:r>
      <w:r w:rsidR="00133662" w:rsidRPr="00B95E0F">
        <w:rPr>
          <w:rFonts w:ascii="Book Antiqua" w:hAnsi="Book Antiqua"/>
          <w:lang w:val="es-ES"/>
        </w:rPr>
        <w:t>s</w:t>
      </w:r>
      <w:r w:rsidR="00A60748" w:rsidRPr="00B95E0F">
        <w:rPr>
          <w:rFonts w:ascii="Book Antiqua" w:hAnsi="Book Antiqua"/>
          <w:lang w:val="es-ES"/>
        </w:rPr>
        <w:t xml:space="preserve"> soluciones, dado que las conductas descritas bajo el t</w:t>
      </w:r>
      <w:r w:rsidR="00133662" w:rsidRPr="00B95E0F">
        <w:rPr>
          <w:rFonts w:ascii="Book Antiqua" w:hAnsi="Book Antiqua"/>
          <w:lang w:val="es-ES"/>
        </w:rPr>
        <w:t>é</w:t>
      </w:r>
      <w:r w:rsidR="00A60748" w:rsidRPr="00B95E0F">
        <w:rPr>
          <w:rFonts w:ascii="Book Antiqua" w:hAnsi="Book Antiqua"/>
          <w:lang w:val="es-ES"/>
        </w:rPr>
        <w:t>rmino de violencia obstétrica ya están claramente sancionadas por el marco legal existente</w:t>
      </w:r>
      <w:r w:rsidR="00133662" w:rsidRPr="00B95E0F">
        <w:rPr>
          <w:rFonts w:ascii="Book Antiqua" w:hAnsi="Book Antiqua"/>
          <w:lang w:val="es-ES"/>
        </w:rPr>
        <w:t xml:space="preserve">, </w:t>
      </w:r>
      <w:r w:rsidRPr="00B95E0F">
        <w:rPr>
          <w:rFonts w:ascii="Book Antiqua" w:hAnsi="Book Antiqua"/>
          <w:lang w:val="es-ES"/>
        </w:rPr>
        <w:t>se opuso a la medida</w:t>
      </w:r>
      <w:r w:rsidR="00133662" w:rsidRPr="00B95E0F">
        <w:rPr>
          <w:rFonts w:ascii="Book Antiqua" w:hAnsi="Book Antiqua"/>
          <w:lang w:val="es-ES"/>
        </w:rPr>
        <w:t xml:space="preserve">. </w:t>
      </w:r>
      <w:r w:rsidR="0000000F" w:rsidRPr="00B95E0F">
        <w:rPr>
          <w:rFonts w:ascii="Book Antiqua" w:hAnsi="Book Antiqua"/>
          <w:lang w:val="es-ES"/>
        </w:rPr>
        <w:t xml:space="preserve">El Colegio expresó que </w:t>
      </w:r>
      <w:r w:rsidR="001E17AE" w:rsidRPr="00B95E0F">
        <w:rPr>
          <w:rFonts w:ascii="Book Antiqua" w:hAnsi="Book Antiqua"/>
          <w:lang w:val="es-ES"/>
        </w:rPr>
        <w:t>nuestro ordenamiento</w:t>
      </w:r>
      <w:r w:rsidR="0000000F" w:rsidRPr="00B95E0F">
        <w:rPr>
          <w:rFonts w:ascii="Book Antiqua" w:hAnsi="Book Antiqua"/>
          <w:lang w:val="es-ES"/>
        </w:rPr>
        <w:t xml:space="preserve"> establece suficientes mecanismos para identificar, sancionar y prevenir situaciones de maltrato, negligencia o abuso por parte del personal médico. </w:t>
      </w:r>
      <w:r w:rsidR="00817FBC" w:rsidRPr="00B95E0F">
        <w:rPr>
          <w:rFonts w:ascii="Book Antiqua" w:hAnsi="Book Antiqua"/>
          <w:lang w:val="es-ES"/>
        </w:rPr>
        <w:t xml:space="preserve">Establecen que esta legislación propuesta podría generar confusión en la aplicación del derecho y promovería litigios innecesarios y frívolos, diluyendo </w:t>
      </w:r>
      <w:r w:rsidR="001E17AE" w:rsidRPr="00B95E0F">
        <w:rPr>
          <w:rFonts w:ascii="Book Antiqua" w:hAnsi="Book Antiqua"/>
          <w:lang w:val="es-ES"/>
        </w:rPr>
        <w:t>esfuerzos y recursos.</w:t>
      </w:r>
      <w:r w:rsidR="0000000F" w:rsidRPr="00B95E0F">
        <w:rPr>
          <w:rFonts w:ascii="Book Antiqua" w:hAnsi="Book Antiqua"/>
          <w:lang w:val="es-ES"/>
        </w:rPr>
        <w:t xml:space="preserve"> </w:t>
      </w:r>
      <w:r w:rsidR="00D60482" w:rsidRPr="00B95E0F">
        <w:rPr>
          <w:rFonts w:ascii="Book Antiqua" w:hAnsi="Book Antiqua"/>
          <w:lang w:val="es-ES"/>
        </w:rPr>
        <w:t xml:space="preserve">En lugar de la creación de una nueva causa de acción, el Colegio aboga por una reforma integral del sistema de salud, particularmente en el ámbito </w:t>
      </w:r>
      <w:r w:rsidR="00FC0FB4" w:rsidRPr="00B95E0F">
        <w:rPr>
          <w:rFonts w:ascii="Book Antiqua" w:hAnsi="Book Antiqua"/>
          <w:lang w:val="es-ES"/>
        </w:rPr>
        <w:t xml:space="preserve">obstétrico, que fomente una cultura de respeto absoluto hacia la autonomía de la mujer gestante y que garantice el cumplimiento riguroso de protocolos en la atención del parto. </w:t>
      </w:r>
      <w:r w:rsidR="00C43237" w:rsidRPr="00B95E0F">
        <w:rPr>
          <w:rFonts w:ascii="Book Antiqua" w:hAnsi="Book Antiqua"/>
          <w:lang w:val="es-ES"/>
        </w:rPr>
        <w:t xml:space="preserve">La entidad, que agrupa a la clase médica, </w:t>
      </w:r>
      <w:r w:rsidR="00847A99" w:rsidRPr="00B95E0F">
        <w:rPr>
          <w:rFonts w:ascii="Book Antiqua" w:hAnsi="Book Antiqua"/>
          <w:lang w:val="es-ES"/>
        </w:rPr>
        <w:t xml:space="preserve">mencionó que la medida generaría un clima adverso para la práctica médica obstétrica en Puerto Rico. </w:t>
      </w:r>
      <w:r w:rsidR="007070F3" w:rsidRPr="00B95E0F">
        <w:rPr>
          <w:rFonts w:ascii="Book Antiqua" w:hAnsi="Book Antiqua"/>
          <w:lang w:val="es-ES"/>
        </w:rPr>
        <w:t xml:space="preserve">El Colegio propone: (1) priorizar la capacitación continua y obligatoria del personal médico sobre derechos reproductivos, trato digno y consentimiento </w:t>
      </w:r>
      <w:r w:rsidR="00D13DA9" w:rsidRPr="00B95E0F">
        <w:rPr>
          <w:rFonts w:ascii="Book Antiqua" w:hAnsi="Book Antiqua"/>
          <w:lang w:val="es-ES"/>
        </w:rPr>
        <w:t>informado</w:t>
      </w:r>
      <w:r w:rsidR="007070F3" w:rsidRPr="00B95E0F">
        <w:rPr>
          <w:rFonts w:ascii="Book Antiqua" w:hAnsi="Book Antiqua"/>
          <w:lang w:val="es-ES"/>
        </w:rPr>
        <w:t xml:space="preserve"> y (2) fortalecer los mecanismos existentes en la Junta de Licenciamiento para recibir, procesar y atender denunciar de conductas inapropiadas en contexto médicos. </w:t>
      </w:r>
    </w:p>
    <w:p w14:paraId="35931FC5" w14:textId="77777777" w:rsidR="00940E84" w:rsidRPr="00B95E0F" w:rsidRDefault="00940E84" w:rsidP="00011E09">
      <w:pPr>
        <w:tabs>
          <w:tab w:val="left" w:pos="-720"/>
        </w:tabs>
        <w:suppressAutoHyphens/>
        <w:jc w:val="both"/>
        <w:rPr>
          <w:rFonts w:ascii="Book Antiqua" w:hAnsi="Book Antiqua"/>
          <w:lang w:val="es-ES"/>
        </w:rPr>
      </w:pPr>
    </w:p>
    <w:p w14:paraId="302CAC3A" w14:textId="141F50AB" w:rsidR="00D13D23" w:rsidRPr="00B95E0F" w:rsidRDefault="0096171F" w:rsidP="000C52A1">
      <w:pPr>
        <w:tabs>
          <w:tab w:val="left" w:pos="-720"/>
        </w:tabs>
        <w:suppressAutoHyphens/>
        <w:ind w:firstLine="360"/>
        <w:jc w:val="center"/>
        <w:rPr>
          <w:rFonts w:ascii="Book Antiqua" w:hAnsi="Book Antiqua"/>
          <w:b/>
          <w:bCs/>
          <w:lang w:val="es-ES"/>
        </w:rPr>
      </w:pPr>
      <w:r w:rsidRPr="00B95E0F">
        <w:rPr>
          <w:rFonts w:ascii="Book Antiqua" w:hAnsi="Book Antiqua"/>
          <w:b/>
          <w:bCs/>
          <w:lang w:val="es-ES"/>
        </w:rPr>
        <w:t>I</w:t>
      </w:r>
      <w:r w:rsidR="002C402D" w:rsidRPr="00B95E0F">
        <w:rPr>
          <w:rFonts w:ascii="Book Antiqua" w:hAnsi="Book Antiqua"/>
          <w:b/>
          <w:bCs/>
          <w:lang w:val="es-ES"/>
        </w:rPr>
        <w:t>MPACTO FISCAL</w:t>
      </w:r>
      <w:r w:rsidR="00D13D23" w:rsidRPr="00B95E0F">
        <w:rPr>
          <w:rFonts w:ascii="Book Antiqua" w:hAnsi="Book Antiqua"/>
          <w:b/>
          <w:bCs/>
          <w:lang w:val="es-ES"/>
        </w:rPr>
        <w:t xml:space="preserve"> MUNICIPAL </w:t>
      </w:r>
    </w:p>
    <w:p w14:paraId="144378DC" w14:textId="77777777" w:rsidR="000C52A1" w:rsidRPr="00B95E0F" w:rsidRDefault="000C52A1" w:rsidP="000C52A1">
      <w:pPr>
        <w:tabs>
          <w:tab w:val="left" w:pos="-720"/>
        </w:tabs>
        <w:suppressAutoHyphens/>
        <w:ind w:firstLine="360"/>
        <w:jc w:val="center"/>
        <w:rPr>
          <w:rFonts w:ascii="Book Antiqua" w:hAnsi="Book Antiqua"/>
          <w:b/>
          <w:bCs/>
          <w:lang w:val="es-ES"/>
        </w:rPr>
      </w:pPr>
    </w:p>
    <w:p w14:paraId="3CD7EB56" w14:textId="43A7D9AD" w:rsidR="002C402D" w:rsidRPr="00B95E0F" w:rsidRDefault="004F6E72" w:rsidP="000C52A1">
      <w:pPr>
        <w:tabs>
          <w:tab w:val="left" w:pos="-720"/>
        </w:tabs>
        <w:suppressAutoHyphens/>
        <w:ind w:firstLine="360"/>
        <w:jc w:val="both"/>
        <w:rPr>
          <w:rFonts w:ascii="Book Antiqua" w:hAnsi="Book Antiqua"/>
          <w:lang w:val="es-ES"/>
        </w:rPr>
      </w:pPr>
      <w:r w:rsidRPr="00B95E0F">
        <w:rPr>
          <w:rFonts w:ascii="Book Antiqua" w:hAnsi="Book Antiqua"/>
          <w:lang w:val="es-ES"/>
        </w:rPr>
        <w:tab/>
      </w:r>
      <w:r w:rsidR="00822A07" w:rsidRPr="00B95E0F">
        <w:rPr>
          <w:rFonts w:ascii="Book Antiqua" w:hAnsi="Book Antiqua"/>
          <w:lang w:val="es-ES"/>
        </w:rPr>
        <w:t>En cumplimiento con el Artículo 1.007 de la Ley 107-2020, según enmendada, conocida como “Código Municipal de Puerto Rico”, la Comisión de lo Jurídico señala que, al no recomendar la aprobación del P. del S. 445, no corresponde emitir una certificación afirmativa sobre la ausencia de impacto fiscal en los gobiernos municipales.</w:t>
      </w:r>
    </w:p>
    <w:p w14:paraId="426C19E9" w14:textId="77777777" w:rsidR="00946BB4" w:rsidRPr="00B95E0F" w:rsidRDefault="00946BB4" w:rsidP="000C52A1">
      <w:pPr>
        <w:tabs>
          <w:tab w:val="left" w:pos="-720"/>
        </w:tabs>
        <w:suppressAutoHyphens/>
        <w:ind w:firstLine="360"/>
        <w:jc w:val="both"/>
        <w:rPr>
          <w:rFonts w:ascii="Book Antiqua" w:hAnsi="Book Antiqua"/>
          <w:lang w:val="es-ES"/>
        </w:rPr>
      </w:pPr>
    </w:p>
    <w:p w14:paraId="42E77FCE" w14:textId="77777777" w:rsidR="00F6015E" w:rsidRDefault="00F6015E">
      <w:pPr>
        <w:rPr>
          <w:rFonts w:ascii="Book Antiqua" w:hAnsi="Book Antiqua"/>
          <w:b/>
          <w:bCs/>
          <w:lang w:val="es-ES"/>
        </w:rPr>
      </w:pPr>
      <w:r>
        <w:rPr>
          <w:rFonts w:ascii="Book Antiqua" w:hAnsi="Book Antiqua"/>
          <w:b/>
          <w:bCs/>
          <w:lang w:val="es-ES"/>
        </w:rPr>
        <w:br w:type="page"/>
      </w:r>
    </w:p>
    <w:p w14:paraId="482AC70D" w14:textId="1B19ABFB" w:rsidR="0096171F" w:rsidRPr="00B95E0F" w:rsidRDefault="0096171F" w:rsidP="004E63CC">
      <w:pPr>
        <w:jc w:val="center"/>
        <w:rPr>
          <w:rFonts w:ascii="Book Antiqua" w:hAnsi="Book Antiqua"/>
          <w:b/>
          <w:bCs/>
          <w:lang w:val="es-ES"/>
        </w:rPr>
      </w:pPr>
      <w:r w:rsidRPr="00B95E0F">
        <w:rPr>
          <w:rFonts w:ascii="Book Antiqua" w:hAnsi="Book Antiqua"/>
          <w:b/>
          <w:bCs/>
          <w:lang w:val="es-ES"/>
        </w:rPr>
        <w:lastRenderedPageBreak/>
        <w:t>C</w:t>
      </w:r>
      <w:r w:rsidR="002C402D" w:rsidRPr="00B95E0F">
        <w:rPr>
          <w:rFonts w:ascii="Book Antiqua" w:hAnsi="Book Antiqua"/>
          <w:b/>
          <w:bCs/>
          <w:lang w:val="es-ES"/>
        </w:rPr>
        <w:t>ONCLUSIÓN</w:t>
      </w:r>
    </w:p>
    <w:p w14:paraId="040801D3" w14:textId="77777777" w:rsidR="000C52A1" w:rsidRPr="00B95E0F" w:rsidRDefault="000C52A1" w:rsidP="000C52A1">
      <w:pPr>
        <w:tabs>
          <w:tab w:val="left" w:pos="-720"/>
        </w:tabs>
        <w:suppressAutoHyphens/>
        <w:ind w:firstLine="360"/>
        <w:jc w:val="center"/>
        <w:rPr>
          <w:rFonts w:ascii="Book Antiqua" w:hAnsi="Book Antiqua"/>
          <w:b/>
          <w:bCs/>
          <w:lang w:val="es-ES"/>
        </w:rPr>
      </w:pPr>
    </w:p>
    <w:p w14:paraId="2D81B2DA" w14:textId="3BFA6C6D" w:rsidR="000B071A" w:rsidRPr="00B95E0F" w:rsidRDefault="00006DDC" w:rsidP="00DF45DC">
      <w:pPr>
        <w:tabs>
          <w:tab w:val="left" w:pos="-720"/>
        </w:tabs>
        <w:suppressAutoHyphens/>
        <w:ind w:firstLine="360"/>
        <w:jc w:val="both"/>
        <w:rPr>
          <w:rFonts w:ascii="Book Antiqua" w:hAnsi="Book Antiqua"/>
          <w:lang w:val="es-ES"/>
        </w:rPr>
      </w:pPr>
      <w:r w:rsidRPr="00B95E0F">
        <w:rPr>
          <w:rFonts w:ascii="Book Antiqua" w:hAnsi="Book Antiqua"/>
          <w:lang w:val="es-ES"/>
        </w:rPr>
        <w:tab/>
        <w:t xml:space="preserve">La </w:t>
      </w:r>
      <w:r w:rsidR="00F86C0C" w:rsidRPr="00B95E0F">
        <w:rPr>
          <w:rFonts w:ascii="Book Antiqua" w:hAnsi="Book Antiqua"/>
          <w:spacing w:val="-3"/>
          <w:lang w:val="es-ES"/>
        </w:rPr>
        <w:t>Comisión de lo Jurídico del Senado de Puerto Rico</w:t>
      </w:r>
      <w:r w:rsidR="006C283C" w:rsidRPr="00B95E0F">
        <w:rPr>
          <w:rFonts w:ascii="Book Antiqua" w:hAnsi="Book Antiqua"/>
          <w:lang w:val="es-ES"/>
        </w:rPr>
        <w:t xml:space="preserve"> </w:t>
      </w:r>
      <w:r w:rsidR="004F6E72" w:rsidRPr="00B95E0F">
        <w:rPr>
          <w:rFonts w:ascii="Book Antiqua" w:hAnsi="Book Antiqua"/>
          <w:lang w:val="es-ES"/>
        </w:rPr>
        <w:t xml:space="preserve">efectuó un análisis minucioso </w:t>
      </w:r>
      <w:r w:rsidR="00201567" w:rsidRPr="00B95E0F">
        <w:rPr>
          <w:rFonts w:ascii="Book Antiqua" w:hAnsi="Book Antiqua"/>
          <w:lang w:val="es-ES"/>
        </w:rPr>
        <w:t xml:space="preserve">del P. del S. </w:t>
      </w:r>
      <w:r w:rsidR="005F5791" w:rsidRPr="00B95E0F">
        <w:rPr>
          <w:rFonts w:ascii="Book Antiqua" w:hAnsi="Book Antiqua"/>
          <w:lang w:val="es-ES"/>
        </w:rPr>
        <w:t>445,</w:t>
      </w:r>
      <w:r w:rsidR="00B702A0" w:rsidRPr="00B95E0F">
        <w:rPr>
          <w:rFonts w:ascii="Book Antiqua" w:hAnsi="Book Antiqua"/>
          <w:lang w:val="es-ES"/>
        </w:rPr>
        <w:t xml:space="preserve"> según fue referid</w:t>
      </w:r>
      <w:r w:rsidR="00201567" w:rsidRPr="00B95E0F">
        <w:rPr>
          <w:rFonts w:ascii="Book Antiqua" w:hAnsi="Book Antiqua"/>
          <w:lang w:val="es-ES"/>
        </w:rPr>
        <w:t>o</w:t>
      </w:r>
      <w:r w:rsidR="001D12A7" w:rsidRPr="00B95E0F">
        <w:rPr>
          <w:rFonts w:ascii="Book Antiqua" w:hAnsi="Book Antiqua"/>
          <w:lang w:val="es-ES"/>
        </w:rPr>
        <w:t>,</w:t>
      </w:r>
      <w:r w:rsidR="00B702A0" w:rsidRPr="00B95E0F">
        <w:rPr>
          <w:rFonts w:ascii="Book Antiqua" w:hAnsi="Book Antiqua"/>
          <w:lang w:val="es-ES"/>
        </w:rPr>
        <w:t xml:space="preserve"> también analiz</w:t>
      </w:r>
      <w:r w:rsidR="005354C6" w:rsidRPr="00B95E0F">
        <w:rPr>
          <w:rFonts w:ascii="Book Antiqua" w:hAnsi="Book Antiqua"/>
          <w:lang w:val="es-ES"/>
        </w:rPr>
        <w:t>ó</w:t>
      </w:r>
      <w:r w:rsidR="00B702A0" w:rsidRPr="00B95E0F">
        <w:rPr>
          <w:rFonts w:ascii="Book Antiqua" w:hAnsi="Book Antiqua"/>
          <w:lang w:val="es-ES"/>
        </w:rPr>
        <w:t xml:space="preserve"> </w:t>
      </w:r>
      <w:r w:rsidR="005F5791" w:rsidRPr="00B95E0F">
        <w:rPr>
          <w:rFonts w:ascii="Book Antiqua" w:hAnsi="Book Antiqua"/>
          <w:lang w:val="es-ES"/>
        </w:rPr>
        <w:t xml:space="preserve">el Código Civil de Puerto Rico, la jurisprudencia aplicable a la mala práctica médica y los comentarios de las </w:t>
      </w:r>
      <w:r w:rsidR="00E3022F" w:rsidRPr="00B95E0F">
        <w:rPr>
          <w:rFonts w:ascii="Book Antiqua" w:hAnsi="Book Antiqua"/>
          <w:lang w:val="es-ES"/>
        </w:rPr>
        <w:t>entidades consultadas</w:t>
      </w:r>
      <w:r w:rsidR="005F5791" w:rsidRPr="00B95E0F">
        <w:rPr>
          <w:rFonts w:ascii="Book Antiqua" w:hAnsi="Book Antiqua"/>
          <w:lang w:val="es-ES"/>
        </w:rPr>
        <w:t xml:space="preserve">. </w:t>
      </w:r>
    </w:p>
    <w:p w14:paraId="065BD9BA" w14:textId="77777777" w:rsidR="001124E0" w:rsidRPr="00B95E0F" w:rsidRDefault="005F5791" w:rsidP="001124E0">
      <w:pPr>
        <w:tabs>
          <w:tab w:val="left" w:pos="-720"/>
        </w:tabs>
        <w:suppressAutoHyphens/>
        <w:ind w:firstLine="360"/>
        <w:jc w:val="both"/>
        <w:rPr>
          <w:rFonts w:ascii="Book Antiqua" w:hAnsi="Book Antiqua"/>
          <w:lang w:val="es-ES"/>
        </w:rPr>
      </w:pPr>
      <w:r w:rsidRPr="00B95E0F">
        <w:rPr>
          <w:rFonts w:ascii="Book Antiqua" w:hAnsi="Book Antiqua"/>
          <w:lang w:val="es-ES"/>
        </w:rPr>
        <w:tab/>
        <w:t xml:space="preserve">La Comisión de lo Jurídico concluye que la medida resulta innecesaria y contraproducente dentro del marco normativo vigente. El ordenamiento jurídico de Puerto Rico, mediante el Código Civil y la abundante jurisprudencia del Tribunal Supremo, ya reconoce ampliamente la responsabilidad civil extracontractual que recae sobre los profesionales de la salud por actos de impericia médica, negligencia o </w:t>
      </w:r>
      <w:r w:rsidR="001124E0" w:rsidRPr="00B95E0F">
        <w:rPr>
          <w:rFonts w:ascii="Book Antiqua" w:hAnsi="Book Antiqua"/>
          <w:lang w:val="es-ES"/>
        </w:rPr>
        <w:t>vicios</w:t>
      </w:r>
      <w:r w:rsidRPr="00B95E0F">
        <w:rPr>
          <w:rFonts w:ascii="Book Antiqua" w:hAnsi="Book Antiqua"/>
          <w:lang w:val="es-ES"/>
        </w:rPr>
        <w:t xml:space="preserve"> en el consentimiento informado. De este modo, no se puede sostener que las </w:t>
      </w:r>
      <w:r w:rsidR="001124E0" w:rsidRPr="00B95E0F">
        <w:rPr>
          <w:rFonts w:ascii="Book Antiqua" w:hAnsi="Book Antiqua"/>
          <w:lang w:val="es-ES"/>
        </w:rPr>
        <w:t>mujeres</w:t>
      </w:r>
      <w:r w:rsidRPr="00B95E0F">
        <w:rPr>
          <w:rFonts w:ascii="Book Antiqua" w:hAnsi="Book Antiqua"/>
          <w:lang w:val="es-ES"/>
        </w:rPr>
        <w:t xml:space="preserve"> gestantes carezcan de remedios efectivos frente a actuaciones médicas indebidas, pues cuentan con causas de acción consolidadas y probadas que garantizan la protección de sus derechos.</w:t>
      </w:r>
    </w:p>
    <w:p w14:paraId="06534501" w14:textId="77777777" w:rsidR="00E15A7A" w:rsidRPr="00B95E0F" w:rsidRDefault="001124E0" w:rsidP="00E15A7A">
      <w:pPr>
        <w:tabs>
          <w:tab w:val="left" w:pos="-720"/>
        </w:tabs>
        <w:suppressAutoHyphens/>
        <w:ind w:firstLine="360"/>
        <w:jc w:val="both"/>
        <w:rPr>
          <w:rFonts w:ascii="Book Antiqua" w:hAnsi="Book Antiqua"/>
          <w:lang w:val="es-ES"/>
        </w:rPr>
      </w:pPr>
      <w:r w:rsidRPr="00B95E0F">
        <w:rPr>
          <w:rFonts w:ascii="Book Antiqua" w:hAnsi="Book Antiqua"/>
          <w:lang w:val="es-ES"/>
        </w:rPr>
        <w:tab/>
        <w:t>Somos de la opinión que e</w:t>
      </w:r>
      <w:r w:rsidR="005F5791" w:rsidRPr="00B95E0F">
        <w:rPr>
          <w:rFonts w:ascii="Book Antiqua" w:hAnsi="Book Antiqua"/>
          <w:lang w:val="es-ES"/>
        </w:rPr>
        <w:t>l P. del S. 445, al intentar subsumir en el concepto de “violencia obstétrica</w:t>
      </w:r>
      <w:r w:rsidR="00BB681D" w:rsidRPr="00B95E0F">
        <w:rPr>
          <w:rFonts w:ascii="Book Antiqua" w:hAnsi="Book Antiqua"/>
          <w:lang w:val="es-ES"/>
        </w:rPr>
        <w:t>”</w:t>
      </w:r>
      <w:r w:rsidR="005F5791" w:rsidRPr="00B95E0F">
        <w:rPr>
          <w:rFonts w:ascii="Book Antiqua" w:hAnsi="Book Antiqua"/>
          <w:lang w:val="es-ES"/>
        </w:rPr>
        <w:t xml:space="preserve"> actuaciones clínicas que hoy día ya son reclamables bajo la normativa de impericia médica, introduce una duplicidad normativa que genera confusión, fragmentación del sistema jurídico y un aumento exponencial en litigios innecesarios. En lugar de aportar claridad, la medida crea un régimen sancionador desproporcionado que desvirtúa la noción jurídica de violencia al desligarla del elemento intencional que le es consustancial, imponiendo automáticamente una responsabilidad civil agravada al personal </w:t>
      </w:r>
      <w:r w:rsidR="00BB681D" w:rsidRPr="00B95E0F">
        <w:rPr>
          <w:rFonts w:ascii="Book Antiqua" w:hAnsi="Book Antiqua"/>
          <w:lang w:val="es-ES"/>
        </w:rPr>
        <w:t>que practica la obstetricia</w:t>
      </w:r>
      <w:r w:rsidR="005F5791" w:rsidRPr="00B95E0F">
        <w:rPr>
          <w:rFonts w:ascii="Book Antiqua" w:hAnsi="Book Antiqua"/>
          <w:lang w:val="es-ES"/>
        </w:rPr>
        <w:t xml:space="preserve"> sin requerir prueba de intención ni dolo. </w:t>
      </w:r>
    </w:p>
    <w:p w14:paraId="3FECB19B" w14:textId="77777777" w:rsidR="00E15A7A" w:rsidRPr="00B95E0F" w:rsidRDefault="00E15A7A" w:rsidP="00E15A7A">
      <w:pPr>
        <w:tabs>
          <w:tab w:val="left" w:pos="-720"/>
        </w:tabs>
        <w:suppressAutoHyphens/>
        <w:ind w:firstLine="360"/>
        <w:jc w:val="both"/>
        <w:rPr>
          <w:rFonts w:ascii="Book Antiqua" w:hAnsi="Book Antiqua"/>
          <w:lang w:val="es-ES"/>
        </w:rPr>
      </w:pPr>
      <w:r w:rsidRPr="00B95E0F">
        <w:rPr>
          <w:rFonts w:ascii="Book Antiqua" w:hAnsi="Book Antiqua"/>
          <w:lang w:val="es-ES"/>
        </w:rPr>
        <w:tab/>
      </w:r>
      <w:r w:rsidR="005F5791" w:rsidRPr="00B95E0F">
        <w:rPr>
          <w:rFonts w:ascii="Book Antiqua" w:hAnsi="Book Antiqua"/>
          <w:lang w:val="es-ES"/>
        </w:rPr>
        <w:t>Asimismo, la imposición de indemnizaciones equivalentes al doble del importe de los daños genera un efecto discriminatorio y desigual contra los médicos y profesionales de la obstetricia y ginecología, creando un régimen de responsabilidad agravada no por la naturaleza de la conducta en sí misma, sino por el tipo de paciente que atienden. Tal consecuencia práctica coloca a dichos profesionales en una posición de vulnerabilidad legal y económica que, lejos de resolver la problemática social que busca atender el proyecto, agrava la crisis actual del sistema de salud en Puerto Rico al incentivar la emigración y el abandono de la práctica obstétrica en la isla.</w:t>
      </w:r>
      <w:r w:rsidRPr="00B95E0F">
        <w:rPr>
          <w:rFonts w:ascii="Book Antiqua" w:hAnsi="Book Antiqua"/>
          <w:lang w:val="es-ES"/>
        </w:rPr>
        <w:t xml:space="preserve"> Coincidimos con la Asociación de Hospitales y el Colegio de Médicos Cirujanos en cuanto a</w:t>
      </w:r>
      <w:r w:rsidR="005F5791" w:rsidRPr="00B95E0F">
        <w:rPr>
          <w:rFonts w:ascii="Book Antiqua" w:hAnsi="Book Antiqua"/>
          <w:lang w:val="es-ES"/>
        </w:rPr>
        <w:t xml:space="preserve"> </w:t>
      </w:r>
      <w:r w:rsidRPr="00B95E0F">
        <w:rPr>
          <w:rFonts w:ascii="Book Antiqua" w:hAnsi="Book Antiqua"/>
          <w:lang w:val="es-ES"/>
        </w:rPr>
        <w:t>que e</w:t>
      </w:r>
      <w:r w:rsidR="005F5791" w:rsidRPr="00B95E0F">
        <w:rPr>
          <w:rFonts w:ascii="Book Antiqua" w:hAnsi="Book Antiqua"/>
          <w:lang w:val="es-ES"/>
        </w:rPr>
        <w:t>sta contradicción atenta contra la propia política pública del Estado dirigida a retener y atraer médicos especialistas, y resulta incompatible con un ordenamiento que debe procurar estabilidad y certeza para quienes ejercen la profesión médica.</w:t>
      </w:r>
    </w:p>
    <w:p w14:paraId="12984714" w14:textId="3B4A347F" w:rsidR="000B071A" w:rsidRPr="00B95E0F" w:rsidRDefault="00E15A7A" w:rsidP="00E15A7A">
      <w:pPr>
        <w:tabs>
          <w:tab w:val="left" w:pos="-720"/>
        </w:tabs>
        <w:suppressAutoHyphens/>
        <w:ind w:firstLine="360"/>
        <w:jc w:val="both"/>
        <w:rPr>
          <w:rFonts w:ascii="Book Antiqua" w:hAnsi="Book Antiqua"/>
          <w:lang w:val="es-ES"/>
        </w:rPr>
      </w:pPr>
      <w:r w:rsidRPr="00B95E0F">
        <w:rPr>
          <w:rFonts w:ascii="Book Antiqua" w:hAnsi="Book Antiqua"/>
          <w:lang w:val="es-ES"/>
        </w:rPr>
        <w:tab/>
      </w:r>
      <w:r w:rsidR="005F5791" w:rsidRPr="00B95E0F">
        <w:rPr>
          <w:rFonts w:ascii="Book Antiqua" w:hAnsi="Book Antiqua"/>
          <w:lang w:val="es-ES"/>
        </w:rPr>
        <w:t xml:space="preserve">A lo anterior se suma que </w:t>
      </w:r>
      <w:r w:rsidR="007515F0" w:rsidRPr="00B95E0F">
        <w:rPr>
          <w:rFonts w:ascii="Book Antiqua" w:hAnsi="Book Antiqua"/>
          <w:lang w:val="es-ES"/>
        </w:rPr>
        <w:t>las entidades consultadas</w:t>
      </w:r>
      <w:r w:rsidR="005F5791" w:rsidRPr="00B95E0F">
        <w:rPr>
          <w:rFonts w:ascii="Book Antiqua" w:hAnsi="Book Antiqua"/>
          <w:lang w:val="es-ES"/>
        </w:rPr>
        <w:t xml:space="preserve"> han coincidido en señalar que el proyecto representa una redundancia normativa que no aporta soluciones reales, sino que introduce riesgos adicionales de litigación frívola, incertidumbre jurídica y un clima adverso para la práctica médica. </w:t>
      </w:r>
    </w:p>
    <w:p w14:paraId="7F17F626" w14:textId="77777777" w:rsidR="00E3022F" w:rsidRDefault="007515F0" w:rsidP="006D5838">
      <w:pPr>
        <w:tabs>
          <w:tab w:val="left" w:pos="-720"/>
        </w:tabs>
        <w:suppressAutoHyphens/>
        <w:ind w:firstLine="360"/>
        <w:jc w:val="both"/>
        <w:rPr>
          <w:rFonts w:ascii="Book Antiqua" w:hAnsi="Book Antiqua"/>
          <w:b/>
          <w:bCs/>
          <w:lang w:val="es-ES"/>
        </w:rPr>
      </w:pPr>
      <w:r w:rsidRPr="00B95E0F">
        <w:rPr>
          <w:rFonts w:ascii="Book Antiqua" w:hAnsi="Book Antiqua"/>
          <w:b/>
          <w:bCs/>
          <w:lang w:val="es-ES"/>
        </w:rPr>
        <w:tab/>
      </w:r>
    </w:p>
    <w:p w14:paraId="7885E90D" w14:textId="24744221" w:rsidR="00DF45DC" w:rsidRPr="00B95E0F" w:rsidRDefault="00F6015E" w:rsidP="006D5838">
      <w:pPr>
        <w:tabs>
          <w:tab w:val="left" w:pos="-720"/>
        </w:tabs>
        <w:suppressAutoHyphens/>
        <w:ind w:firstLine="360"/>
        <w:jc w:val="both"/>
        <w:rPr>
          <w:rFonts w:ascii="Book Antiqua" w:hAnsi="Book Antiqua"/>
          <w:lang w:val="es-ES"/>
        </w:rPr>
      </w:pPr>
      <w:r>
        <w:rPr>
          <w:rFonts w:ascii="Book Antiqua" w:hAnsi="Book Antiqua"/>
          <w:b/>
          <w:bCs/>
          <w:lang w:val="es-ES"/>
        </w:rPr>
        <w:lastRenderedPageBreak/>
        <w:tab/>
      </w:r>
      <w:r w:rsidR="0096171F" w:rsidRPr="00B95E0F">
        <w:rPr>
          <w:rFonts w:ascii="Book Antiqua" w:hAnsi="Book Antiqua"/>
          <w:b/>
          <w:bCs/>
          <w:lang w:val="es-ES"/>
        </w:rPr>
        <w:t>POR TODO LO ANTES EXPUESTO</w:t>
      </w:r>
      <w:r w:rsidR="0096171F" w:rsidRPr="00B95E0F">
        <w:rPr>
          <w:rFonts w:ascii="Book Antiqua" w:hAnsi="Book Antiqua"/>
          <w:lang w:val="es-ES"/>
        </w:rPr>
        <w:t xml:space="preserve">, la </w:t>
      </w:r>
      <w:r w:rsidR="001D12A7" w:rsidRPr="00B95E0F">
        <w:rPr>
          <w:rFonts w:ascii="Book Antiqua" w:hAnsi="Book Antiqua"/>
          <w:spacing w:val="-3"/>
          <w:lang w:val="es-ES"/>
        </w:rPr>
        <w:t>Comisión de lo Jurídico del Senado de Puerto Rico</w:t>
      </w:r>
      <w:r w:rsidR="001D12A7" w:rsidRPr="00B95E0F">
        <w:rPr>
          <w:rFonts w:ascii="Book Antiqua" w:hAnsi="Book Antiqua"/>
          <w:lang w:val="es-ES"/>
        </w:rPr>
        <w:t xml:space="preserve"> </w:t>
      </w:r>
      <w:r w:rsidR="00006DDC" w:rsidRPr="00B95E0F">
        <w:rPr>
          <w:rFonts w:ascii="Book Antiqua" w:hAnsi="Book Antiqua"/>
          <w:lang w:val="es-ES"/>
        </w:rPr>
        <w:t xml:space="preserve">tiene a bien presentar ante este Alto Cuerpo el Informe </w:t>
      </w:r>
      <w:r w:rsidR="007515F0" w:rsidRPr="00B95E0F">
        <w:rPr>
          <w:rFonts w:ascii="Book Antiqua" w:hAnsi="Book Antiqua"/>
          <w:lang w:val="es-ES"/>
        </w:rPr>
        <w:t>Negativo</w:t>
      </w:r>
      <w:r w:rsidR="00006DDC" w:rsidRPr="00B95E0F">
        <w:rPr>
          <w:rFonts w:ascii="Book Antiqua" w:hAnsi="Book Antiqua"/>
          <w:lang w:val="es-ES"/>
        </w:rPr>
        <w:t xml:space="preserve"> sobre el </w:t>
      </w:r>
      <w:r w:rsidR="007515F0" w:rsidRPr="00B95E0F">
        <w:rPr>
          <w:rFonts w:ascii="Book Antiqua" w:hAnsi="Book Antiqua"/>
          <w:b/>
          <w:bCs/>
          <w:lang w:val="es-ES"/>
        </w:rPr>
        <w:t xml:space="preserve">Proyecto del Senado 445, </w:t>
      </w:r>
      <w:r w:rsidR="007515F0" w:rsidRPr="00B95E0F">
        <w:rPr>
          <w:rFonts w:ascii="Book Antiqua" w:hAnsi="Book Antiqua"/>
          <w:lang w:val="es-ES"/>
        </w:rPr>
        <w:t>no</w:t>
      </w:r>
      <w:r w:rsidR="00006DDC" w:rsidRPr="00B95E0F">
        <w:rPr>
          <w:rFonts w:ascii="Book Antiqua" w:hAnsi="Book Antiqua"/>
          <w:lang w:val="es-ES"/>
        </w:rPr>
        <w:t xml:space="preserve"> recomendando su aprobación</w:t>
      </w:r>
      <w:r w:rsidR="007515F0" w:rsidRPr="00B95E0F">
        <w:rPr>
          <w:rFonts w:ascii="Book Antiqua" w:hAnsi="Book Antiqua"/>
          <w:lang w:val="es-ES"/>
        </w:rPr>
        <w:t>.</w:t>
      </w:r>
    </w:p>
    <w:p w14:paraId="02F3C812" w14:textId="77777777" w:rsidR="006861CE" w:rsidRPr="00B95E0F" w:rsidRDefault="006861CE" w:rsidP="00337BB7">
      <w:pPr>
        <w:tabs>
          <w:tab w:val="left" w:pos="-720"/>
        </w:tabs>
        <w:suppressAutoHyphens/>
        <w:spacing w:line="360" w:lineRule="auto"/>
        <w:rPr>
          <w:rFonts w:ascii="Book Antiqua" w:hAnsi="Book Antiqua"/>
          <w:lang w:val="es-ES"/>
        </w:rPr>
      </w:pPr>
    </w:p>
    <w:p w14:paraId="10325F5D" w14:textId="19CB1C89" w:rsidR="00006DDC" w:rsidRPr="00B95E0F" w:rsidRDefault="00547C2D" w:rsidP="00E3022F">
      <w:pPr>
        <w:rPr>
          <w:rFonts w:ascii="Book Antiqua" w:hAnsi="Book Antiqua"/>
          <w:b/>
          <w:bCs/>
          <w:lang w:val="es-ES"/>
        </w:rPr>
      </w:pPr>
      <w:r w:rsidRPr="00B95E0F">
        <w:rPr>
          <w:rFonts w:ascii="Book Antiqua" w:hAnsi="Book Antiqua"/>
          <w:b/>
          <w:bCs/>
          <w:lang w:val="es-ES"/>
        </w:rPr>
        <w:t>RESPETUOSAMENTE SOMETIDO</w:t>
      </w:r>
      <w:r w:rsidR="007515F0" w:rsidRPr="00B95E0F">
        <w:rPr>
          <w:rFonts w:ascii="Book Antiqua" w:hAnsi="Book Antiqua"/>
          <w:b/>
          <w:bCs/>
          <w:lang w:val="es-ES"/>
        </w:rPr>
        <w:t>.</w:t>
      </w:r>
    </w:p>
    <w:p w14:paraId="2444C5B2" w14:textId="77777777" w:rsidR="00552B8A" w:rsidRPr="00B95E0F"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B95E0F" w:rsidRDefault="00242E80" w:rsidP="00EE4536">
      <w:pPr>
        <w:tabs>
          <w:tab w:val="left" w:pos="-720"/>
        </w:tabs>
        <w:suppressAutoHyphens/>
        <w:rPr>
          <w:rFonts w:ascii="Book Antiqua" w:hAnsi="Book Antiqua"/>
          <w:b/>
          <w:bCs/>
          <w:lang w:val="es-ES"/>
        </w:rPr>
      </w:pPr>
    </w:p>
    <w:p w14:paraId="6AE93B69" w14:textId="6641F2FE" w:rsidR="00AB2E69" w:rsidRPr="00B95E0F" w:rsidRDefault="00D8699D" w:rsidP="00EE4536">
      <w:pPr>
        <w:tabs>
          <w:tab w:val="left" w:pos="-720"/>
        </w:tabs>
        <w:suppressAutoHyphens/>
        <w:rPr>
          <w:rFonts w:ascii="Book Antiqua" w:hAnsi="Book Antiqua"/>
          <w:b/>
          <w:bCs/>
          <w:lang w:val="es-ES"/>
        </w:rPr>
      </w:pPr>
      <w:proofErr w:type="spellStart"/>
      <w:r w:rsidRPr="00B95E0F">
        <w:rPr>
          <w:rFonts w:ascii="Book Antiqua" w:hAnsi="Book Antiqua"/>
          <w:b/>
          <w:bCs/>
          <w:lang w:val="es-ES"/>
        </w:rPr>
        <w:t>Hon</w:t>
      </w:r>
      <w:proofErr w:type="spellEnd"/>
      <w:r w:rsidRPr="00B95E0F">
        <w:rPr>
          <w:rFonts w:ascii="Book Antiqua" w:hAnsi="Book Antiqua"/>
          <w:b/>
          <w:bCs/>
          <w:lang w:val="es-ES"/>
        </w:rPr>
        <w:t xml:space="preserve">. </w:t>
      </w:r>
      <w:r w:rsidR="001D12A7" w:rsidRPr="00B95E0F">
        <w:rPr>
          <w:rFonts w:ascii="Book Antiqua" w:hAnsi="Book Antiqua"/>
          <w:b/>
          <w:bCs/>
          <w:lang w:val="es-ES"/>
        </w:rPr>
        <w:t>Ángel A. Toledo López</w:t>
      </w:r>
    </w:p>
    <w:p w14:paraId="1665555A" w14:textId="77777777" w:rsidR="004F6E72" w:rsidRPr="00B95E0F" w:rsidRDefault="00AB2E69" w:rsidP="00EE4536">
      <w:pPr>
        <w:tabs>
          <w:tab w:val="left" w:pos="-720"/>
        </w:tabs>
        <w:suppressAutoHyphens/>
        <w:rPr>
          <w:rFonts w:ascii="Book Antiqua" w:hAnsi="Book Antiqua"/>
          <w:lang w:val="es-ES"/>
        </w:rPr>
      </w:pPr>
      <w:r w:rsidRPr="00B95E0F">
        <w:rPr>
          <w:rFonts w:ascii="Book Antiqua" w:hAnsi="Book Antiqua"/>
          <w:lang w:val="es-ES"/>
        </w:rPr>
        <w:t>Presidente</w:t>
      </w:r>
    </w:p>
    <w:p w14:paraId="3FF3D27A" w14:textId="77777777" w:rsidR="001D12A7" w:rsidRPr="00B95E0F" w:rsidRDefault="001D12A7" w:rsidP="001D12A7">
      <w:pPr>
        <w:tabs>
          <w:tab w:val="left" w:pos="-720"/>
        </w:tabs>
        <w:suppressAutoHyphens/>
        <w:rPr>
          <w:rFonts w:ascii="Book Antiqua" w:hAnsi="Book Antiqua"/>
          <w:spacing w:val="-3"/>
          <w:lang w:val="es-ES"/>
        </w:rPr>
      </w:pPr>
      <w:r w:rsidRPr="00B95E0F">
        <w:rPr>
          <w:rFonts w:ascii="Book Antiqua" w:hAnsi="Book Antiqua"/>
          <w:spacing w:val="-3"/>
          <w:lang w:val="es-ES"/>
        </w:rPr>
        <w:t xml:space="preserve">Comisión de lo Jurídico </w:t>
      </w:r>
    </w:p>
    <w:p w14:paraId="13BD9EC9" w14:textId="752FFDA9" w:rsidR="000B3411" w:rsidRPr="00B95E0F" w:rsidRDefault="001D12A7" w:rsidP="00105947">
      <w:pPr>
        <w:tabs>
          <w:tab w:val="left" w:pos="-720"/>
        </w:tabs>
        <w:suppressAutoHyphens/>
        <w:rPr>
          <w:rFonts w:ascii="Book Antiqua" w:hAnsi="Book Antiqua"/>
          <w:spacing w:val="-3"/>
          <w:lang w:val="es-ES"/>
        </w:rPr>
      </w:pPr>
      <w:r w:rsidRPr="00B95E0F">
        <w:rPr>
          <w:rFonts w:ascii="Book Antiqua" w:hAnsi="Book Antiqua"/>
          <w:spacing w:val="-3"/>
          <w:lang w:val="es-ES"/>
        </w:rPr>
        <w:t>Senado de Puerto Rico</w:t>
      </w:r>
    </w:p>
    <w:sectPr w:rsidR="000B3411" w:rsidRPr="00B95E0F"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9D44B" w14:textId="77777777" w:rsidR="00A43B8C" w:rsidRDefault="00A43B8C">
      <w:r>
        <w:separator/>
      </w:r>
    </w:p>
  </w:endnote>
  <w:endnote w:type="continuationSeparator" w:id="0">
    <w:p w14:paraId="4DA1B29D" w14:textId="77777777" w:rsidR="00A43B8C" w:rsidRDefault="00A43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E832D" w14:textId="77777777" w:rsidR="00A43B8C" w:rsidRDefault="00A43B8C">
      <w:r>
        <w:separator/>
      </w:r>
    </w:p>
  </w:footnote>
  <w:footnote w:type="continuationSeparator" w:id="0">
    <w:p w14:paraId="64F6A0EA" w14:textId="77777777" w:rsidR="00A43B8C" w:rsidRDefault="00A43B8C">
      <w:r>
        <w:continuationSeparator/>
      </w:r>
    </w:p>
  </w:footnote>
  <w:footnote w:id="1">
    <w:p w14:paraId="1B5DB072" w14:textId="5B18D363" w:rsidR="0057693B" w:rsidRDefault="0057693B">
      <w:pPr>
        <w:pStyle w:val="FootnoteText"/>
      </w:pPr>
      <w:r>
        <w:rPr>
          <w:rStyle w:val="FootnoteReference"/>
        </w:rPr>
        <w:footnoteRef/>
      </w:r>
      <w:r>
        <w:t xml:space="preserve"> </w:t>
      </w:r>
      <w:proofErr w:type="spellStart"/>
      <w:r w:rsidR="00455108" w:rsidRPr="00455108">
        <w:rPr>
          <w:smallCaps/>
        </w:rPr>
        <w:t>Cód</w:t>
      </w:r>
      <w:proofErr w:type="spellEnd"/>
      <w:r w:rsidR="00455108" w:rsidRPr="00455108">
        <w:rPr>
          <w:smallCaps/>
        </w:rPr>
        <w:t>. Civ. PR</w:t>
      </w:r>
      <w:r w:rsidR="00455108">
        <w:t xml:space="preserve"> Art. 1536, </w:t>
      </w:r>
      <w:r w:rsidR="00455108" w:rsidRPr="00455108">
        <w:t>31 LPRA § 10801</w:t>
      </w:r>
      <w:r w:rsidR="00455108">
        <w:t>.</w:t>
      </w:r>
    </w:p>
  </w:footnote>
  <w:footnote w:id="2">
    <w:p w14:paraId="5036794F" w14:textId="1E76FBBD" w:rsidR="002B0512" w:rsidRPr="002B0512" w:rsidRDefault="002B0512">
      <w:pPr>
        <w:pStyle w:val="FootnoteText"/>
        <w:rPr>
          <w:lang w:val="es-ES"/>
        </w:rPr>
      </w:pPr>
      <w:r>
        <w:rPr>
          <w:rStyle w:val="FootnoteReference"/>
        </w:rPr>
        <w:footnoteRef/>
      </w:r>
      <w:r w:rsidRPr="002B0512">
        <w:rPr>
          <w:lang w:val="es-ES"/>
        </w:rPr>
        <w:t xml:space="preserve"> </w:t>
      </w:r>
      <w:r w:rsidRPr="002B0512">
        <w:rPr>
          <w:i/>
          <w:iCs/>
          <w:lang w:val="es-ES"/>
        </w:rPr>
        <w:t>Véanse</w:t>
      </w:r>
      <w:r>
        <w:rPr>
          <w:lang w:val="es-ES"/>
        </w:rPr>
        <w:t xml:space="preserve"> </w:t>
      </w:r>
      <w:r w:rsidRPr="002B0512">
        <w:rPr>
          <w:lang w:val="es-ES"/>
        </w:rPr>
        <w:t xml:space="preserve">Nieves Diaz v. González </w:t>
      </w:r>
      <w:proofErr w:type="spellStart"/>
      <w:r w:rsidRPr="002B0512">
        <w:rPr>
          <w:lang w:val="es-ES"/>
        </w:rPr>
        <w:t>Massas</w:t>
      </w:r>
      <w:proofErr w:type="spellEnd"/>
      <w:r w:rsidRPr="002B0512">
        <w:rPr>
          <w:lang w:val="es-ES"/>
        </w:rPr>
        <w:t xml:space="preserve">, 178 DPR 820, 843 (2010); López v. </w:t>
      </w:r>
      <w:proofErr w:type="spellStart"/>
      <w:r w:rsidRPr="002B0512">
        <w:rPr>
          <w:lang w:val="es-ES"/>
        </w:rPr>
        <w:t>Porrata</w:t>
      </w:r>
      <w:proofErr w:type="spellEnd"/>
      <w:r w:rsidRPr="002B0512">
        <w:rPr>
          <w:lang w:val="es-ES"/>
        </w:rPr>
        <w:t xml:space="preserve"> Doria, 169 DPR 135, 150 (2006).</w:t>
      </w:r>
    </w:p>
  </w:footnote>
  <w:footnote w:id="3">
    <w:p w14:paraId="48AE359A" w14:textId="1C546809" w:rsidR="00F232DC" w:rsidRPr="00F232DC" w:rsidRDefault="00F232DC">
      <w:pPr>
        <w:pStyle w:val="FootnoteText"/>
        <w:rPr>
          <w:lang w:val="es-ES"/>
        </w:rPr>
      </w:pPr>
      <w:r>
        <w:rPr>
          <w:rStyle w:val="FootnoteReference"/>
        </w:rPr>
        <w:footnoteRef/>
      </w:r>
      <w:r w:rsidRPr="00F232DC">
        <w:rPr>
          <w:lang w:val="es-ES"/>
        </w:rPr>
        <w:t xml:space="preserve"> Maderas Tratadas v. </w:t>
      </w:r>
      <w:proofErr w:type="spellStart"/>
      <w:r w:rsidRPr="00F232DC">
        <w:rPr>
          <w:lang w:val="es-ES"/>
        </w:rPr>
        <w:t>Sun</w:t>
      </w:r>
      <w:proofErr w:type="spellEnd"/>
      <w:r w:rsidRPr="00F232DC">
        <w:rPr>
          <w:lang w:val="es-ES"/>
        </w:rPr>
        <w:t xml:space="preserve"> Alliance, 185 DPR 880, 908 (2012).</w:t>
      </w:r>
    </w:p>
  </w:footnote>
  <w:footnote w:id="4">
    <w:p w14:paraId="5CA78999" w14:textId="00BF943A" w:rsidR="00F232DC" w:rsidRPr="00492B5E" w:rsidRDefault="00F232DC" w:rsidP="00F232DC">
      <w:pPr>
        <w:pStyle w:val="FootnoteText"/>
        <w:rPr>
          <w:lang w:val="es-ES"/>
        </w:rPr>
      </w:pPr>
      <w:r>
        <w:rPr>
          <w:rStyle w:val="FootnoteReference"/>
        </w:rPr>
        <w:footnoteRef/>
      </w:r>
      <w:r w:rsidRPr="00492B5E">
        <w:rPr>
          <w:lang w:val="es-ES"/>
        </w:rPr>
        <w:t xml:space="preserve"> </w:t>
      </w:r>
      <w:r w:rsidRPr="002B0512">
        <w:rPr>
          <w:i/>
          <w:iCs/>
          <w:lang w:val="es-ES"/>
        </w:rPr>
        <w:t>Véanse</w:t>
      </w:r>
      <w:r>
        <w:rPr>
          <w:lang w:val="es-ES"/>
        </w:rPr>
        <w:t xml:space="preserve"> </w:t>
      </w:r>
      <w:proofErr w:type="spellStart"/>
      <w:r w:rsidRPr="00F232DC">
        <w:rPr>
          <w:lang w:val="es-ES"/>
        </w:rPr>
        <w:t>Sucns</w:t>
      </w:r>
      <w:proofErr w:type="spellEnd"/>
      <w:r w:rsidRPr="00F232DC">
        <w:rPr>
          <w:lang w:val="es-ES"/>
        </w:rPr>
        <w:t>. Vega Marrero v. AEE, 149 DPR 159, 169-170 (1999); Montalvo v. Cruz, 144 DPR 748, 755-756 (1998).</w:t>
      </w:r>
    </w:p>
  </w:footnote>
  <w:footnote w:id="5">
    <w:p w14:paraId="60750D46" w14:textId="64CE95CB" w:rsidR="00F232DC" w:rsidRPr="005244BE" w:rsidRDefault="00F232DC">
      <w:pPr>
        <w:pStyle w:val="FootnoteText"/>
        <w:rPr>
          <w:lang w:val="es-ES"/>
        </w:rPr>
      </w:pPr>
      <w:r>
        <w:rPr>
          <w:rStyle w:val="FootnoteReference"/>
        </w:rPr>
        <w:footnoteRef/>
      </w:r>
      <w:r w:rsidRPr="005244BE">
        <w:rPr>
          <w:lang w:val="es-ES"/>
        </w:rPr>
        <w:t xml:space="preserve"> </w:t>
      </w:r>
      <w:proofErr w:type="spellStart"/>
      <w:r w:rsidR="005244BE" w:rsidRPr="005244BE">
        <w:rPr>
          <w:lang w:val="es-ES"/>
        </w:rPr>
        <w:t>Monllor</w:t>
      </w:r>
      <w:proofErr w:type="spellEnd"/>
      <w:r w:rsidR="005244BE" w:rsidRPr="005244BE">
        <w:rPr>
          <w:lang w:val="es-ES"/>
        </w:rPr>
        <w:t xml:space="preserve"> v. Soc. de Gananciales, 138 DPR 600, 604 (1995).</w:t>
      </w:r>
    </w:p>
  </w:footnote>
  <w:footnote w:id="6">
    <w:p w14:paraId="721B6F9C" w14:textId="625F5532" w:rsidR="006E23B2" w:rsidRPr="00492B5E" w:rsidRDefault="006E23B2">
      <w:pPr>
        <w:pStyle w:val="FootnoteText"/>
        <w:rPr>
          <w:lang w:val="es-ES"/>
        </w:rPr>
      </w:pPr>
      <w:r>
        <w:rPr>
          <w:rStyle w:val="FootnoteReference"/>
        </w:rPr>
        <w:footnoteRef/>
      </w:r>
      <w:r w:rsidRPr="00492B5E">
        <w:rPr>
          <w:lang w:val="es-ES"/>
        </w:rPr>
        <w:t xml:space="preserve"> Rodríguez v. Hospital, 186 DPR 889, 900 (2016).</w:t>
      </w:r>
    </w:p>
  </w:footnote>
  <w:footnote w:id="7">
    <w:p w14:paraId="2648586D" w14:textId="2BD22957" w:rsidR="00B2120A" w:rsidRPr="00B2120A" w:rsidRDefault="00B2120A">
      <w:pPr>
        <w:pStyle w:val="FootnoteText"/>
        <w:rPr>
          <w:lang w:val="es-ES"/>
        </w:rPr>
      </w:pPr>
      <w:r>
        <w:rPr>
          <w:rStyle w:val="FootnoteReference"/>
        </w:rPr>
        <w:footnoteRef/>
      </w:r>
      <w:r w:rsidRPr="00B2120A">
        <w:rPr>
          <w:lang w:val="es-ES"/>
        </w:rPr>
        <w:t xml:space="preserve"> Soto Cabral v ELA, 138 DPR 298, 308-309 (1995).</w:t>
      </w:r>
    </w:p>
  </w:footnote>
  <w:footnote w:id="8">
    <w:p w14:paraId="34D90EBB" w14:textId="7BBA0C41" w:rsidR="009B54DB" w:rsidRPr="009B54DB" w:rsidRDefault="009B54DB">
      <w:pPr>
        <w:pStyle w:val="FootnoteText"/>
        <w:rPr>
          <w:lang w:val="es-ES"/>
        </w:rPr>
      </w:pPr>
      <w:r>
        <w:rPr>
          <w:rStyle w:val="FootnoteReference"/>
        </w:rPr>
        <w:footnoteRef/>
      </w:r>
      <w:r w:rsidRPr="009B54DB">
        <w:rPr>
          <w:lang w:val="es-ES"/>
        </w:rPr>
        <w:t xml:space="preserve"> </w:t>
      </w:r>
      <w:r w:rsidRPr="002B0512">
        <w:rPr>
          <w:i/>
          <w:iCs/>
          <w:lang w:val="es-ES"/>
        </w:rPr>
        <w:t>Véanse</w:t>
      </w:r>
      <w:r>
        <w:rPr>
          <w:lang w:val="es-ES"/>
        </w:rPr>
        <w:t xml:space="preserve"> </w:t>
      </w:r>
      <w:r w:rsidRPr="009B54DB">
        <w:rPr>
          <w:lang w:val="es-ES"/>
        </w:rPr>
        <w:t xml:space="preserve">López v. Dr. Cañizares, 163 DPR 119, 134-135 (2004); </w:t>
      </w:r>
      <w:proofErr w:type="spellStart"/>
      <w:r w:rsidRPr="009B54DB">
        <w:rPr>
          <w:lang w:val="es-ES"/>
        </w:rPr>
        <w:t>Blás</w:t>
      </w:r>
      <w:proofErr w:type="spellEnd"/>
      <w:r w:rsidRPr="009B54DB">
        <w:rPr>
          <w:lang w:val="es-ES"/>
        </w:rPr>
        <w:t xml:space="preserve"> v. Hosp</w:t>
      </w:r>
      <w:r>
        <w:rPr>
          <w:lang w:val="es-ES"/>
        </w:rPr>
        <w:t>ital</w:t>
      </w:r>
      <w:r w:rsidRPr="009B54DB">
        <w:rPr>
          <w:lang w:val="es-ES"/>
        </w:rPr>
        <w:t xml:space="preserve"> Guadalupe, 146 DPR 267, 324 (1998)</w:t>
      </w:r>
      <w:r>
        <w:rPr>
          <w:lang w:val="es-ES"/>
        </w:rPr>
        <w:t>;</w:t>
      </w:r>
      <w:r w:rsidRPr="009B54DB">
        <w:rPr>
          <w:lang w:val="es-ES"/>
        </w:rPr>
        <w:t xml:space="preserve"> Santiago Otero v. Méndez, 135 DPR 540, 549 (1994).</w:t>
      </w:r>
    </w:p>
  </w:footnote>
  <w:footnote w:id="9">
    <w:p w14:paraId="524B1A59" w14:textId="0F0A0C1D" w:rsidR="003A36CC" w:rsidRPr="003A36CC" w:rsidRDefault="003A36CC">
      <w:pPr>
        <w:pStyle w:val="FootnoteText"/>
        <w:rPr>
          <w:lang w:val="es-ES"/>
        </w:rPr>
      </w:pPr>
      <w:r>
        <w:rPr>
          <w:rStyle w:val="FootnoteReference"/>
        </w:rPr>
        <w:footnoteRef/>
      </w:r>
      <w:r w:rsidRPr="003A36CC">
        <w:rPr>
          <w:lang w:val="es-ES"/>
        </w:rPr>
        <w:t xml:space="preserve"> </w:t>
      </w:r>
      <w:r w:rsidRPr="003A36CC">
        <w:rPr>
          <w:i/>
          <w:iCs/>
          <w:lang w:val="es-ES"/>
        </w:rPr>
        <w:t>López v. Dr. Cañizares</w:t>
      </w:r>
      <w:r w:rsidRPr="003A36CC">
        <w:rPr>
          <w:lang w:val="es-ES"/>
        </w:rPr>
        <w:t>, 163 DPR en la pág. 133</w:t>
      </w:r>
      <w:r>
        <w:rPr>
          <w:lang w:val="es-ES"/>
        </w:rPr>
        <w:t>.</w:t>
      </w:r>
    </w:p>
  </w:footnote>
  <w:footnote w:id="10">
    <w:p w14:paraId="069F068D" w14:textId="3BFA3ACD" w:rsidR="00C8168E" w:rsidRPr="00492B5E" w:rsidRDefault="00C8168E">
      <w:pPr>
        <w:pStyle w:val="FootnoteText"/>
        <w:rPr>
          <w:lang w:val="es-ES"/>
        </w:rPr>
      </w:pPr>
      <w:r>
        <w:rPr>
          <w:rStyle w:val="FootnoteReference"/>
        </w:rPr>
        <w:footnoteRef/>
      </w:r>
      <w:r w:rsidRPr="00492B5E">
        <w:rPr>
          <w:lang w:val="es-ES"/>
        </w:rPr>
        <w:t xml:space="preserve"> </w:t>
      </w:r>
      <w:r w:rsidRPr="00492B5E">
        <w:rPr>
          <w:i/>
          <w:iCs/>
          <w:lang w:val="es-ES"/>
        </w:rPr>
        <w:t>Id</w:t>
      </w:r>
      <w:r w:rsidRPr="00492B5E">
        <w:rPr>
          <w:lang w:val="es-ES"/>
        </w:rPr>
        <w:t>. en la págs. 132-134.</w:t>
      </w:r>
    </w:p>
  </w:footnote>
  <w:footnote w:id="11">
    <w:p w14:paraId="172B83B9" w14:textId="561730CA" w:rsidR="00C8168E" w:rsidRPr="000D0398" w:rsidRDefault="00C8168E">
      <w:pPr>
        <w:pStyle w:val="FootnoteText"/>
        <w:rPr>
          <w:lang w:val="es-ES"/>
        </w:rPr>
      </w:pPr>
      <w:r>
        <w:rPr>
          <w:rStyle w:val="FootnoteReference"/>
        </w:rPr>
        <w:footnoteRef/>
      </w:r>
      <w:r w:rsidRPr="000D0398">
        <w:rPr>
          <w:lang w:val="es-ES"/>
        </w:rPr>
        <w:t xml:space="preserve"> </w:t>
      </w:r>
      <w:r w:rsidR="000D0398" w:rsidRPr="000D0398">
        <w:rPr>
          <w:lang w:val="es-ES"/>
        </w:rPr>
        <w:t>Arrieta v. Dr. de la Vega, 165 DPR 538 (2005); Medina Santiago v. Vélez, 120 DPR 380, 385 (1988).</w:t>
      </w:r>
    </w:p>
  </w:footnote>
  <w:footnote w:id="12">
    <w:p w14:paraId="41350F2D" w14:textId="2A5F7C0B" w:rsidR="0017277D" w:rsidRPr="0017277D" w:rsidRDefault="0017277D">
      <w:pPr>
        <w:pStyle w:val="FootnoteText"/>
        <w:rPr>
          <w:lang w:val="es-ES"/>
        </w:rPr>
      </w:pPr>
      <w:r>
        <w:rPr>
          <w:rStyle w:val="FootnoteReference"/>
        </w:rPr>
        <w:footnoteRef/>
      </w:r>
      <w:r w:rsidRPr="0017277D">
        <w:rPr>
          <w:lang w:val="es-ES"/>
        </w:rPr>
        <w:t xml:space="preserve"> </w:t>
      </w:r>
      <w:r w:rsidRPr="0017277D">
        <w:rPr>
          <w:i/>
          <w:iCs/>
          <w:lang w:val="es-ES"/>
        </w:rPr>
        <w:t>Medina Santiago v. Vélez</w:t>
      </w:r>
      <w:r w:rsidRPr="0017277D">
        <w:rPr>
          <w:lang w:val="es-ES"/>
        </w:rPr>
        <w:t>, 120 DPR en la pág. 385.</w:t>
      </w:r>
    </w:p>
  </w:footnote>
  <w:footnote w:id="13">
    <w:p w14:paraId="7A6ECCD1" w14:textId="75B55230" w:rsidR="005E0502" w:rsidRPr="00D6491A" w:rsidRDefault="005E0502">
      <w:pPr>
        <w:pStyle w:val="FootnoteText"/>
      </w:pPr>
      <w:r>
        <w:rPr>
          <w:rStyle w:val="FootnoteReference"/>
        </w:rPr>
        <w:footnoteRef/>
      </w:r>
      <w:r w:rsidRPr="00D6491A">
        <w:t xml:space="preserve"> Oliveros v. Abréu, 101 DPR 209, 224 (1973). </w:t>
      </w:r>
    </w:p>
  </w:footnote>
  <w:footnote w:id="14">
    <w:p w14:paraId="3111A9F8" w14:textId="6B535D67" w:rsidR="00D355C0" w:rsidRDefault="00D355C0">
      <w:pPr>
        <w:pStyle w:val="FootnoteText"/>
      </w:pPr>
      <w:r>
        <w:rPr>
          <w:rStyle w:val="FootnoteReference"/>
        </w:rPr>
        <w:footnoteRef/>
      </w:r>
      <w:r>
        <w:t xml:space="preserve"> </w:t>
      </w:r>
      <w:r w:rsidRPr="00D355C0">
        <w:rPr>
          <w:i/>
          <w:iCs/>
        </w:rPr>
        <w:t>Id</w:t>
      </w:r>
      <w:r>
        <w:t>. (</w:t>
      </w:r>
      <w:proofErr w:type="spellStart"/>
      <w:r w:rsidRPr="00D355C0">
        <w:rPr>
          <w:i/>
          <w:iCs/>
        </w:rPr>
        <w:t>citando</w:t>
      </w:r>
      <w:proofErr w:type="spellEnd"/>
      <w:r w:rsidRPr="00D355C0">
        <w:rPr>
          <w:i/>
          <w:iCs/>
        </w:rPr>
        <w:t xml:space="preserve"> a</w:t>
      </w:r>
      <w:r>
        <w:t xml:space="preserve"> </w:t>
      </w:r>
      <w:proofErr w:type="spellStart"/>
      <w:r w:rsidRPr="00D355C0">
        <w:t>Cosía</w:t>
      </w:r>
      <w:proofErr w:type="spellEnd"/>
      <w:r w:rsidRPr="00D355C0">
        <w:t xml:space="preserve"> v. </w:t>
      </w:r>
      <w:proofErr w:type="spellStart"/>
      <w:r w:rsidRPr="00D355C0">
        <w:t>Regeants</w:t>
      </w:r>
      <w:proofErr w:type="spellEnd"/>
      <w:r w:rsidRPr="00D355C0">
        <w:t xml:space="preserve"> of University of California, 254 P.2d 85 (1953)</w:t>
      </w:r>
      <w:r>
        <w:t>).</w:t>
      </w:r>
    </w:p>
  </w:footnote>
  <w:footnote w:id="15">
    <w:p w14:paraId="6EE8E97E" w14:textId="128D557A" w:rsidR="007E502E" w:rsidRPr="007E502E" w:rsidRDefault="007E502E">
      <w:pPr>
        <w:pStyle w:val="FootnoteText"/>
        <w:rPr>
          <w:lang w:val="es-ES"/>
        </w:rPr>
      </w:pPr>
      <w:r>
        <w:rPr>
          <w:rStyle w:val="FootnoteReference"/>
        </w:rPr>
        <w:footnoteRef/>
      </w:r>
      <w:r w:rsidRPr="007E502E">
        <w:rPr>
          <w:lang w:val="es-ES"/>
        </w:rPr>
        <w:t xml:space="preserve"> </w:t>
      </w:r>
      <w:r w:rsidRPr="002B0512">
        <w:rPr>
          <w:i/>
          <w:iCs/>
          <w:lang w:val="es-ES"/>
        </w:rPr>
        <w:t>Véanse</w:t>
      </w:r>
      <w:r>
        <w:rPr>
          <w:lang w:val="es-ES"/>
        </w:rPr>
        <w:t xml:space="preserve"> </w:t>
      </w:r>
      <w:r w:rsidRPr="007E502E">
        <w:rPr>
          <w:lang w:val="es-ES"/>
        </w:rPr>
        <w:t xml:space="preserve">Rojas v. Maldonado, 68 DPR 818 (1948); Montes v. Fondo del Seguro del </w:t>
      </w:r>
      <w:proofErr w:type="gramStart"/>
      <w:r w:rsidRPr="007E502E">
        <w:rPr>
          <w:lang w:val="es-ES"/>
        </w:rPr>
        <w:t>Estado ,</w:t>
      </w:r>
      <w:proofErr w:type="gramEnd"/>
      <w:r w:rsidRPr="007E502E">
        <w:rPr>
          <w:lang w:val="es-ES"/>
        </w:rPr>
        <w:t xml:space="preserve"> 87 DPR 199 (1963); Torres Pérez v. </w:t>
      </w:r>
      <w:proofErr w:type="spellStart"/>
      <w:r w:rsidRPr="007E502E">
        <w:rPr>
          <w:lang w:val="es-ES"/>
        </w:rPr>
        <w:t>Hosp</w:t>
      </w:r>
      <w:proofErr w:type="spellEnd"/>
      <w:r w:rsidRPr="007E502E">
        <w:rPr>
          <w:lang w:val="es-ES"/>
        </w:rPr>
        <w:t xml:space="preserve">. Dr. </w:t>
      </w:r>
      <w:proofErr w:type="spellStart"/>
      <w:r w:rsidRPr="007E502E">
        <w:rPr>
          <w:lang w:val="es-ES"/>
        </w:rPr>
        <w:t>Susoni</w:t>
      </w:r>
      <w:proofErr w:type="spellEnd"/>
      <w:r w:rsidRPr="007E502E">
        <w:rPr>
          <w:lang w:val="es-ES"/>
        </w:rPr>
        <w:t>, Inc.,95 DPR 867 (1968).</w:t>
      </w:r>
    </w:p>
  </w:footnote>
  <w:footnote w:id="16">
    <w:p w14:paraId="5037343A" w14:textId="7D5BD400" w:rsidR="00D5168B" w:rsidRPr="00D5168B" w:rsidRDefault="00D5168B">
      <w:pPr>
        <w:pStyle w:val="FootnoteText"/>
        <w:rPr>
          <w:lang w:val="es-ES"/>
        </w:rPr>
      </w:pPr>
      <w:r>
        <w:rPr>
          <w:rStyle w:val="FootnoteReference"/>
        </w:rPr>
        <w:footnoteRef/>
      </w:r>
      <w:r w:rsidRPr="00D5168B">
        <w:rPr>
          <w:lang w:val="es-ES"/>
        </w:rPr>
        <w:t xml:space="preserve"> Rodríguez Crespo</w:t>
      </w:r>
      <w:r>
        <w:rPr>
          <w:lang w:val="es-ES"/>
        </w:rPr>
        <w:t xml:space="preserve"> v</w:t>
      </w:r>
      <w:r w:rsidRPr="00D5168B">
        <w:rPr>
          <w:lang w:val="es-ES"/>
        </w:rPr>
        <w:t>. Hernández, 121 DPR 639, 663-665</w:t>
      </w:r>
      <w:r>
        <w:rPr>
          <w:lang w:val="es-ES"/>
        </w:rPr>
        <w:t xml:space="preserve"> (1988). </w:t>
      </w:r>
    </w:p>
  </w:footnote>
  <w:footnote w:id="17">
    <w:p w14:paraId="45F06E3A" w14:textId="7BA914D7" w:rsidR="00415CBE" w:rsidRPr="00A5285A" w:rsidRDefault="00415CBE">
      <w:pPr>
        <w:pStyle w:val="FootnoteText"/>
        <w:rPr>
          <w:lang w:val="es-ES"/>
        </w:rPr>
      </w:pPr>
      <w:r>
        <w:rPr>
          <w:rStyle w:val="FootnoteReference"/>
        </w:rPr>
        <w:footnoteRef/>
      </w:r>
      <w:r w:rsidRPr="00A5285A">
        <w:rPr>
          <w:lang w:val="es-ES"/>
        </w:rPr>
        <w:t xml:space="preserve"> Cruz Flores v. Hospital Ryder, 210 DPR 465 (2022).</w:t>
      </w:r>
    </w:p>
  </w:footnote>
  <w:footnote w:id="18">
    <w:p w14:paraId="43C80076" w14:textId="15691530" w:rsidR="00413C0F" w:rsidRPr="00413C0F" w:rsidRDefault="00413C0F">
      <w:pPr>
        <w:pStyle w:val="FootnoteText"/>
        <w:rPr>
          <w:lang w:val="es-ES"/>
        </w:rPr>
      </w:pPr>
      <w:r>
        <w:rPr>
          <w:rStyle w:val="FootnoteReference"/>
        </w:rPr>
        <w:footnoteRef/>
      </w:r>
      <w:r w:rsidRPr="00413C0F">
        <w:rPr>
          <w:lang w:val="es-ES"/>
        </w:rPr>
        <w:t xml:space="preserve"> </w:t>
      </w:r>
      <w:r w:rsidRPr="00413C0F">
        <w:rPr>
          <w:i/>
          <w:iCs/>
          <w:lang w:val="es-ES"/>
        </w:rPr>
        <w:t>Id</w:t>
      </w:r>
      <w:r w:rsidRPr="00413C0F">
        <w:rPr>
          <w:lang w:val="es-ES"/>
        </w:rPr>
        <w:t xml:space="preserve">. </w:t>
      </w:r>
      <w:r>
        <w:rPr>
          <w:lang w:val="es-ES"/>
        </w:rPr>
        <w:t>en</w:t>
      </w:r>
      <w:r w:rsidRPr="00413C0F">
        <w:rPr>
          <w:lang w:val="es-ES"/>
        </w:rPr>
        <w:t xml:space="preserve"> la p</w:t>
      </w:r>
      <w:r>
        <w:rPr>
          <w:lang w:val="es-ES"/>
        </w:rPr>
        <w:t>ág. 508.</w:t>
      </w:r>
    </w:p>
  </w:footnote>
  <w:footnote w:id="19">
    <w:p w14:paraId="04A6E273" w14:textId="1594E94F" w:rsidR="00D15BDC" w:rsidRPr="00D15BDC" w:rsidRDefault="00D15BDC">
      <w:pPr>
        <w:pStyle w:val="FootnoteText"/>
        <w:rPr>
          <w:lang w:val="es-ES"/>
        </w:rPr>
      </w:pPr>
      <w:r>
        <w:rPr>
          <w:rStyle w:val="FootnoteReference"/>
        </w:rPr>
        <w:footnoteRef/>
      </w:r>
      <w:r w:rsidRPr="00D15BDC">
        <w:rPr>
          <w:lang w:val="es-ES"/>
        </w:rPr>
        <w:t xml:space="preserve"> </w:t>
      </w:r>
      <w:r w:rsidRPr="00F56569">
        <w:rPr>
          <w:i/>
          <w:iCs/>
          <w:lang w:val="es-ES"/>
        </w:rPr>
        <w:t>Id</w:t>
      </w:r>
      <w:r w:rsidRPr="00D15BDC">
        <w:rPr>
          <w:lang w:val="es-ES"/>
        </w:rPr>
        <w:t xml:space="preserve">. </w:t>
      </w:r>
      <w:r>
        <w:rPr>
          <w:lang w:val="es-ES"/>
        </w:rPr>
        <w:t xml:space="preserve">en las págs. </w:t>
      </w:r>
      <w:r w:rsidR="001D1C23">
        <w:rPr>
          <w:lang w:val="es-ES"/>
        </w:rPr>
        <w:t xml:space="preserve">487, 504-505. </w:t>
      </w:r>
    </w:p>
  </w:footnote>
  <w:footnote w:id="20">
    <w:p w14:paraId="66ED6404" w14:textId="68F1FA48" w:rsidR="00D70419" w:rsidRPr="00D70419" w:rsidRDefault="00D70419">
      <w:pPr>
        <w:pStyle w:val="FootnoteText"/>
        <w:rPr>
          <w:lang w:val="es-ES"/>
        </w:rPr>
      </w:pPr>
      <w:r>
        <w:rPr>
          <w:rStyle w:val="FootnoteReference"/>
        </w:rPr>
        <w:footnoteRef/>
      </w:r>
      <w:r w:rsidRPr="00D70419">
        <w:rPr>
          <w:lang w:val="es-ES"/>
        </w:rPr>
        <w:t xml:space="preserve"> </w:t>
      </w:r>
      <w:r w:rsidRPr="00F56569">
        <w:rPr>
          <w:i/>
          <w:iCs/>
          <w:lang w:val="es-ES"/>
        </w:rPr>
        <w:t>Id</w:t>
      </w:r>
      <w:r w:rsidRPr="00D70419">
        <w:rPr>
          <w:lang w:val="es-ES"/>
        </w:rPr>
        <w:t xml:space="preserve">. </w:t>
      </w:r>
      <w:r w:rsidR="00E369F8">
        <w:rPr>
          <w:lang w:val="es-ES"/>
        </w:rPr>
        <w:t>en</w:t>
      </w:r>
      <w:r w:rsidRPr="00D70419">
        <w:rPr>
          <w:lang w:val="es-ES"/>
        </w:rPr>
        <w:t xml:space="preserve"> </w:t>
      </w:r>
      <w:r w:rsidR="00E369F8">
        <w:rPr>
          <w:lang w:val="es-ES"/>
        </w:rPr>
        <w:t>la pág. 507.</w:t>
      </w:r>
      <w:r>
        <w:rPr>
          <w:lang w:val="es-ES"/>
        </w:rPr>
        <w:t xml:space="preserve"> </w:t>
      </w:r>
    </w:p>
  </w:footnote>
  <w:footnote w:id="21">
    <w:p w14:paraId="5F04A722" w14:textId="7286F4E7" w:rsidR="0052036F" w:rsidRPr="00A5285A" w:rsidRDefault="0052036F">
      <w:pPr>
        <w:pStyle w:val="FootnoteText"/>
      </w:pPr>
      <w:r>
        <w:rPr>
          <w:rStyle w:val="FootnoteReference"/>
        </w:rPr>
        <w:footnoteRef/>
      </w:r>
      <w:r w:rsidRPr="0052036F">
        <w:rPr>
          <w:lang w:val="es-ES"/>
        </w:rPr>
        <w:t xml:space="preserve"> </w:t>
      </w:r>
      <w:r w:rsidRPr="00F56569">
        <w:rPr>
          <w:i/>
          <w:iCs/>
          <w:lang w:val="es-ES"/>
        </w:rPr>
        <w:t>Id</w:t>
      </w:r>
      <w:r>
        <w:rPr>
          <w:lang w:val="es-ES"/>
        </w:rPr>
        <w:t>. en la</w:t>
      </w:r>
      <w:r w:rsidR="00F56569">
        <w:rPr>
          <w:lang w:val="es-ES"/>
        </w:rPr>
        <w:t xml:space="preserve">s págs. </w:t>
      </w:r>
      <w:r w:rsidR="00F56569" w:rsidRPr="00A5285A">
        <w:t xml:space="preserve">506-507. </w:t>
      </w:r>
    </w:p>
  </w:footnote>
  <w:footnote w:id="22">
    <w:p w14:paraId="722C1BC7" w14:textId="5CBD29C7" w:rsidR="009D5DE3" w:rsidRDefault="009D5DE3">
      <w:pPr>
        <w:pStyle w:val="FootnoteText"/>
      </w:pPr>
      <w:r>
        <w:rPr>
          <w:rStyle w:val="FootnoteReference"/>
        </w:rPr>
        <w:footnoteRef/>
      </w:r>
      <w:r w:rsidRPr="00A5285A">
        <w:t xml:space="preserve"> </w:t>
      </w:r>
      <w:r w:rsidRPr="00A5285A">
        <w:rPr>
          <w:smallCaps/>
        </w:rPr>
        <w:t xml:space="preserve">Cód. Civ. </w:t>
      </w:r>
      <w:r w:rsidRPr="004E308D">
        <w:rPr>
          <w:smallCaps/>
        </w:rPr>
        <w:t>PR</w:t>
      </w:r>
      <w:r>
        <w:t xml:space="preserve"> Art. 1536, </w:t>
      </w:r>
      <w:r w:rsidR="004E308D" w:rsidRPr="004E308D">
        <w:t>31 LPRA § 10801</w:t>
      </w:r>
      <w:r w:rsidR="004E308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56A6E8C8"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w:t>
    </w:r>
    <w:r w:rsidR="002E0088">
      <w:rPr>
        <w:rFonts w:ascii="Book Antiqua" w:hAnsi="Book Antiqua"/>
        <w:i/>
        <w:iCs/>
        <w:sz w:val="20"/>
        <w:lang w:val="es-PR"/>
      </w:rPr>
      <w:t>Negativo</w:t>
    </w:r>
    <w:r w:rsidRPr="007B4C52">
      <w:rPr>
        <w:rFonts w:ascii="Book Antiqua" w:hAnsi="Book Antiqua"/>
        <w:i/>
        <w:iCs/>
        <w:sz w:val="20"/>
        <w:lang w:val="es-PR"/>
      </w:rPr>
      <w:t xml:space="preserve"> sobre el </w:t>
    </w:r>
    <w:r w:rsidR="002E0088">
      <w:rPr>
        <w:rFonts w:ascii="Book Antiqua" w:hAnsi="Book Antiqua"/>
        <w:i/>
        <w:iCs/>
        <w:sz w:val="20"/>
        <w:lang w:val="es-PR"/>
      </w:rPr>
      <w:t>P. del S. 445</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14470CFE"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w:t>
    </w:r>
    <w:r w:rsidR="007C72A9">
      <w:rPr>
        <w:rFonts w:ascii="Book Antiqua" w:hAnsi="Book Antiqua"/>
        <w:i/>
        <w:iCs/>
        <w:sz w:val="20"/>
        <w:lang w:val="es-PR"/>
      </w:rPr>
      <w:t>Negativo</w:t>
    </w:r>
    <w:r w:rsidRPr="009F524F">
      <w:rPr>
        <w:rFonts w:ascii="Book Antiqua" w:hAnsi="Book Antiqua"/>
        <w:i/>
        <w:iCs/>
        <w:sz w:val="20"/>
        <w:lang w:val="es-PR"/>
      </w:rPr>
      <w:t xml:space="preserve"> sobre el </w:t>
    </w:r>
    <w:r w:rsidR="007C72A9">
      <w:rPr>
        <w:rFonts w:ascii="Book Antiqua" w:hAnsi="Book Antiqua"/>
        <w:i/>
        <w:iCs/>
        <w:sz w:val="20"/>
        <w:lang w:val="es-PR"/>
      </w:rPr>
      <w:t>P. del S. 445</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000F"/>
    <w:rsid w:val="0000463A"/>
    <w:rsid w:val="00006DDC"/>
    <w:rsid w:val="00011E09"/>
    <w:rsid w:val="00016AE0"/>
    <w:rsid w:val="00016D64"/>
    <w:rsid w:val="000230E7"/>
    <w:rsid w:val="00043B59"/>
    <w:rsid w:val="00045442"/>
    <w:rsid w:val="00046DD2"/>
    <w:rsid w:val="000533CB"/>
    <w:rsid w:val="0005560C"/>
    <w:rsid w:val="00066916"/>
    <w:rsid w:val="0008094E"/>
    <w:rsid w:val="000879BC"/>
    <w:rsid w:val="000902F9"/>
    <w:rsid w:val="000945D3"/>
    <w:rsid w:val="000A0CEF"/>
    <w:rsid w:val="000A135C"/>
    <w:rsid w:val="000B071A"/>
    <w:rsid w:val="000B3411"/>
    <w:rsid w:val="000B39C5"/>
    <w:rsid w:val="000C18B9"/>
    <w:rsid w:val="000C52A1"/>
    <w:rsid w:val="000C5B91"/>
    <w:rsid w:val="000D0398"/>
    <w:rsid w:val="000D30E2"/>
    <w:rsid w:val="000D3899"/>
    <w:rsid w:val="000E0D6C"/>
    <w:rsid w:val="000E4A6D"/>
    <w:rsid w:val="000E6B35"/>
    <w:rsid w:val="000E7ACF"/>
    <w:rsid w:val="000F7663"/>
    <w:rsid w:val="0010073E"/>
    <w:rsid w:val="00104CF6"/>
    <w:rsid w:val="00105947"/>
    <w:rsid w:val="00107712"/>
    <w:rsid w:val="00111E71"/>
    <w:rsid w:val="001124E0"/>
    <w:rsid w:val="00114F93"/>
    <w:rsid w:val="00116E5E"/>
    <w:rsid w:val="001312DC"/>
    <w:rsid w:val="00133662"/>
    <w:rsid w:val="00146FDE"/>
    <w:rsid w:val="00152956"/>
    <w:rsid w:val="00152AEE"/>
    <w:rsid w:val="00157BC8"/>
    <w:rsid w:val="0017277D"/>
    <w:rsid w:val="00172EE0"/>
    <w:rsid w:val="00186109"/>
    <w:rsid w:val="00186AB6"/>
    <w:rsid w:val="001A4A02"/>
    <w:rsid w:val="001A7434"/>
    <w:rsid w:val="001A7AEC"/>
    <w:rsid w:val="001B5218"/>
    <w:rsid w:val="001B6352"/>
    <w:rsid w:val="001B77D6"/>
    <w:rsid w:val="001C0F9B"/>
    <w:rsid w:val="001C2FA8"/>
    <w:rsid w:val="001C31BA"/>
    <w:rsid w:val="001C5DEB"/>
    <w:rsid w:val="001D12A7"/>
    <w:rsid w:val="001D1C23"/>
    <w:rsid w:val="001D3C1D"/>
    <w:rsid w:val="001D55F8"/>
    <w:rsid w:val="001D70F5"/>
    <w:rsid w:val="001D71F2"/>
    <w:rsid w:val="001D79E5"/>
    <w:rsid w:val="001D7A27"/>
    <w:rsid w:val="001E17AE"/>
    <w:rsid w:val="001E49F4"/>
    <w:rsid w:val="001E78B4"/>
    <w:rsid w:val="001F2F6D"/>
    <w:rsid w:val="001F7ABB"/>
    <w:rsid w:val="00200B6F"/>
    <w:rsid w:val="00201567"/>
    <w:rsid w:val="00201B8C"/>
    <w:rsid w:val="00202E7F"/>
    <w:rsid w:val="00213CAD"/>
    <w:rsid w:val="002214F8"/>
    <w:rsid w:val="0022642B"/>
    <w:rsid w:val="00237AF0"/>
    <w:rsid w:val="0024131E"/>
    <w:rsid w:val="00242E80"/>
    <w:rsid w:val="00243AC7"/>
    <w:rsid w:val="00243FD8"/>
    <w:rsid w:val="0024587F"/>
    <w:rsid w:val="00246C97"/>
    <w:rsid w:val="0025270C"/>
    <w:rsid w:val="00254B92"/>
    <w:rsid w:val="00257BB2"/>
    <w:rsid w:val="002650AB"/>
    <w:rsid w:val="002663EA"/>
    <w:rsid w:val="00266EEC"/>
    <w:rsid w:val="002671BE"/>
    <w:rsid w:val="0027212A"/>
    <w:rsid w:val="0027266F"/>
    <w:rsid w:val="002779B7"/>
    <w:rsid w:val="0028699B"/>
    <w:rsid w:val="002B0512"/>
    <w:rsid w:val="002B0B9E"/>
    <w:rsid w:val="002B27D0"/>
    <w:rsid w:val="002B5DA1"/>
    <w:rsid w:val="002B62DE"/>
    <w:rsid w:val="002C18ED"/>
    <w:rsid w:val="002C402D"/>
    <w:rsid w:val="002D185B"/>
    <w:rsid w:val="002D4AC8"/>
    <w:rsid w:val="002D721B"/>
    <w:rsid w:val="002E0088"/>
    <w:rsid w:val="002E0215"/>
    <w:rsid w:val="002E043E"/>
    <w:rsid w:val="002E3F48"/>
    <w:rsid w:val="002E4A52"/>
    <w:rsid w:val="002E66F9"/>
    <w:rsid w:val="002F0440"/>
    <w:rsid w:val="002F79D4"/>
    <w:rsid w:val="00303FA5"/>
    <w:rsid w:val="003059D5"/>
    <w:rsid w:val="00311782"/>
    <w:rsid w:val="00316786"/>
    <w:rsid w:val="003239C5"/>
    <w:rsid w:val="00330372"/>
    <w:rsid w:val="00332D2E"/>
    <w:rsid w:val="00333A7B"/>
    <w:rsid w:val="00334935"/>
    <w:rsid w:val="00337BB7"/>
    <w:rsid w:val="0034055D"/>
    <w:rsid w:val="003465C8"/>
    <w:rsid w:val="00346E77"/>
    <w:rsid w:val="00352C78"/>
    <w:rsid w:val="00381F18"/>
    <w:rsid w:val="00383863"/>
    <w:rsid w:val="0038390D"/>
    <w:rsid w:val="003857EC"/>
    <w:rsid w:val="00386D32"/>
    <w:rsid w:val="0039037B"/>
    <w:rsid w:val="003906D8"/>
    <w:rsid w:val="00393CA6"/>
    <w:rsid w:val="003A201A"/>
    <w:rsid w:val="003A36CC"/>
    <w:rsid w:val="003B0348"/>
    <w:rsid w:val="003D4D04"/>
    <w:rsid w:val="003D7045"/>
    <w:rsid w:val="00402413"/>
    <w:rsid w:val="00405DB3"/>
    <w:rsid w:val="004076B9"/>
    <w:rsid w:val="00412A61"/>
    <w:rsid w:val="00413C0F"/>
    <w:rsid w:val="004143B4"/>
    <w:rsid w:val="00415CBE"/>
    <w:rsid w:val="004227D1"/>
    <w:rsid w:val="00424144"/>
    <w:rsid w:val="004278D1"/>
    <w:rsid w:val="004408DF"/>
    <w:rsid w:val="004440CB"/>
    <w:rsid w:val="00444FD2"/>
    <w:rsid w:val="00445E69"/>
    <w:rsid w:val="00455108"/>
    <w:rsid w:val="00457513"/>
    <w:rsid w:val="00466579"/>
    <w:rsid w:val="004713D2"/>
    <w:rsid w:val="00475C13"/>
    <w:rsid w:val="004817F3"/>
    <w:rsid w:val="00481C39"/>
    <w:rsid w:val="00487AC3"/>
    <w:rsid w:val="004918F1"/>
    <w:rsid w:val="00492B5E"/>
    <w:rsid w:val="00497AEA"/>
    <w:rsid w:val="004A05FC"/>
    <w:rsid w:val="004A0FD4"/>
    <w:rsid w:val="004A18C6"/>
    <w:rsid w:val="004B0082"/>
    <w:rsid w:val="004C370E"/>
    <w:rsid w:val="004C7073"/>
    <w:rsid w:val="004D2BC7"/>
    <w:rsid w:val="004D4E14"/>
    <w:rsid w:val="004E308D"/>
    <w:rsid w:val="004E63CC"/>
    <w:rsid w:val="004E7F65"/>
    <w:rsid w:val="004F1B4B"/>
    <w:rsid w:val="004F5A8D"/>
    <w:rsid w:val="004F6E72"/>
    <w:rsid w:val="004F7173"/>
    <w:rsid w:val="0051050B"/>
    <w:rsid w:val="0052036F"/>
    <w:rsid w:val="005244BE"/>
    <w:rsid w:val="00530395"/>
    <w:rsid w:val="005354C6"/>
    <w:rsid w:val="00536EA7"/>
    <w:rsid w:val="00540B6A"/>
    <w:rsid w:val="00540DDE"/>
    <w:rsid w:val="00541FE3"/>
    <w:rsid w:val="005478C9"/>
    <w:rsid w:val="00547C2D"/>
    <w:rsid w:val="00550023"/>
    <w:rsid w:val="00550412"/>
    <w:rsid w:val="00552B8A"/>
    <w:rsid w:val="00555018"/>
    <w:rsid w:val="005553DA"/>
    <w:rsid w:val="00571789"/>
    <w:rsid w:val="00573858"/>
    <w:rsid w:val="00573B23"/>
    <w:rsid w:val="005741F6"/>
    <w:rsid w:val="00574F25"/>
    <w:rsid w:val="0057693B"/>
    <w:rsid w:val="00580EC6"/>
    <w:rsid w:val="005817B7"/>
    <w:rsid w:val="00592B05"/>
    <w:rsid w:val="005A24EF"/>
    <w:rsid w:val="005A4787"/>
    <w:rsid w:val="005A55D3"/>
    <w:rsid w:val="005B2884"/>
    <w:rsid w:val="005B3FEA"/>
    <w:rsid w:val="005C5E81"/>
    <w:rsid w:val="005D2E57"/>
    <w:rsid w:val="005D4AA7"/>
    <w:rsid w:val="005E0502"/>
    <w:rsid w:val="005E150B"/>
    <w:rsid w:val="005E7E85"/>
    <w:rsid w:val="005F5791"/>
    <w:rsid w:val="00602E51"/>
    <w:rsid w:val="0060779B"/>
    <w:rsid w:val="0061550A"/>
    <w:rsid w:val="00615AB1"/>
    <w:rsid w:val="00615E64"/>
    <w:rsid w:val="006166AB"/>
    <w:rsid w:val="00622333"/>
    <w:rsid w:val="00622C33"/>
    <w:rsid w:val="006239E8"/>
    <w:rsid w:val="006310F3"/>
    <w:rsid w:val="00650D8E"/>
    <w:rsid w:val="00660C04"/>
    <w:rsid w:val="0066129F"/>
    <w:rsid w:val="00662809"/>
    <w:rsid w:val="006807C0"/>
    <w:rsid w:val="006861CE"/>
    <w:rsid w:val="00690F5B"/>
    <w:rsid w:val="00695AB1"/>
    <w:rsid w:val="006A24A9"/>
    <w:rsid w:val="006B3D07"/>
    <w:rsid w:val="006B6346"/>
    <w:rsid w:val="006B7E26"/>
    <w:rsid w:val="006C283C"/>
    <w:rsid w:val="006D01F6"/>
    <w:rsid w:val="006D05B3"/>
    <w:rsid w:val="006D2C89"/>
    <w:rsid w:val="006D49D8"/>
    <w:rsid w:val="006D5838"/>
    <w:rsid w:val="006D6359"/>
    <w:rsid w:val="006E23B2"/>
    <w:rsid w:val="006E5B7A"/>
    <w:rsid w:val="006F0D43"/>
    <w:rsid w:val="006F226E"/>
    <w:rsid w:val="006F51A8"/>
    <w:rsid w:val="006F58F5"/>
    <w:rsid w:val="007070F3"/>
    <w:rsid w:val="0071082D"/>
    <w:rsid w:val="00714102"/>
    <w:rsid w:val="007163D8"/>
    <w:rsid w:val="007167F5"/>
    <w:rsid w:val="00716AC2"/>
    <w:rsid w:val="00720B6F"/>
    <w:rsid w:val="007229E9"/>
    <w:rsid w:val="00725009"/>
    <w:rsid w:val="00725174"/>
    <w:rsid w:val="00734FC2"/>
    <w:rsid w:val="0073675F"/>
    <w:rsid w:val="007472C1"/>
    <w:rsid w:val="007515F0"/>
    <w:rsid w:val="007535BB"/>
    <w:rsid w:val="007611FE"/>
    <w:rsid w:val="00770AF9"/>
    <w:rsid w:val="00777E1D"/>
    <w:rsid w:val="007838FE"/>
    <w:rsid w:val="00785050"/>
    <w:rsid w:val="0079353F"/>
    <w:rsid w:val="00793E19"/>
    <w:rsid w:val="007A715A"/>
    <w:rsid w:val="007B4C52"/>
    <w:rsid w:val="007C04E5"/>
    <w:rsid w:val="007C156B"/>
    <w:rsid w:val="007C592E"/>
    <w:rsid w:val="007C72A9"/>
    <w:rsid w:val="007D5A59"/>
    <w:rsid w:val="007E17BE"/>
    <w:rsid w:val="007E3B6D"/>
    <w:rsid w:val="007E502E"/>
    <w:rsid w:val="007F0829"/>
    <w:rsid w:val="007F62AB"/>
    <w:rsid w:val="00803A23"/>
    <w:rsid w:val="008061C2"/>
    <w:rsid w:val="00815BF2"/>
    <w:rsid w:val="00817FBC"/>
    <w:rsid w:val="00820C41"/>
    <w:rsid w:val="00822A07"/>
    <w:rsid w:val="008235BE"/>
    <w:rsid w:val="00825070"/>
    <w:rsid w:val="00847A99"/>
    <w:rsid w:val="00855CD6"/>
    <w:rsid w:val="0086515A"/>
    <w:rsid w:val="00865634"/>
    <w:rsid w:val="00867243"/>
    <w:rsid w:val="00872313"/>
    <w:rsid w:val="008A0E10"/>
    <w:rsid w:val="008A154B"/>
    <w:rsid w:val="008A40E0"/>
    <w:rsid w:val="008C18B2"/>
    <w:rsid w:val="008C331F"/>
    <w:rsid w:val="008C39D5"/>
    <w:rsid w:val="008E051A"/>
    <w:rsid w:val="008F717C"/>
    <w:rsid w:val="00904165"/>
    <w:rsid w:val="00905655"/>
    <w:rsid w:val="00907E93"/>
    <w:rsid w:val="009133CF"/>
    <w:rsid w:val="009154BD"/>
    <w:rsid w:val="0092080B"/>
    <w:rsid w:val="009313EE"/>
    <w:rsid w:val="009351B6"/>
    <w:rsid w:val="009374E4"/>
    <w:rsid w:val="00937637"/>
    <w:rsid w:val="00940E84"/>
    <w:rsid w:val="00946BB4"/>
    <w:rsid w:val="00946E55"/>
    <w:rsid w:val="0096171F"/>
    <w:rsid w:val="009645CD"/>
    <w:rsid w:val="00970DEB"/>
    <w:rsid w:val="00981A1F"/>
    <w:rsid w:val="00983AD4"/>
    <w:rsid w:val="00984F56"/>
    <w:rsid w:val="0098758B"/>
    <w:rsid w:val="009A08E8"/>
    <w:rsid w:val="009A4A2C"/>
    <w:rsid w:val="009A4FB3"/>
    <w:rsid w:val="009B3C87"/>
    <w:rsid w:val="009B54DB"/>
    <w:rsid w:val="009B5669"/>
    <w:rsid w:val="009B619C"/>
    <w:rsid w:val="009C455C"/>
    <w:rsid w:val="009C494F"/>
    <w:rsid w:val="009D2C3F"/>
    <w:rsid w:val="009D5DE3"/>
    <w:rsid w:val="009D6A89"/>
    <w:rsid w:val="009E20DD"/>
    <w:rsid w:val="009F427F"/>
    <w:rsid w:val="009F524F"/>
    <w:rsid w:val="009F68F4"/>
    <w:rsid w:val="00A049B0"/>
    <w:rsid w:val="00A05EDB"/>
    <w:rsid w:val="00A06A16"/>
    <w:rsid w:val="00A11BDC"/>
    <w:rsid w:val="00A11ED0"/>
    <w:rsid w:val="00A12823"/>
    <w:rsid w:val="00A13CBC"/>
    <w:rsid w:val="00A15144"/>
    <w:rsid w:val="00A2373E"/>
    <w:rsid w:val="00A30115"/>
    <w:rsid w:val="00A303ED"/>
    <w:rsid w:val="00A30959"/>
    <w:rsid w:val="00A3182D"/>
    <w:rsid w:val="00A35101"/>
    <w:rsid w:val="00A43B8C"/>
    <w:rsid w:val="00A5285A"/>
    <w:rsid w:val="00A52A66"/>
    <w:rsid w:val="00A52CD9"/>
    <w:rsid w:val="00A53127"/>
    <w:rsid w:val="00A60748"/>
    <w:rsid w:val="00A6445C"/>
    <w:rsid w:val="00A83C12"/>
    <w:rsid w:val="00A870EF"/>
    <w:rsid w:val="00A90DAD"/>
    <w:rsid w:val="00A93C47"/>
    <w:rsid w:val="00A97014"/>
    <w:rsid w:val="00AA0006"/>
    <w:rsid w:val="00AB2E69"/>
    <w:rsid w:val="00AC3813"/>
    <w:rsid w:val="00AD076F"/>
    <w:rsid w:val="00AD4B71"/>
    <w:rsid w:val="00AE555C"/>
    <w:rsid w:val="00AF12FB"/>
    <w:rsid w:val="00AF56F5"/>
    <w:rsid w:val="00B03E1C"/>
    <w:rsid w:val="00B14832"/>
    <w:rsid w:val="00B2120A"/>
    <w:rsid w:val="00B216D4"/>
    <w:rsid w:val="00B24B05"/>
    <w:rsid w:val="00B25006"/>
    <w:rsid w:val="00B25721"/>
    <w:rsid w:val="00B316DC"/>
    <w:rsid w:val="00B32DA1"/>
    <w:rsid w:val="00B36F9D"/>
    <w:rsid w:val="00B37EF9"/>
    <w:rsid w:val="00B46464"/>
    <w:rsid w:val="00B47BDF"/>
    <w:rsid w:val="00B571D9"/>
    <w:rsid w:val="00B57451"/>
    <w:rsid w:val="00B6135D"/>
    <w:rsid w:val="00B702A0"/>
    <w:rsid w:val="00B70EB9"/>
    <w:rsid w:val="00B741EB"/>
    <w:rsid w:val="00B807DC"/>
    <w:rsid w:val="00B8514B"/>
    <w:rsid w:val="00B8540B"/>
    <w:rsid w:val="00B95E0F"/>
    <w:rsid w:val="00BA0F95"/>
    <w:rsid w:val="00BA43F4"/>
    <w:rsid w:val="00BA78C9"/>
    <w:rsid w:val="00BB20A7"/>
    <w:rsid w:val="00BB681D"/>
    <w:rsid w:val="00BB6946"/>
    <w:rsid w:val="00BB7826"/>
    <w:rsid w:val="00BC7625"/>
    <w:rsid w:val="00BD3BEF"/>
    <w:rsid w:val="00BE1535"/>
    <w:rsid w:val="00BE3E24"/>
    <w:rsid w:val="00BE6740"/>
    <w:rsid w:val="00BF358A"/>
    <w:rsid w:val="00C0210B"/>
    <w:rsid w:val="00C157CE"/>
    <w:rsid w:val="00C20997"/>
    <w:rsid w:val="00C21A5A"/>
    <w:rsid w:val="00C22AFC"/>
    <w:rsid w:val="00C32ECE"/>
    <w:rsid w:val="00C41CC9"/>
    <w:rsid w:val="00C4275E"/>
    <w:rsid w:val="00C43237"/>
    <w:rsid w:val="00C6071A"/>
    <w:rsid w:val="00C65A5F"/>
    <w:rsid w:val="00C7303D"/>
    <w:rsid w:val="00C760D6"/>
    <w:rsid w:val="00C8168E"/>
    <w:rsid w:val="00C86598"/>
    <w:rsid w:val="00C869B3"/>
    <w:rsid w:val="00C9772C"/>
    <w:rsid w:val="00CA1098"/>
    <w:rsid w:val="00CA5E1E"/>
    <w:rsid w:val="00CA6DDD"/>
    <w:rsid w:val="00CB5806"/>
    <w:rsid w:val="00CC274E"/>
    <w:rsid w:val="00CC4859"/>
    <w:rsid w:val="00CE532D"/>
    <w:rsid w:val="00CE7DA0"/>
    <w:rsid w:val="00CF32AA"/>
    <w:rsid w:val="00CF4C00"/>
    <w:rsid w:val="00D0004D"/>
    <w:rsid w:val="00D007A6"/>
    <w:rsid w:val="00D00BE9"/>
    <w:rsid w:val="00D01A55"/>
    <w:rsid w:val="00D03769"/>
    <w:rsid w:val="00D0466C"/>
    <w:rsid w:val="00D1053D"/>
    <w:rsid w:val="00D13AE6"/>
    <w:rsid w:val="00D13D23"/>
    <w:rsid w:val="00D13DA9"/>
    <w:rsid w:val="00D15BDC"/>
    <w:rsid w:val="00D16947"/>
    <w:rsid w:val="00D355C0"/>
    <w:rsid w:val="00D5168B"/>
    <w:rsid w:val="00D5351E"/>
    <w:rsid w:val="00D60482"/>
    <w:rsid w:val="00D61B6F"/>
    <w:rsid w:val="00D6491A"/>
    <w:rsid w:val="00D70419"/>
    <w:rsid w:val="00D759DB"/>
    <w:rsid w:val="00D75A19"/>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6362"/>
    <w:rsid w:val="00DF0352"/>
    <w:rsid w:val="00DF1066"/>
    <w:rsid w:val="00DF45DC"/>
    <w:rsid w:val="00E13593"/>
    <w:rsid w:val="00E14B9C"/>
    <w:rsid w:val="00E15A7A"/>
    <w:rsid w:val="00E17E3B"/>
    <w:rsid w:val="00E251EA"/>
    <w:rsid w:val="00E3022F"/>
    <w:rsid w:val="00E35157"/>
    <w:rsid w:val="00E35171"/>
    <w:rsid w:val="00E369F8"/>
    <w:rsid w:val="00E36FA6"/>
    <w:rsid w:val="00E63FA4"/>
    <w:rsid w:val="00E722CA"/>
    <w:rsid w:val="00E73DB1"/>
    <w:rsid w:val="00E774A1"/>
    <w:rsid w:val="00E930DD"/>
    <w:rsid w:val="00E93BE9"/>
    <w:rsid w:val="00E9570B"/>
    <w:rsid w:val="00EA0A66"/>
    <w:rsid w:val="00EA477A"/>
    <w:rsid w:val="00EA5757"/>
    <w:rsid w:val="00EB0B16"/>
    <w:rsid w:val="00EB1664"/>
    <w:rsid w:val="00EC5454"/>
    <w:rsid w:val="00EC56E8"/>
    <w:rsid w:val="00ED26C7"/>
    <w:rsid w:val="00EE4536"/>
    <w:rsid w:val="00EF237A"/>
    <w:rsid w:val="00EF62F7"/>
    <w:rsid w:val="00F01B12"/>
    <w:rsid w:val="00F02F4A"/>
    <w:rsid w:val="00F042CB"/>
    <w:rsid w:val="00F232DC"/>
    <w:rsid w:val="00F3003D"/>
    <w:rsid w:val="00F315D1"/>
    <w:rsid w:val="00F44E24"/>
    <w:rsid w:val="00F4686E"/>
    <w:rsid w:val="00F56569"/>
    <w:rsid w:val="00F566F4"/>
    <w:rsid w:val="00F6015E"/>
    <w:rsid w:val="00F60859"/>
    <w:rsid w:val="00F65FAA"/>
    <w:rsid w:val="00F67B66"/>
    <w:rsid w:val="00F816B8"/>
    <w:rsid w:val="00F832A0"/>
    <w:rsid w:val="00F85B37"/>
    <w:rsid w:val="00F86C0C"/>
    <w:rsid w:val="00F90AAD"/>
    <w:rsid w:val="00F969D4"/>
    <w:rsid w:val="00FA2E84"/>
    <w:rsid w:val="00FB10AE"/>
    <w:rsid w:val="00FC0FB4"/>
    <w:rsid w:val="00FC5FDD"/>
    <w:rsid w:val="00FD19DB"/>
    <w:rsid w:val="00FD4E9F"/>
    <w:rsid w:val="00FD537B"/>
    <w:rsid w:val="00FE1E05"/>
    <w:rsid w:val="00FE3A8E"/>
    <w:rsid w:val="00FF37B9"/>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character" w:styleId="Hyperlink">
    <w:name w:val="Hyperlink"/>
    <w:basedOn w:val="DefaultParagraphFont"/>
    <w:uiPriority w:val="99"/>
    <w:unhideWhenUsed/>
    <w:rsid w:val="000D0398"/>
    <w:rPr>
      <w:color w:val="467886" w:themeColor="hyperlink"/>
      <w:u w:val="single"/>
    </w:rPr>
  </w:style>
  <w:style w:type="character" w:styleId="UnresolvedMention">
    <w:name w:val="Unresolved Mention"/>
    <w:basedOn w:val="DefaultParagraphFont"/>
    <w:uiPriority w:val="47"/>
    <w:rsid w:val="000D03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4SQX5P7U7WPY-958212181-819233</_dlc_DocId>
    <_dlc_DocIdUrl xmlns="c890fddd-4e87-4e08-8b51-545f2a3f7b06">
      <Url>https://senpr.sharepoint.com/sites/obralegislativa/_layouts/15/DocIdRedir.aspx?ID=4SQX5P7U7WPY-958212181-819233</Url>
      <Description>4SQX5P7U7WPY-958212181-819233</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2.xml><?xml version="1.0" encoding="utf-8"?>
<ds:datastoreItem xmlns:ds="http://schemas.openxmlformats.org/officeDocument/2006/customXml" ds:itemID="{55AC2AE4-B5A0-4DBF-8A2B-8969AEC60DD9}"/>
</file>

<file path=customXml/itemProps3.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4.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5.xml><?xml version="1.0" encoding="utf-8"?>
<ds:datastoreItem xmlns:ds="http://schemas.openxmlformats.org/officeDocument/2006/customXml" ds:itemID="{CD5B27B0-13B1-40FC-A238-A7732BDE58BA}"/>
</file>

<file path=docProps/app.xml><?xml version="1.0" encoding="utf-8"?>
<Properties xmlns="http://schemas.openxmlformats.org/officeDocument/2006/extended-properties" xmlns:vt="http://schemas.openxmlformats.org/officeDocument/2006/docPropsVTypes">
  <Template>Medida-V2009</Template>
  <TotalTime>4</TotalTime>
  <Pages>10</Pages>
  <Words>3597</Words>
  <Characters>19656</Characters>
  <Application>Microsoft Office Word</Application>
  <DocSecurity>0</DocSecurity>
  <Lines>163</Lines>
  <Paragraphs>46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23207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2025-09-29T14:32:00Z</dcterms:created>
  <dcterms:modified xsi:type="dcterms:W3CDTF">2025-09-29T14:32:00Z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ba180946-1edb-4ef9-b859-89ec7263d8d4</vt:lpwstr>
  </property>
  <property fmtid="{D5CDD505-2E9C-101B-9397-08002B2CF9AE}" pid="4" name="MediaServiceImageTags">
    <vt:lpwstr/>
  </property>
</Properties>
</file>