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r>
        <w:rPr>
          <w:rFonts w:ascii="Book Antiqua" w:hAnsi="Book Antiqua"/>
          <w:vertAlign w:val="superscript"/>
          <w:lang w:val="es-ES_tradnl"/>
        </w:rPr>
        <w:t>ra.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1E8C58EE"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3D4F89">
        <w:rPr>
          <w:rFonts w:ascii="Book Antiqua" w:hAnsi="Book Antiqua"/>
          <w:b/>
          <w:sz w:val="52"/>
          <w:szCs w:val="52"/>
          <w:lang w:val="es-ES_tradnl"/>
        </w:rPr>
        <w:t>455</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000C5AB8" w:rsidR="000F6729" w:rsidRPr="007E538D" w:rsidRDefault="00975A73" w:rsidP="007E538D">
      <w:pPr>
        <w:spacing w:line="360" w:lineRule="auto"/>
        <w:jc w:val="center"/>
        <w:rPr>
          <w:rFonts w:ascii="Book Antiqua" w:hAnsi="Book Antiqua"/>
          <w:i/>
          <w:szCs w:val="24"/>
          <w:lang w:val="es-419"/>
        </w:rPr>
      </w:pPr>
      <w:r>
        <w:rPr>
          <w:rFonts w:ascii="Book Antiqua" w:hAnsi="Book Antiqua"/>
          <w:lang w:val="es-ES_tradnl"/>
        </w:rPr>
        <w:t>21</w:t>
      </w:r>
      <w:r w:rsidR="00DE2902">
        <w:rPr>
          <w:rFonts w:ascii="Book Antiqua" w:hAnsi="Book Antiqua"/>
          <w:lang w:val="es-ES_tradnl"/>
        </w:rPr>
        <w:t xml:space="preserve"> de </w:t>
      </w:r>
      <w:r w:rsidR="003D4F89">
        <w:rPr>
          <w:rFonts w:ascii="Book Antiqua" w:hAnsi="Book Antiqua"/>
          <w:lang w:val="es-ES_tradnl"/>
        </w:rPr>
        <w:t>mayo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65B734A3"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080CAF">
        <w:rPr>
          <w:rFonts w:ascii="Book Antiqua" w:hAnsi="Book Antiqua"/>
          <w:bCs/>
          <w:szCs w:val="24"/>
          <w:lang w:val="es-ES_tradnl"/>
        </w:rPr>
        <w:t>455</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B56ED74" w14:textId="08A8E455" w:rsidR="00B31419" w:rsidRPr="006834E9" w:rsidRDefault="006A6960" w:rsidP="00B31419">
      <w:pPr>
        <w:ind w:firstLine="540"/>
        <w:jc w:val="both"/>
        <w:rPr>
          <w:rFonts w:ascii="Book Antiqua" w:eastAsia="Book Antiqua" w:hAnsi="Book Antiqua" w:cs="Book Antiqua"/>
          <w:color w:val="000000"/>
          <w:lang w:val="es-ES_tradnl"/>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080CAF">
        <w:rPr>
          <w:rFonts w:ascii="Book Antiqua" w:hAnsi="Book Antiqua"/>
          <w:bCs/>
          <w:szCs w:val="24"/>
          <w:lang w:val="es-ES_tradnl"/>
        </w:rPr>
        <w:t>455</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080CAF" w:rsidRPr="7928BA13">
        <w:rPr>
          <w:rFonts w:ascii="Book Antiqua" w:hAnsi="Book Antiqua"/>
          <w:lang w:val="es-ES"/>
        </w:rPr>
        <w:t xml:space="preserve">crear una nueva “Ley de la Corporación de la Orquesta Sinfónica de Puerto Rico”, mediante la cual se establecerá una corporación pública dirigida a promover el desarrollo y el enriquecimiento de la música y del arte escénico-musical en Puerto Rico, y dentro de la cual quedarán consolidados los propósitos, poderes, funciones, programas y actividades que realizaban las ahora suprimidas Corporación de las Artes Musicales, Corporación de la Orquesta Sinfónica de Puerto Rico y Corporación de las Artes Escénico-Musicales de Puerto Rico; autorizar la creación de subsidiarias o afiliadas, cuando tal acción sea aconsejable, deseable o necesaria para el desempeño de las funciones de la Corporación aquí creada, para cumplir con sus propósitos corporativos o para ejercer sus poderes; disponer sobre la transferencia de poderes, personal, equipo y propiedad de las corporaciones públicas suprimidas hacia la creada por esta Ley; derogar la Ley Núm. 42 de 12 de mayo de 1980, según enmendada, mediante la cual se creó la Corporación de las Artes Escénico-Musicales de Puerto Rico, la Ley Núm. 44 de 12 de mayo de 1980, según enmendada, mediante la cual se creó la Corporación de la Orquesta Sinfónica de Puerto Rico, y la Ley Núm. 4 de 31 de julio de 1985, según enmendada, conocida como “Ley de la Corporación de las Artes Musicales”; enmendar los artículos 2, 3 y 5 de la Ley 42-2014, según </w:t>
      </w:r>
      <w:r w:rsidR="00080CAF" w:rsidRPr="7928BA13">
        <w:rPr>
          <w:rFonts w:ascii="Book Antiqua" w:hAnsi="Book Antiqua"/>
          <w:lang w:val="es-ES"/>
        </w:rPr>
        <w:lastRenderedPageBreak/>
        <w:t>enmendada, conocida como “Ley de la Sede Oficial del Museo Pablo Casals”, a fin de realizar enmiendas técnicas para atemperarla con la presente Ley; enmendar la Sección 1033.15 y añadir una nueva Sección 1033.22 en la Ley 1-2011, según enmendada, conocida como “Código de Rentas Internas de Puerto Rico de 2011”, con el propósito de conceder una deducción especial del cien (100%) a individuos, corporaciones y sociedades por concepto de los auspicios, pagos o aportaciones de donativos hechos a la Corporación de la Orquesta Sinfónica de Puerto Rico</w:t>
      </w:r>
      <w:r w:rsidR="00080CAF">
        <w:rPr>
          <w:rFonts w:ascii="Book Antiqua" w:hAnsi="Book Antiqua"/>
          <w:lang w:val="es-ES"/>
        </w:rPr>
        <w:t>; y</w:t>
      </w:r>
      <w:r w:rsidR="00080CAF" w:rsidRPr="7928BA13">
        <w:rPr>
          <w:rFonts w:ascii="Book Antiqua" w:hAnsi="Book Antiqua"/>
          <w:lang w:val="es-ES"/>
        </w:rPr>
        <w:t xml:space="preserve"> establecer normas y disposiciones transitorias para poder implementar los propósitos de esta Ley</w:t>
      </w:r>
      <w:r w:rsidR="00080CAF">
        <w:rPr>
          <w:rFonts w:ascii="Book Antiqua" w:hAnsi="Book Antiqua"/>
          <w:lang w:val="es-ES"/>
        </w:rPr>
        <w:t>.</w:t>
      </w:r>
    </w:p>
    <w:p w14:paraId="6AF2CC7E" w14:textId="70E03F79" w:rsidR="00816D27" w:rsidRPr="00816D27" w:rsidRDefault="00816D27" w:rsidP="00816D27">
      <w:pPr>
        <w:ind w:firstLine="540"/>
        <w:jc w:val="both"/>
        <w:rPr>
          <w:rFonts w:ascii="Book Antiqua" w:hAnsi="Book Antiqua"/>
          <w:bCs/>
          <w:szCs w:val="24"/>
          <w:lang w:val="es-PR"/>
        </w:rPr>
      </w:pP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30C47343" w14:textId="0C247B2A" w:rsidR="00A73989" w:rsidRDefault="006C5F9B" w:rsidP="00080CAF">
      <w:pPr>
        <w:jc w:val="both"/>
        <w:rPr>
          <w:rFonts w:ascii="Book Antiqua" w:hAnsi="Book Antiqua"/>
          <w:iCs/>
          <w:spacing w:val="-3"/>
          <w:szCs w:val="24"/>
          <w:lang w:val="es-ES_tradnl"/>
        </w:rPr>
      </w:pPr>
      <w:r w:rsidRPr="00B31419">
        <w:rPr>
          <w:rFonts w:ascii="Book Antiqua" w:hAnsi="Book Antiqua"/>
          <w:iCs/>
          <w:spacing w:val="-3"/>
          <w:szCs w:val="24"/>
          <w:lang w:val="es-ES_tradnl"/>
        </w:rPr>
        <w:tab/>
      </w:r>
    </w:p>
    <w:p w14:paraId="282EAEE0" w14:textId="50D55FFD" w:rsidR="00A00629" w:rsidRPr="00A00629" w:rsidRDefault="00A00629" w:rsidP="00A00629">
      <w:pPr>
        <w:ind w:firstLine="720"/>
        <w:jc w:val="both"/>
        <w:rPr>
          <w:rFonts w:ascii="Book Antiqua" w:hAnsi="Book Antiqua"/>
          <w:iCs/>
          <w:spacing w:val="-3"/>
          <w:szCs w:val="24"/>
          <w:lang w:val="es-PR"/>
        </w:rPr>
      </w:pPr>
      <w:r w:rsidRPr="00A00629">
        <w:rPr>
          <w:rFonts w:ascii="Book Antiqua" w:hAnsi="Book Antiqua"/>
          <w:iCs/>
          <w:spacing w:val="-3"/>
          <w:szCs w:val="24"/>
          <w:lang w:val="es-PR"/>
        </w:rPr>
        <w:t>La música y las artes constituyen una parte esencial del alma cultural de Puerto Rico. A través de los años, estas han servido como vehículo de identidad, inspiración y cohesión social para nuestr</w:t>
      </w:r>
      <w:r>
        <w:rPr>
          <w:rFonts w:ascii="Book Antiqua" w:hAnsi="Book Antiqua"/>
          <w:iCs/>
          <w:spacing w:val="-3"/>
          <w:szCs w:val="24"/>
          <w:lang w:val="es-PR"/>
        </w:rPr>
        <w:t>a Isla</w:t>
      </w:r>
      <w:r w:rsidRPr="00A00629">
        <w:rPr>
          <w:rFonts w:ascii="Book Antiqua" w:hAnsi="Book Antiqua"/>
          <w:iCs/>
          <w:spacing w:val="-3"/>
          <w:szCs w:val="24"/>
          <w:lang w:val="es-PR"/>
        </w:rPr>
        <w:t xml:space="preserve">. La Orquesta Sinfónica de Puerto Rico, en particular, ha sido una de las instituciones culturales más emblemáticas del país, llevando el nombre de Puerto Rico a escenarios internacionales y sirviendo de plataforma para el desarrollo de músicos de calibre mundial. No obstante, ante los desafíos fiscales que enfrentan </w:t>
      </w:r>
      <w:r>
        <w:rPr>
          <w:rFonts w:ascii="Book Antiqua" w:hAnsi="Book Antiqua"/>
          <w:iCs/>
          <w:spacing w:val="-3"/>
          <w:szCs w:val="24"/>
          <w:lang w:val="es-PR"/>
        </w:rPr>
        <w:t xml:space="preserve">muchas </w:t>
      </w:r>
      <w:r w:rsidRPr="00A00629">
        <w:rPr>
          <w:rFonts w:ascii="Book Antiqua" w:hAnsi="Book Antiqua"/>
          <w:iCs/>
          <w:spacing w:val="-3"/>
          <w:szCs w:val="24"/>
          <w:lang w:val="es-PR"/>
        </w:rPr>
        <w:t xml:space="preserve">entidades públicas, </w:t>
      </w:r>
      <w:r>
        <w:rPr>
          <w:rFonts w:ascii="Book Antiqua" w:hAnsi="Book Antiqua"/>
          <w:iCs/>
          <w:spacing w:val="-3"/>
          <w:szCs w:val="24"/>
          <w:lang w:val="es-PR"/>
        </w:rPr>
        <w:t xml:space="preserve">luego de la aprobación de la Ley </w:t>
      </w:r>
      <w:r w:rsidRPr="00A00629">
        <w:rPr>
          <w:rFonts w:ascii="Book Antiqua" w:hAnsi="Book Antiqua"/>
          <w:lang w:val="es-PR"/>
        </w:rPr>
        <w:t>para la Supervisión, Administración y Estabilidad Económica de Puerto Rico (PROMESA, por sus siglas en inglés)</w:t>
      </w:r>
      <w:r>
        <w:rPr>
          <w:rFonts w:ascii="Book Antiqua" w:hAnsi="Book Antiqua"/>
          <w:lang w:val="es-PR"/>
        </w:rPr>
        <w:t xml:space="preserve">; </w:t>
      </w:r>
      <w:r w:rsidRPr="00A00629">
        <w:rPr>
          <w:rFonts w:ascii="Book Antiqua" w:hAnsi="Book Antiqua"/>
          <w:iCs/>
          <w:spacing w:val="-3"/>
          <w:szCs w:val="24"/>
          <w:lang w:val="es-PR"/>
        </w:rPr>
        <w:t>se ha hecho urgente establecer un marco legal más eficiente y sostenible para asegurar la continuidad de esta labor artística y educativa.</w:t>
      </w:r>
    </w:p>
    <w:p w14:paraId="15632090" w14:textId="77777777" w:rsidR="00A00629" w:rsidRDefault="00A00629" w:rsidP="00A00629">
      <w:pPr>
        <w:jc w:val="both"/>
        <w:rPr>
          <w:rFonts w:ascii="Book Antiqua" w:hAnsi="Book Antiqua"/>
          <w:iCs/>
          <w:spacing w:val="-3"/>
          <w:szCs w:val="24"/>
          <w:lang w:val="es-PR"/>
        </w:rPr>
      </w:pPr>
    </w:p>
    <w:p w14:paraId="21F7A0EB" w14:textId="4A17FD74" w:rsidR="00A00629" w:rsidRPr="00A00629" w:rsidRDefault="00A00629" w:rsidP="00A00629">
      <w:pPr>
        <w:ind w:firstLine="720"/>
        <w:jc w:val="both"/>
        <w:rPr>
          <w:rFonts w:ascii="Book Antiqua" w:hAnsi="Book Antiqua"/>
          <w:iCs/>
          <w:spacing w:val="-3"/>
          <w:szCs w:val="24"/>
          <w:lang w:val="es-PR"/>
        </w:rPr>
      </w:pPr>
      <w:r w:rsidRPr="00A00629">
        <w:rPr>
          <w:rFonts w:ascii="Book Antiqua" w:hAnsi="Book Antiqua"/>
          <w:iCs/>
          <w:spacing w:val="-3"/>
          <w:szCs w:val="24"/>
          <w:lang w:val="es-PR"/>
        </w:rPr>
        <w:t>La aprobación del presente proyecto de ley, que crea la nueva “Ley de la Corporación de la Orquesta Sinfónica de Puerto Rico”, responde a esa necesidad apremiante. Esta legislación no solo consolida bajo una sola entidad las funciones, programas y recursos de corporaciones previamente existentes, sino que establece una base jurídica y administrativa robusta para garantizar la permanencia y expansión del quehacer musical y escénico-musical en la Isla. Al reorganizar la estructura institucional, se busca no solo reducir la burocracia, sino también optimizar la utilización de recursos, atraer donativos privados, y permitir una operación más ágil y eficaz de los programas culturales, educativos y comunitarios que gestiona la Orquesta.</w:t>
      </w:r>
    </w:p>
    <w:p w14:paraId="67047D66" w14:textId="77777777" w:rsidR="00A00629" w:rsidRDefault="00A00629" w:rsidP="00A00629">
      <w:pPr>
        <w:jc w:val="both"/>
        <w:rPr>
          <w:rFonts w:ascii="Book Antiqua" w:hAnsi="Book Antiqua"/>
          <w:iCs/>
          <w:spacing w:val="-3"/>
          <w:szCs w:val="24"/>
          <w:lang w:val="es-PR"/>
        </w:rPr>
      </w:pPr>
    </w:p>
    <w:p w14:paraId="33E50D2C" w14:textId="16E4EA7D" w:rsidR="00A00629" w:rsidRPr="00A00629" w:rsidRDefault="00A00629" w:rsidP="00A00629">
      <w:pPr>
        <w:ind w:firstLine="720"/>
        <w:jc w:val="both"/>
        <w:rPr>
          <w:rFonts w:ascii="Book Antiqua" w:hAnsi="Book Antiqua"/>
          <w:iCs/>
          <w:spacing w:val="-3"/>
          <w:szCs w:val="24"/>
          <w:lang w:val="es-PR"/>
        </w:rPr>
      </w:pPr>
      <w:r w:rsidRPr="00A00629">
        <w:rPr>
          <w:rFonts w:ascii="Book Antiqua" w:hAnsi="Book Antiqua"/>
          <w:iCs/>
          <w:spacing w:val="-3"/>
          <w:szCs w:val="24"/>
          <w:lang w:val="es-PR"/>
        </w:rPr>
        <w:t>Más allá de su valor artístico, esta nueva corporación representa una inversión estratégica en el desarrollo económico, educativo y turístico de Puerto Rico. La cultura no es un lujo; es un motor de desarrollo y un derecho de los pueblos. La Orquesta Sinfónica, con una trayectoria de excelencia y un cuerpo de músicos mayormente puertorriqueños, no solo debe ser protegida, sino fortalecida como patrimonio cultural inmaterial del país. Esta ley abre la puerta a nuevas oportunidades para fomentar el talento local, ampliar el acceso a la educación musical, y proyectar al mundo el potencial artístico de nuestra Isla. Su aprobación es, por tanto, una acción necesaria, visionaria y justa.</w:t>
      </w:r>
    </w:p>
    <w:p w14:paraId="63A641D5" w14:textId="77777777" w:rsidR="00080CAF" w:rsidRDefault="00080CAF" w:rsidP="00080CAF">
      <w:pPr>
        <w:jc w:val="both"/>
        <w:rPr>
          <w:rFonts w:ascii="Book Antiqua" w:hAnsi="Book Antiqua"/>
          <w:iCs/>
          <w:spacing w:val="-3"/>
          <w:szCs w:val="24"/>
          <w:lang w:val="es-ES_tradnl"/>
        </w:rPr>
      </w:pPr>
    </w:p>
    <w:p w14:paraId="1BAC5E0B" w14:textId="77777777" w:rsidR="00080CAF" w:rsidRDefault="00080CAF" w:rsidP="00080CAF">
      <w:pPr>
        <w:jc w:val="both"/>
        <w:rPr>
          <w:rFonts w:ascii="Book Antiqua" w:hAnsi="Book Antiqua"/>
          <w:iCs/>
          <w:spacing w:val="-3"/>
          <w:szCs w:val="24"/>
          <w:lang w:val="es-ES_tradnl"/>
        </w:rPr>
      </w:pPr>
    </w:p>
    <w:p w14:paraId="52037E3D" w14:textId="0EFCEEB6" w:rsidR="00391980" w:rsidRDefault="00A00629" w:rsidP="00391980">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A</w:t>
      </w:r>
      <w:r w:rsidR="00391980" w:rsidRPr="00391980">
        <w:rPr>
          <w:rFonts w:ascii="Book Antiqua" w:hAnsi="Book Antiqua"/>
          <w:b/>
          <w:bCs/>
          <w:szCs w:val="24"/>
          <w:lang w:val="es-ES"/>
        </w:rPr>
        <w:t xml:space="preserve">NÁLISIS DE LA MEDIDA </w:t>
      </w:r>
    </w:p>
    <w:p w14:paraId="7656DFE7" w14:textId="0B187155" w:rsidR="00403016" w:rsidRDefault="00403016" w:rsidP="00403016">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 xml:space="preserve">P. del S. </w:t>
      </w:r>
      <w:r w:rsidR="004E5427">
        <w:rPr>
          <w:rFonts w:ascii="Book Antiqua" w:hAnsi="Book Antiqua"/>
          <w:szCs w:val="24"/>
          <w:lang w:val="es-ES"/>
        </w:rPr>
        <w:t>455</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sidR="004E5427">
        <w:rPr>
          <w:rFonts w:ascii="Book Antiqua" w:hAnsi="Book Antiqua"/>
          <w:szCs w:val="24"/>
          <w:lang w:val="es-ES"/>
        </w:rPr>
        <w:t>a</w:t>
      </w:r>
      <w:r w:rsidR="0039667F">
        <w:rPr>
          <w:rFonts w:ascii="Book Antiqua" w:hAnsi="Book Antiqua"/>
          <w:szCs w:val="24"/>
          <w:lang w:val="es-ES"/>
        </w:rPr>
        <w:t xml:space="preserve"> la</w:t>
      </w:r>
      <w:r w:rsidR="00AF4615">
        <w:rPr>
          <w:rFonts w:ascii="Book Antiqua" w:hAnsi="Book Antiqua"/>
          <w:szCs w:val="24"/>
          <w:lang w:val="es-ES"/>
        </w:rPr>
        <w:t xml:space="preserve"> Corporación de las Artes Musicales y Subsidiarias (quien agrupa a la</w:t>
      </w:r>
      <w:r w:rsidR="0039667F">
        <w:rPr>
          <w:rFonts w:ascii="Book Antiqua" w:hAnsi="Book Antiqua"/>
          <w:szCs w:val="24"/>
          <w:lang w:val="es-ES"/>
        </w:rPr>
        <w:t xml:space="preserve"> Corporación de la Orquesta Sinfónica de Puerto Rico</w:t>
      </w:r>
      <w:r w:rsidR="00AF4615">
        <w:rPr>
          <w:rFonts w:ascii="Book Antiqua" w:hAnsi="Book Antiqua"/>
          <w:szCs w:val="24"/>
          <w:lang w:val="es-ES"/>
        </w:rPr>
        <w:t xml:space="preserve"> y </w:t>
      </w:r>
      <w:r w:rsidR="00AF4615" w:rsidRPr="00AF4615">
        <w:rPr>
          <w:rFonts w:ascii="Book Antiqua" w:hAnsi="Book Antiqua"/>
          <w:szCs w:val="24"/>
          <w:lang w:val="es-PR"/>
        </w:rPr>
        <w:t>la Corporación de las Artes Escénico-Musicales de Puerto Rico)</w:t>
      </w:r>
      <w:r w:rsidR="0039667F">
        <w:rPr>
          <w:rFonts w:ascii="Book Antiqua" w:hAnsi="Book Antiqua"/>
          <w:szCs w:val="24"/>
          <w:lang w:val="es-ES"/>
        </w:rPr>
        <w:t xml:space="preserve">; Corporación del Centro de Bellas Artes de Puerto Rico; Oficina de Gerencia y Presupuesto (OGP); </w:t>
      </w:r>
      <w:r w:rsidR="00857500">
        <w:rPr>
          <w:rFonts w:ascii="Book Antiqua" w:hAnsi="Book Antiqua"/>
          <w:szCs w:val="24"/>
          <w:lang w:val="es-ES"/>
        </w:rPr>
        <w:t xml:space="preserve">Instituto de Cultura Puertorriqueña y el Departamento de Hacienda. No obstante, a pesar de los múltiples esfuerzos realizados por nuestra Comisión, </w:t>
      </w:r>
      <w:r w:rsidR="000C48FC">
        <w:rPr>
          <w:rFonts w:ascii="Book Antiqua" w:hAnsi="Book Antiqua"/>
          <w:szCs w:val="24"/>
          <w:lang w:val="es-ES"/>
        </w:rPr>
        <w:t xml:space="preserve">al momento de la redacción de este informe, no hemos recibido </w:t>
      </w:r>
      <w:r w:rsidR="00AF4615">
        <w:rPr>
          <w:rFonts w:ascii="Book Antiqua" w:hAnsi="Book Antiqua"/>
          <w:szCs w:val="24"/>
          <w:lang w:val="es-ES"/>
        </w:rPr>
        <w:t>el</w:t>
      </w:r>
      <w:r w:rsidR="000C48FC">
        <w:rPr>
          <w:rFonts w:ascii="Book Antiqua" w:hAnsi="Book Antiqua"/>
          <w:szCs w:val="24"/>
          <w:lang w:val="es-ES"/>
        </w:rPr>
        <w:t xml:space="preserve"> memorial explicativo del Instituto de Cultura Puertorriqueña.</w:t>
      </w:r>
    </w:p>
    <w:p w14:paraId="0872BF01" w14:textId="11D01233" w:rsidR="0004421B" w:rsidRDefault="009B5C77" w:rsidP="00403016">
      <w:pPr>
        <w:tabs>
          <w:tab w:val="left" w:pos="1440"/>
        </w:tabs>
        <w:jc w:val="both"/>
        <w:rPr>
          <w:rFonts w:ascii="Book Antiqua" w:hAnsi="Book Antiqua"/>
          <w:szCs w:val="24"/>
          <w:lang w:val="es-ES"/>
        </w:rPr>
      </w:pPr>
      <w:r>
        <w:rPr>
          <w:rFonts w:ascii="Book Antiqua" w:hAnsi="Book Antiqua"/>
          <w:szCs w:val="24"/>
          <w:lang w:val="es-ES"/>
        </w:rPr>
        <w:tab/>
      </w:r>
    </w:p>
    <w:p w14:paraId="4D8CA889" w14:textId="77777777" w:rsidR="000C48FC" w:rsidRDefault="000C48FC" w:rsidP="000C48FC">
      <w:pPr>
        <w:tabs>
          <w:tab w:val="left" w:pos="1440"/>
        </w:tabs>
        <w:jc w:val="center"/>
        <w:rPr>
          <w:rFonts w:ascii="Book Antiqua" w:hAnsi="Book Antiqua"/>
          <w:szCs w:val="24"/>
          <w:lang w:val="es-ES"/>
        </w:rPr>
      </w:pPr>
    </w:p>
    <w:p w14:paraId="55ACAF48" w14:textId="77777777" w:rsidR="005D1109" w:rsidRDefault="005D1109" w:rsidP="000C48FC">
      <w:pPr>
        <w:tabs>
          <w:tab w:val="left" w:pos="1440"/>
        </w:tabs>
        <w:jc w:val="center"/>
        <w:rPr>
          <w:rFonts w:ascii="Book Antiqua" w:hAnsi="Book Antiqua"/>
          <w:b/>
          <w:bCs/>
          <w:szCs w:val="24"/>
          <w:u w:val="single"/>
          <w:lang w:val="es-ES"/>
        </w:rPr>
      </w:pPr>
    </w:p>
    <w:p w14:paraId="4A58C890" w14:textId="6C2F32EF" w:rsidR="005D1109" w:rsidRPr="005D1109" w:rsidRDefault="005D1109" w:rsidP="000C48FC">
      <w:pPr>
        <w:tabs>
          <w:tab w:val="left" w:pos="1440"/>
        </w:tabs>
        <w:jc w:val="center"/>
        <w:rPr>
          <w:rFonts w:ascii="Book Antiqua" w:hAnsi="Book Antiqua"/>
          <w:b/>
          <w:bCs/>
          <w:szCs w:val="24"/>
          <w:u w:val="single"/>
          <w:lang w:val="es-ES"/>
        </w:rPr>
      </w:pPr>
      <w:r w:rsidRPr="005D1109">
        <w:rPr>
          <w:rFonts w:ascii="Book Antiqua" w:hAnsi="Book Antiqua"/>
          <w:b/>
          <w:bCs/>
          <w:szCs w:val="24"/>
          <w:u w:val="single"/>
          <w:lang w:val="es-ES"/>
        </w:rPr>
        <w:t>MEMORIAL CONJUNTO DE LA OFICINA DE GERENCIA Y PRESUPUESTO (OGP), DEPARTAMENTO DE HACIENDA Y AUTORIDAD DE ASESORÍA FINANCIERA Y AGENCIA FISCAL DE PUERTO RICO (AAFAF)</w:t>
      </w:r>
    </w:p>
    <w:p w14:paraId="37E39538" w14:textId="77777777" w:rsidR="005D1109" w:rsidRDefault="005D1109" w:rsidP="000C48FC">
      <w:pPr>
        <w:tabs>
          <w:tab w:val="left" w:pos="1440"/>
        </w:tabs>
        <w:jc w:val="center"/>
        <w:rPr>
          <w:rFonts w:ascii="Book Antiqua" w:hAnsi="Book Antiqua"/>
          <w:b/>
          <w:bCs/>
          <w:szCs w:val="24"/>
          <w:u w:val="single"/>
          <w:lang w:val="es-ES"/>
        </w:rPr>
      </w:pPr>
    </w:p>
    <w:p w14:paraId="6CED9E88" w14:textId="07E58865" w:rsidR="005D1109" w:rsidRDefault="005D1109" w:rsidP="009127BC">
      <w:pPr>
        <w:jc w:val="both"/>
        <w:rPr>
          <w:rFonts w:ascii="Book Antiqua" w:hAnsi="Book Antiqua"/>
          <w:szCs w:val="24"/>
          <w:lang w:val="es-PR"/>
        </w:rPr>
      </w:pPr>
      <w:r>
        <w:rPr>
          <w:rFonts w:ascii="Book Antiqua" w:hAnsi="Book Antiqua"/>
          <w:szCs w:val="24"/>
          <w:lang w:val="es-ES"/>
        </w:rPr>
        <w:tab/>
        <w:t xml:space="preserve">La Oficina de Gerencia y Presupuesto (en adelante OGP), el Departamento de Hacienda y </w:t>
      </w:r>
      <w:r w:rsidRPr="005D1109">
        <w:rPr>
          <w:rFonts w:ascii="Book Antiqua" w:hAnsi="Book Antiqua"/>
          <w:szCs w:val="24"/>
          <w:lang w:val="es-ES"/>
        </w:rPr>
        <w:t>Autoridad De Asesoría Financiera Y Agencia Fiscal De Puerto Rico (A</w:t>
      </w:r>
      <w:r>
        <w:rPr>
          <w:rFonts w:ascii="Book Antiqua" w:hAnsi="Book Antiqua"/>
          <w:szCs w:val="24"/>
          <w:lang w:val="es-ES"/>
        </w:rPr>
        <w:t>AFA</w:t>
      </w:r>
      <w:r w:rsidR="009127BC">
        <w:rPr>
          <w:rFonts w:ascii="Book Antiqua" w:hAnsi="Book Antiqua"/>
          <w:szCs w:val="24"/>
          <w:lang w:val="es-ES"/>
        </w:rPr>
        <w:t xml:space="preserve">F) presentaron un memorial conjunto en el que incluyen su posición sobre la aprobación de la medida.  </w:t>
      </w:r>
      <w:r w:rsidR="009127BC" w:rsidRPr="009127BC">
        <w:rPr>
          <w:rFonts w:ascii="Book Antiqua" w:hAnsi="Book Antiqua"/>
          <w:szCs w:val="24"/>
          <w:lang w:val="es-PR"/>
        </w:rPr>
        <w:t xml:space="preserve">Estas entidades validan y respaldan </w:t>
      </w:r>
      <w:r w:rsidR="009127BC">
        <w:rPr>
          <w:rFonts w:ascii="Book Antiqua" w:hAnsi="Book Antiqua"/>
          <w:szCs w:val="24"/>
          <w:lang w:val="es-PR"/>
        </w:rPr>
        <w:t>la aprobación d</w:t>
      </w:r>
      <w:r w:rsidR="009127BC" w:rsidRPr="009127BC">
        <w:rPr>
          <w:rFonts w:ascii="Book Antiqua" w:hAnsi="Book Antiqua"/>
          <w:szCs w:val="24"/>
          <w:lang w:val="es-PR"/>
        </w:rPr>
        <w:t>el P</w:t>
      </w:r>
      <w:r w:rsidR="009127BC">
        <w:rPr>
          <w:rFonts w:ascii="Book Antiqua" w:hAnsi="Book Antiqua"/>
          <w:szCs w:val="24"/>
          <w:lang w:val="es-PR"/>
        </w:rPr>
        <w:t xml:space="preserve">. del </w:t>
      </w:r>
      <w:r w:rsidR="009127BC" w:rsidRPr="009127BC">
        <w:rPr>
          <w:rFonts w:ascii="Book Antiqua" w:hAnsi="Book Antiqua"/>
          <w:szCs w:val="24"/>
          <w:lang w:val="es-PR"/>
        </w:rPr>
        <w:t>S</w:t>
      </w:r>
      <w:r w:rsidR="009127BC">
        <w:rPr>
          <w:rFonts w:ascii="Book Antiqua" w:hAnsi="Book Antiqua"/>
          <w:szCs w:val="24"/>
          <w:lang w:val="es-PR"/>
        </w:rPr>
        <w:t>.</w:t>
      </w:r>
      <w:r w:rsidR="009127BC" w:rsidRPr="009127BC">
        <w:rPr>
          <w:rFonts w:ascii="Book Antiqua" w:hAnsi="Book Antiqua"/>
          <w:szCs w:val="24"/>
          <w:lang w:val="es-PR"/>
        </w:rPr>
        <w:t xml:space="preserve"> 455 desde sus respectivas áreas de competencia: asesoría fiscal, control presupuestario y administración tributaria</w:t>
      </w:r>
      <w:r w:rsidR="002B01B5">
        <w:rPr>
          <w:rFonts w:ascii="Book Antiqua" w:hAnsi="Book Antiqua"/>
          <w:szCs w:val="24"/>
          <w:lang w:val="es-PR"/>
        </w:rPr>
        <w:t xml:space="preserve"> y a su vez, mencionan que </w:t>
      </w:r>
      <w:r w:rsidR="002B01B5" w:rsidRPr="002B01B5">
        <w:rPr>
          <w:rFonts w:ascii="Book Antiqua" w:hAnsi="Book Antiqua"/>
          <w:szCs w:val="24"/>
          <w:lang w:val="es-PR"/>
        </w:rPr>
        <w:t>la medida es cónsona con políticas de eficiencia gubernamental y fiscal, como la consolidación de agencias y la reducción del gasto público, alineándose con principios del Plan Fiscal vigente y el Boletín Administrativo OE-2025-009.</w:t>
      </w:r>
    </w:p>
    <w:p w14:paraId="2C7D45CB" w14:textId="77777777" w:rsidR="00221DCF" w:rsidRDefault="00221DCF" w:rsidP="009127BC">
      <w:pPr>
        <w:jc w:val="both"/>
        <w:rPr>
          <w:rFonts w:ascii="Book Antiqua" w:hAnsi="Book Antiqua"/>
          <w:szCs w:val="24"/>
          <w:lang w:val="es-PR"/>
        </w:rPr>
      </w:pPr>
    </w:p>
    <w:p w14:paraId="46E7BDE5" w14:textId="1D5A396E" w:rsidR="00221DCF" w:rsidRDefault="00221DCF" w:rsidP="009127BC">
      <w:pPr>
        <w:jc w:val="both"/>
        <w:rPr>
          <w:rFonts w:ascii="Book Antiqua" w:hAnsi="Book Antiqua"/>
          <w:szCs w:val="24"/>
          <w:lang w:val="es-PR"/>
        </w:rPr>
      </w:pPr>
      <w:r>
        <w:rPr>
          <w:rFonts w:ascii="Book Antiqua" w:hAnsi="Book Antiqua"/>
          <w:szCs w:val="24"/>
          <w:lang w:val="es-PR"/>
        </w:rPr>
        <w:tab/>
        <w:t>Expresan que entre los beneficios estructurales y administrativos se encuentran:</w:t>
      </w:r>
    </w:p>
    <w:p w14:paraId="1187D9A3" w14:textId="77777777" w:rsidR="00221DCF" w:rsidRDefault="00221DCF" w:rsidP="009127BC">
      <w:pPr>
        <w:jc w:val="both"/>
        <w:rPr>
          <w:rFonts w:ascii="Book Antiqua" w:hAnsi="Book Antiqua"/>
          <w:szCs w:val="24"/>
          <w:lang w:val="es-PR"/>
        </w:rPr>
      </w:pPr>
    </w:p>
    <w:p w14:paraId="2E8F12BD" w14:textId="77777777" w:rsidR="00221DCF" w:rsidRDefault="00221DCF" w:rsidP="00221DCF">
      <w:pPr>
        <w:numPr>
          <w:ilvl w:val="0"/>
          <w:numId w:val="2"/>
        </w:numPr>
        <w:jc w:val="both"/>
        <w:rPr>
          <w:rFonts w:ascii="Book Antiqua" w:hAnsi="Book Antiqua"/>
          <w:szCs w:val="24"/>
          <w:lang w:val="es-PR"/>
        </w:rPr>
      </w:pPr>
      <w:r w:rsidRPr="00221DCF">
        <w:rPr>
          <w:rFonts w:ascii="Book Antiqua" w:hAnsi="Book Antiqua"/>
          <w:b/>
          <w:bCs/>
          <w:szCs w:val="24"/>
          <w:lang w:val="es-PR"/>
        </w:rPr>
        <w:t>Consolidación eficiente</w:t>
      </w:r>
      <w:r w:rsidRPr="00221DCF">
        <w:rPr>
          <w:rFonts w:ascii="Book Antiqua" w:hAnsi="Book Antiqua"/>
          <w:szCs w:val="24"/>
          <w:lang w:val="es-PR"/>
        </w:rPr>
        <w:t>: El PS 455 eliminaría la duplicidad de funciones administrativas entre tres corporaciones públicas relacionadas con las artes. Se integrarán recursos humanos, presupuestarios y operacionales bajo una sola estructura.</w:t>
      </w:r>
    </w:p>
    <w:p w14:paraId="732DB758" w14:textId="77777777" w:rsidR="00221DCF" w:rsidRPr="00221DCF" w:rsidRDefault="00221DCF" w:rsidP="00221DCF">
      <w:pPr>
        <w:ind w:left="720"/>
        <w:jc w:val="both"/>
        <w:rPr>
          <w:rFonts w:ascii="Book Antiqua" w:hAnsi="Book Antiqua"/>
          <w:szCs w:val="24"/>
          <w:lang w:val="es-PR"/>
        </w:rPr>
      </w:pPr>
    </w:p>
    <w:p w14:paraId="41CEAA70" w14:textId="77777777" w:rsidR="00221DCF" w:rsidRDefault="00221DCF" w:rsidP="00221DCF">
      <w:pPr>
        <w:numPr>
          <w:ilvl w:val="0"/>
          <w:numId w:val="2"/>
        </w:numPr>
        <w:jc w:val="both"/>
        <w:rPr>
          <w:rFonts w:ascii="Book Antiqua" w:hAnsi="Book Antiqua"/>
          <w:szCs w:val="24"/>
          <w:lang w:val="es-PR"/>
        </w:rPr>
      </w:pPr>
      <w:r w:rsidRPr="00221DCF">
        <w:rPr>
          <w:rFonts w:ascii="Book Antiqua" w:hAnsi="Book Antiqua"/>
          <w:b/>
          <w:bCs/>
          <w:szCs w:val="24"/>
          <w:lang w:val="es-PR"/>
        </w:rPr>
        <w:t>Reducción de gastos administrativos</w:t>
      </w:r>
      <w:r w:rsidRPr="00221DCF">
        <w:rPr>
          <w:rFonts w:ascii="Book Antiqua" w:hAnsi="Book Antiqua"/>
          <w:szCs w:val="24"/>
          <w:lang w:val="es-PR"/>
        </w:rPr>
        <w:t>: Al compartir infraestructura y personal, se eliminarán redundancias y se optimizarán recursos.</w:t>
      </w:r>
    </w:p>
    <w:p w14:paraId="35532011" w14:textId="77777777" w:rsidR="00221DCF" w:rsidRPr="00221DCF" w:rsidRDefault="00221DCF" w:rsidP="00221DCF">
      <w:pPr>
        <w:jc w:val="both"/>
        <w:rPr>
          <w:rFonts w:ascii="Book Antiqua" w:hAnsi="Book Antiqua"/>
          <w:szCs w:val="24"/>
          <w:lang w:val="es-PR"/>
        </w:rPr>
      </w:pPr>
    </w:p>
    <w:p w14:paraId="306D52FF" w14:textId="77777777" w:rsidR="00221DCF" w:rsidRPr="00221DCF" w:rsidRDefault="00221DCF" w:rsidP="00221DCF">
      <w:pPr>
        <w:numPr>
          <w:ilvl w:val="0"/>
          <w:numId w:val="2"/>
        </w:numPr>
        <w:jc w:val="both"/>
        <w:rPr>
          <w:rFonts w:ascii="Book Antiqua" w:hAnsi="Book Antiqua"/>
          <w:szCs w:val="24"/>
          <w:lang w:val="es-PR"/>
        </w:rPr>
      </w:pPr>
      <w:r w:rsidRPr="00221DCF">
        <w:rPr>
          <w:rFonts w:ascii="Book Antiqua" w:hAnsi="Book Antiqua"/>
          <w:b/>
          <w:bCs/>
          <w:szCs w:val="24"/>
          <w:lang w:val="es-PR"/>
        </w:rPr>
        <w:t>Modernización y transparencia</w:t>
      </w:r>
      <w:r w:rsidRPr="00221DCF">
        <w:rPr>
          <w:rFonts w:ascii="Book Antiqua" w:hAnsi="Book Antiqua"/>
          <w:szCs w:val="24"/>
          <w:lang w:val="es-PR"/>
        </w:rPr>
        <w:t>: Se fomenta una estructura organizacional moderna que garantiza eficiencia, gobernanza sólida y transparencia en la prestación de servicios culturales.</w:t>
      </w:r>
    </w:p>
    <w:p w14:paraId="79E23FBE" w14:textId="77777777" w:rsidR="00221DCF" w:rsidRPr="002B01B5" w:rsidRDefault="00221DCF" w:rsidP="009127BC">
      <w:pPr>
        <w:jc w:val="both"/>
        <w:rPr>
          <w:rFonts w:ascii="Book Antiqua" w:hAnsi="Book Antiqua"/>
          <w:szCs w:val="24"/>
          <w:lang w:val="es-PR"/>
        </w:rPr>
      </w:pPr>
    </w:p>
    <w:p w14:paraId="3CA5CE40" w14:textId="77777777" w:rsidR="005D1109" w:rsidRDefault="005D1109" w:rsidP="000C48FC">
      <w:pPr>
        <w:tabs>
          <w:tab w:val="left" w:pos="1440"/>
        </w:tabs>
        <w:jc w:val="center"/>
        <w:rPr>
          <w:rFonts w:ascii="Book Antiqua" w:hAnsi="Book Antiqua"/>
          <w:b/>
          <w:bCs/>
          <w:szCs w:val="24"/>
          <w:u w:val="single"/>
          <w:lang w:val="es-ES"/>
        </w:rPr>
      </w:pPr>
    </w:p>
    <w:p w14:paraId="09098DA4" w14:textId="0422085B" w:rsidR="00221DCF" w:rsidRDefault="0059606B" w:rsidP="0059606B">
      <w:pPr>
        <w:jc w:val="both"/>
        <w:rPr>
          <w:rFonts w:ascii="Book Antiqua" w:hAnsi="Book Antiqua"/>
          <w:szCs w:val="24"/>
          <w:lang w:val="es-PR"/>
        </w:rPr>
      </w:pPr>
      <w:r>
        <w:rPr>
          <w:rFonts w:ascii="Book Antiqua" w:hAnsi="Book Antiqua"/>
          <w:szCs w:val="24"/>
          <w:lang w:val="es-ES"/>
        </w:rPr>
        <w:tab/>
      </w:r>
      <w:r w:rsidR="00221DCF" w:rsidRPr="00221DCF">
        <w:rPr>
          <w:rFonts w:ascii="Book Antiqua" w:hAnsi="Book Antiqua"/>
          <w:szCs w:val="24"/>
          <w:lang w:val="es-ES"/>
        </w:rPr>
        <w:t xml:space="preserve">Por otra </w:t>
      </w:r>
      <w:r w:rsidR="000318E7" w:rsidRPr="00221DCF">
        <w:rPr>
          <w:rFonts w:ascii="Book Antiqua" w:hAnsi="Book Antiqua"/>
          <w:szCs w:val="24"/>
          <w:lang w:val="es-ES"/>
        </w:rPr>
        <w:t>parte,</w:t>
      </w:r>
      <w:r w:rsidR="00221DCF" w:rsidRPr="00221DCF">
        <w:rPr>
          <w:rFonts w:ascii="Book Antiqua" w:hAnsi="Book Antiqua"/>
          <w:szCs w:val="24"/>
          <w:lang w:val="es-ES"/>
        </w:rPr>
        <w:t xml:space="preserve"> </w:t>
      </w:r>
      <w:r w:rsidR="00221DCF">
        <w:rPr>
          <w:rFonts w:ascii="Book Antiqua" w:hAnsi="Book Antiqua"/>
          <w:szCs w:val="24"/>
          <w:lang w:val="es-ES"/>
        </w:rPr>
        <w:t>mencionan</w:t>
      </w:r>
      <w:r w:rsidR="00221DCF" w:rsidRPr="00221DCF">
        <w:rPr>
          <w:rFonts w:ascii="Book Antiqua" w:hAnsi="Book Antiqua"/>
          <w:lang w:val="es-PR"/>
        </w:rPr>
        <w:t xml:space="preserve"> </w:t>
      </w:r>
      <w:r>
        <w:rPr>
          <w:rFonts w:ascii="Book Antiqua" w:hAnsi="Book Antiqua"/>
          <w:lang w:val="es-PR"/>
        </w:rPr>
        <w:t xml:space="preserve">que la medida </w:t>
      </w:r>
      <w:r w:rsidR="00221DCF" w:rsidRPr="00221DCF">
        <w:rPr>
          <w:rFonts w:ascii="Book Antiqua" w:hAnsi="Book Antiqua"/>
          <w:lang w:val="es-PR"/>
        </w:rPr>
        <w:t>se ajusta a los lineamientos de consolidación de agencias incluidos en planes fiscales anteriores (por ejemplo, el Plan Fiscal certificado el 3 de abril de 2023 y el más reciente del 5 de junio de 2024), donde se promovía la agrupación de entidades culturales para lograr eficiencia operativa.</w:t>
      </w:r>
      <w:r w:rsidR="00221DCF">
        <w:rPr>
          <w:rFonts w:ascii="Book Antiqua" w:hAnsi="Book Antiqua"/>
          <w:lang w:val="es-PR"/>
        </w:rPr>
        <w:t xml:space="preserve"> </w:t>
      </w:r>
      <w:r>
        <w:rPr>
          <w:rFonts w:ascii="Book Antiqua" w:hAnsi="Book Antiqua"/>
          <w:lang w:val="es-PR"/>
        </w:rPr>
        <w:t>De igual manera, concuerdan que l</w:t>
      </w:r>
      <w:r w:rsidR="00221DCF" w:rsidRPr="00221DCF">
        <w:rPr>
          <w:rFonts w:ascii="Book Antiqua" w:hAnsi="Book Antiqua"/>
          <w:szCs w:val="24"/>
          <w:lang w:val="es-PR"/>
        </w:rPr>
        <w:t xml:space="preserve">a medida responde a las prioridades </w:t>
      </w:r>
      <w:r>
        <w:rPr>
          <w:rFonts w:ascii="Book Antiqua" w:hAnsi="Book Antiqua"/>
          <w:szCs w:val="24"/>
          <w:lang w:val="es-PR"/>
        </w:rPr>
        <w:t>establecidas por l</w:t>
      </w:r>
      <w:r w:rsidR="00221DCF" w:rsidRPr="00221DCF">
        <w:rPr>
          <w:rFonts w:ascii="Book Antiqua" w:hAnsi="Book Antiqua"/>
          <w:szCs w:val="24"/>
          <w:lang w:val="es-PR"/>
        </w:rPr>
        <w:t>a Gobernadora Jenniffer A. González Colón, incluyendo la reducción del gasto, simplificación administrativa y fortalecimiento cultural.</w:t>
      </w:r>
    </w:p>
    <w:p w14:paraId="6530503F" w14:textId="77777777" w:rsidR="0059606B" w:rsidRDefault="0059606B" w:rsidP="0059606B">
      <w:pPr>
        <w:jc w:val="both"/>
        <w:rPr>
          <w:rFonts w:ascii="Book Antiqua" w:hAnsi="Book Antiqua"/>
          <w:szCs w:val="24"/>
          <w:lang w:val="es-PR"/>
        </w:rPr>
      </w:pPr>
    </w:p>
    <w:p w14:paraId="49878B16" w14:textId="77777777" w:rsidR="000F7E9A" w:rsidRDefault="0059606B" w:rsidP="0059606B">
      <w:pPr>
        <w:jc w:val="both"/>
        <w:rPr>
          <w:rFonts w:ascii="Book Antiqua" w:hAnsi="Book Antiqua"/>
          <w:szCs w:val="24"/>
          <w:lang w:val="es-PR"/>
        </w:rPr>
      </w:pPr>
      <w:r>
        <w:rPr>
          <w:rFonts w:ascii="Book Antiqua" w:hAnsi="Book Antiqua"/>
          <w:szCs w:val="24"/>
          <w:lang w:val="es-PR"/>
        </w:rPr>
        <w:tab/>
        <w:t>En cuanto al impacto fiscal inicial, estos expresan que l</w:t>
      </w:r>
      <w:r w:rsidRPr="0059606B">
        <w:rPr>
          <w:rFonts w:ascii="Book Antiqua" w:hAnsi="Book Antiqua"/>
          <w:szCs w:val="24"/>
          <w:lang w:val="es-PR"/>
        </w:rPr>
        <w:t xml:space="preserve">a creación de la nueva corporación no representa un gasto adicional para el gobierno </w:t>
      </w:r>
      <w:r>
        <w:rPr>
          <w:rFonts w:ascii="Book Antiqua" w:hAnsi="Book Antiqua"/>
          <w:szCs w:val="24"/>
          <w:lang w:val="es-PR"/>
        </w:rPr>
        <w:t>a</w:t>
      </w:r>
      <w:r w:rsidRPr="0059606B">
        <w:rPr>
          <w:rFonts w:ascii="Book Antiqua" w:hAnsi="Book Antiqua"/>
          <w:szCs w:val="24"/>
          <w:lang w:val="es-PR"/>
        </w:rPr>
        <w:t xml:space="preserve"> corto plazo. </w:t>
      </w:r>
      <w:r>
        <w:rPr>
          <w:rFonts w:ascii="Book Antiqua" w:hAnsi="Book Antiqua"/>
          <w:szCs w:val="24"/>
          <w:lang w:val="es-PR"/>
        </w:rPr>
        <w:t>Esto debido a que l</w:t>
      </w:r>
      <w:r w:rsidRPr="0059606B">
        <w:rPr>
          <w:rFonts w:ascii="Book Antiqua" w:hAnsi="Book Antiqua"/>
          <w:szCs w:val="24"/>
          <w:lang w:val="es-PR"/>
        </w:rPr>
        <w:t xml:space="preserve">os presupuestos ya existentes de las tres entidades que se </w:t>
      </w:r>
      <w:r>
        <w:rPr>
          <w:rFonts w:ascii="Book Antiqua" w:hAnsi="Book Antiqua"/>
          <w:szCs w:val="24"/>
          <w:lang w:val="es-PR"/>
        </w:rPr>
        <w:t xml:space="preserve">estarán </w:t>
      </w:r>
      <w:r w:rsidRPr="0059606B">
        <w:rPr>
          <w:rFonts w:ascii="Book Antiqua" w:hAnsi="Book Antiqua"/>
          <w:szCs w:val="24"/>
          <w:lang w:val="es-PR"/>
        </w:rPr>
        <w:t>consolidan</w:t>
      </w:r>
      <w:r>
        <w:rPr>
          <w:rFonts w:ascii="Book Antiqua" w:hAnsi="Book Antiqua"/>
          <w:szCs w:val="24"/>
          <w:lang w:val="es-PR"/>
        </w:rPr>
        <w:t>do</w:t>
      </w:r>
      <w:r w:rsidRPr="0059606B">
        <w:rPr>
          <w:rFonts w:ascii="Book Antiqua" w:hAnsi="Book Antiqua"/>
          <w:szCs w:val="24"/>
          <w:lang w:val="es-PR"/>
        </w:rPr>
        <w:t xml:space="preserve"> serán transferidos, manteniéndose el gasto actual sin aumentos.</w:t>
      </w:r>
      <w:r>
        <w:rPr>
          <w:rFonts w:ascii="Book Antiqua" w:hAnsi="Book Antiqua"/>
          <w:szCs w:val="24"/>
          <w:lang w:val="es-PR"/>
        </w:rPr>
        <w:t xml:space="preserve"> </w:t>
      </w:r>
    </w:p>
    <w:p w14:paraId="557F88FA" w14:textId="77777777" w:rsidR="000F7E9A" w:rsidRDefault="000F7E9A" w:rsidP="0059606B">
      <w:pPr>
        <w:jc w:val="both"/>
        <w:rPr>
          <w:rFonts w:ascii="Book Antiqua" w:hAnsi="Book Antiqua"/>
          <w:szCs w:val="24"/>
          <w:lang w:val="es-PR"/>
        </w:rPr>
      </w:pPr>
    </w:p>
    <w:p w14:paraId="103AC7C3" w14:textId="6FEF96F8" w:rsidR="0059606B" w:rsidRDefault="0059606B" w:rsidP="0059606B">
      <w:pPr>
        <w:jc w:val="both"/>
        <w:rPr>
          <w:rFonts w:ascii="Book Antiqua" w:hAnsi="Book Antiqua"/>
          <w:szCs w:val="24"/>
          <w:lang w:val="es-PR"/>
        </w:rPr>
      </w:pPr>
      <w:r>
        <w:rPr>
          <w:rFonts w:ascii="Book Antiqua" w:hAnsi="Book Antiqua"/>
          <w:szCs w:val="24"/>
          <w:lang w:val="es-PR"/>
        </w:rPr>
        <w:t xml:space="preserve">También indican que, en cuanto a los ahorros proyectados a largo plazo, la </w:t>
      </w:r>
      <w:r w:rsidRPr="0059606B">
        <w:rPr>
          <w:rFonts w:ascii="Book Antiqua" w:hAnsi="Book Antiqua"/>
          <w:szCs w:val="24"/>
          <w:lang w:val="es-PR"/>
        </w:rPr>
        <w:t>centralización administrativa permitirá un uso más eficaz del presupuesto, generando ahorros al eliminar procesos duplicados y optimizar compras y servicios</w:t>
      </w:r>
      <w:r>
        <w:rPr>
          <w:rFonts w:ascii="Book Antiqua" w:hAnsi="Book Antiqua"/>
          <w:szCs w:val="24"/>
          <w:lang w:val="es-PR"/>
        </w:rPr>
        <w:t xml:space="preserve">. Estos mencionan que con la aprobación de la presente medida se espera una autonomía financiera futura de la corporación es, esto debido a que </w:t>
      </w:r>
      <w:r w:rsidRPr="0059606B">
        <w:rPr>
          <w:rFonts w:ascii="Book Antiqua" w:hAnsi="Book Antiqua"/>
          <w:szCs w:val="24"/>
          <w:lang w:val="es-PR"/>
        </w:rPr>
        <w:t>a medida que aumenten las donaciones privadas y el patrocinio corporativo gracias a los incentivos contributivos, la nueva corporación dependa menos del Fondo General.</w:t>
      </w:r>
    </w:p>
    <w:p w14:paraId="739F82A0" w14:textId="77777777" w:rsidR="00800740" w:rsidRDefault="00800740" w:rsidP="0059606B">
      <w:pPr>
        <w:jc w:val="both"/>
        <w:rPr>
          <w:rFonts w:ascii="Book Antiqua" w:hAnsi="Book Antiqua"/>
          <w:szCs w:val="24"/>
          <w:lang w:val="es-PR"/>
        </w:rPr>
      </w:pPr>
    </w:p>
    <w:p w14:paraId="7BBEE493" w14:textId="0495023C" w:rsidR="00800740" w:rsidRDefault="000318E7" w:rsidP="0059606B">
      <w:pPr>
        <w:jc w:val="both"/>
        <w:rPr>
          <w:rFonts w:ascii="Book Antiqua" w:hAnsi="Book Antiqua"/>
          <w:szCs w:val="24"/>
          <w:lang w:val="es-PR"/>
        </w:rPr>
      </w:pPr>
      <w:r>
        <w:rPr>
          <w:rFonts w:ascii="Book Antiqua" w:hAnsi="Book Antiqua"/>
          <w:szCs w:val="24"/>
          <w:lang w:val="es-PR"/>
        </w:rPr>
        <w:t xml:space="preserve">Por otro lado, </w:t>
      </w:r>
      <w:r w:rsidR="00205201">
        <w:rPr>
          <w:rFonts w:ascii="Book Antiqua" w:hAnsi="Book Antiqua"/>
          <w:szCs w:val="24"/>
          <w:lang w:val="es-PR"/>
        </w:rPr>
        <w:t xml:space="preserve">indican que la medida </w:t>
      </w:r>
      <w:r w:rsidR="00205201" w:rsidRPr="00800740">
        <w:rPr>
          <w:rFonts w:ascii="Book Antiqua" w:hAnsi="Book Antiqua"/>
          <w:szCs w:val="24"/>
          <w:lang w:val="es-PR"/>
        </w:rPr>
        <w:t>modifica el Código de Rentas Internas para permitir a individuos y entidades deducir el 100% de los donativos realizados a la nueva Corporación de la Orquesta Sinfónica de Puerto Rico, sin las limitaciones actuales (como el tope del 50% del ingreso bruto ajustado)</w:t>
      </w:r>
      <w:r w:rsidR="00205201">
        <w:rPr>
          <w:rFonts w:ascii="Book Antiqua" w:hAnsi="Book Antiqua"/>
          <w:szCs w:val="24"/>
          <w:lang w:val="es-PR"/>
        </w:rPr>
        <w:t xml:space="preserve">. </w:t>
      </w:r>
      <w:r w:rsidR="00205201" w:rsidRPr="00800740">
        <w:rPr>
          <w:rFonts w:ascii="Book Antiqua" w:hAnsi="Book Antiqua"/>
          <w:szCs w:val="24"/>
          <w:lang w:val="es-PR"/>
        </w:rPr>
        <w:t>Este cambio es clave para atraer donaciones, fomentar el mecenazgo y establecer una base financiera estable para el futuro de la orquesta y de las artes escénico-musicales en la isla.</w:t>
      </w:r>
    </w:p>
    <w:p w14:paraId="44D0E16D" w14:textId="77777777" w:rsidR="00205201" w:rsidRDefault="00205201" w:rsidP="0059606B">
      <w:pPr>
        <w:jc w:val="both"/>
        <w:rPr>
          <w:rFonts w:ascii="Book Antiqua" w:hAnsi="Book Antiqua"/>
          <w:szCs w:val="24"/>
          <w:lang w:val="es-PR"/>
        </w:rPr>
      </w:pPr>
    </w:p>
    <w:p w14:paraId="3692C58C" w14:textId="3FAD8111" w:rsidR="00800740" w:rsidRPr="00800740" w:rsidRDefault="00205201" w:rsidP="00205201">
      <w:pPr>
        <w:jc w:val="both"/>
        <w:rPr>
          <w:rFonts w:ascii="Book Antiqua" w:hAnsi="Book Antiqua"/>
          <w:szCs w:val="24"/>
          <w:lang w:val="es-PR"/>
        </w:rPr>
      </w:pPr>
      <w:r>
        <w:rPr>
          <w:rFonts w:ascii="Book Antiqua" w:hAnsi="Book Antiqua"/>
          <w:szCs w:val="24"/>
          <w:lang w:val="es-PR"/>
        </w:rPr>
        <w:t xml:space="preserve">A su vez, subrayan que, </w:t>
      </w:r>
      <w:r w:rsidR="00800740" w:rsidRPr="00800740">
        <w:rPr>
          <w:rFonts w:ascii="Book Antiqua" w:hAnsi="Book Antiqua"/>
          <w:szCs w:val="24"/>
          <w:lang w:val="es-PR"/>
        </w:rPr>
        <w:t xml:space="preserve">a pesar del incentivo contributivo, el Gobierno ha evidenciado </w:t>
      </w:r>
      <w:r w:rsidR="00800740" w:rsidRPr="00800740">
        <w:rPr>
          <w:rFonts w:ascii="Book Antiqua" w:hAnsi="Book Antiqua"/>
          <w:b/>
          <w:bCs/>
          <w:szCs w:val="24"/>
          <w:lang w:val="es-PR"/>
        </w:rPr>
        <w:t>recaudos en exceso</w:t>
      </w:r>
      <w:r w:rsidR="00800740" w:rsidRPr="00800740">
        <w:rPr>
          <w:rFonts w:ascii="Book Antiqua" w:hAnsi="Book Antiqua"/>
          <w:szCs w:val="24"/>
          <w:lang w:val="es-PR"/>
        </w:rPr>
        <w:t xml:space="preserve"> respecto a las proyecciones, lo cual permite absorber el impacto nominal de estas deducciones.</w:t>
      </w:r>
      <w:r>
        <w:rPr>
          <w:rFonts w:ascii="Book Antiqua" w:hAnsi="Book Antiqua"/>
          <w:szCs w:val="24"/>
          <w:lang w:val="es-PR"/>
        </w:rPr>
        <w:t xml:space="preserve"> Y que, a</w:t>
      </w:r>
      <w:r w:rsidRPr="00205201">
        <w:rPr>
          <w:rFonts w:ascii="Book Antiqua" w:hAnsi="Book Antiqua"/>
          <w:szCs w:val="24"/>
          <w:lang w:val="es-PR"/>
        </w:rPr>
        <w:t xml:space="preserve"> </w:t>
      </w:r>
      <w:r w:rsidRPr="00800740">
        <w:rPr>
          <w:rFonts w:ascii="Book Antiqua" w:hAnsi="Book Antiqua"/>
          <w:szCs w:val="24"/>
          <w:lang w:val="es-PR"/>
        </w:rPr>
        <w:t>largo plazo, se prevé que la autosustentabilidad de la Corporación reducirá la carga fiscal del Estado y reforzará el ecosistema cultural sin comprometer los ingresos públicos.</w:t>
      </w:r>
    </w:p>
    <w:p w14:paraId="46F453CA" w14:textId="77777777" w:rsidR="00800740" w:rsidRDefault="00800740" w:rsidP="00800740">
      <w:pPr>
        <w:jc w:val="both"/>
        <w:rPr>
          <w:rFonts w:ascii="Book Antiqua" w:hAnsi="Book Antiqua"/>
          <w:szCs w:val="24"/>
          <w:lang w:val="es-PR"/>
        </w:rPr>
      </w:pPr>
    </w:p>
    <w:p w14:paraId="2422FF8D" w14:textId="486C798A" w:rsidR="00800740" w:rsidRDefault="00205201" w:rsidP="00800740">
      <w:pPr>
        <w:jc w:val="both"/>
        <w:rPr>
          <w:rFonts w:ascii="Book Antiqua" w:hAnsi="Book Antiqua"/>
          <w:szCs w:val="24"/>
          <w:lang w:val="es-PR"/>
        </w:rPr>
      </w:pPr>
      <w:r>
        <w:rPr>
          <w:rFonts w:ascii="Book Antiqua" w:hAnsi="Book Antiqua"/>
          <w:szCs w:val="24"/>
          <w:lang w:val="es-PR"/>
        </w:rPr>
        <w:t>En conclusión. e</w:t>
      </w:r>
      <w:r w:rsidR="00800740" w:rsidRPr="00800740">
        <w:rPr>
          <w:rFonts w:ascii="Book Antiqua" w:hAnsi="Book Antiqua"/>
          <w:szCs w:val="24"/>
          <w:lang w:val="es-PR"/>
        </w:rPr>
        <w:t xml:space="preserve">l </w:t>
      </w:r>
      <w:r w:rsidR="00800740" w:rsidRPr="00205201">
        <w:rPr>
          <w:rFonts w:ascii="Book Antiqua" w:hAnsi="Book Antiqua"/>
          <w:szCs w:val="24"/>
          <w:lang w:val="es-PR"/>
        </w:rPr>
        <w:t>Equipo Fiscal del Gobierno de Puerto Rico respalda categóricamente la aprobación del P</w:t>
      </w:r>
      <w:r>
        <w:rPr>
          <w:rFonts w:ascii="Book Antiqua" w:hAnsi="Book Antiqua"/>
          <w:szCs w:val="24"/>
          <w:lang w:val="es-PR"/>
        </w:rPr>
        <w:t xml:space="preserve">. del </w:t>
      </w:r>
      <w:r w:rsidR="00800740" w:rsidRPr="00205201">
        <w:rPr>
          <w:rFonts w:ascii="Book Antiqua" w:hAnsi="Book Antiqua"/>
          <w:szCs w:val="24"/>
          <w:lang w:val="es-PR"/>
        </w:rPr>
        <w:t>S</w:t>
      </w:r>
      <w:r>
        <w:rPr>
          <w:rFonts w:ascii="Book Antiqua" w:hAnsi="Book Antiqua"/>
          <w:szCs w:val="24"/>
          <w:lang w:val="es-PR"/>
        </w:rPr>
        <w:t>.</w:t>
      </w:r>
      <w:r w:rsidR="00800740" w:rsidRPr="00205201">
        <w:rPr>
          <w:rFonts w:ascii="Book Antiqua" w:hAnsi="Book Antiqua"/>
          <w:szCs w:val="24"/>
          <w:lang w:val="es-PR"/>
        </w:rPr>
        <w:t xml:space="preserve"> 455</w:t>
      </w:r>
      <w:r>
        <w:rPr>
          <w:rFonts w:ascii="Book Antiqua" w:hAnsi="Book Antiqua"/>
          <w:szCs w:val="24"/>
          <w:lang w:val="es-PR"/>
        </w:rPr>
        <w:t xml:space="preserve">, en tanto entienden que </w:t>
      </w:r>
      <w:r w:rsidR="00800740" w:rsidRPr="00800740">
        <w:rPr>
          <w:rFonts w:ascii="Book Antiqua" w:hAnsi="Book Antiqua"/>
          <w:szCs w:val="24"/>
          <w:lang w:val="es-PR"/>
        </w:rPr>
        <w:t>la medida:</w:t>
      </w:r>
    </w:p>
    <w:p w14:paraId="283B0188" w14:textId="77777777" w:rsidR="00205201" w:rsidRPr="00800740" w:rsidRDefault="00205201" w:rsidP="00800740">
      <w:pPr>
        <w:jc w:val="both"/>
        <w:rPr>
          <w:rFonts w:ascii="Book Antiqua" w:hAnsi="Book Antiqua"/>
          <w:szCs w:val="24"/>
          <w:lang w:val="es-PR"/>
        </w:rPr>
      </w:pPr>
    </w:p>
    <w:p w14:paraId="6DB289C1" w14:textId="77777777" w:rsidR="00800740" w:rsidRDefault="00800740" w:rsidP="00800740">
      <w:pPr>
        <w:numPr>
          <w:ilvl w:val="0"/>
          <w:numId w:val="5"/>
        </w:numPr>
        <w:jc w:val="both"/>
        <w:rPr>
          <w:rFonts w:ascii="Book Antiqua" w:hAnsi="Book Antiqua"/>
          <w:szCs w:val="24"/>
          <w:lang w:val="es-PR"/>
        </w:rPr>
      </w:pPr>
      <w:r w:rsidRPr="00800740">
        <w:rPr>
          <w:rFonts w:ascii="Book Antiqua" w:hAnsi="Book Antiqua"/>
          <w:szCs w:val="24"/>
          <w:lang w:val="es-PR"/>
        </w:rPr>
        <w:t>Representa un paso lógico y necesario hacia una administración pública cultural más eficiente.</w:t>
      </w:r>
    </w:p>
    <w:p w14:paraId="44D1360C" w14:textId="77777777" w:rsidR="00205201" w:rsidRPr="00800740" w:rsidRDefault="00205201" w:rsidP="00205201">
      <w:pPr>
        <w:ind w:left="720"/>
        <w:jc w:val="both"/>
        <w:rPr>
          <w:rFonts w:ascii="Book Antiqua" w:hAnsi="Book Antiqua"/>
          <w:szCs w:val="24"/>
          <w:lang w:val="es-PR"/>
        </w:rPr>
      </w:pPr>
    </w:p>
    <w:p w14:paraId="755BA087" w14:textId="77777777" w:rsidR="00800740" w:rsidRDefault="00800740" w:rsidP="00800740">
      <w:pPr>
        <w:numPr>
          <w:ilvl w:val="0"/>
          <w:numId w:val="5"/>
        </w:numPr>
        <w:jc w:val="both"/>
        <w:rPr>
          <w:rFonts w:ascii="Book Antiqua" w:hAnsi="Book Antiqua"/>
          <w:szCs w:val="24"/>
          <w:lang w:val="es-PR"/>
        </w:rPr>
      </w:pPr>
      <w:r w:rsidRPr="00800740">
        <w:rPr>
          <w:rFonts w:ascii="Book Antiqua" w:hAnsi="Book Antiqua"/>
          <w:szCs w:val="24"/>
          <w:lang w:val="es-PR"/>
        </w:rPr>
        <w:t>Promueve la sostenibilidad financiera de la Orquesta Sinfónica de Puerto Rico.</w:t>
      </w:r>
    </w:p>
    <w:p w14:paraId="65820F4C" w14:textId="77777777" w:rsidR="00205201" w:rsidRPr="00800740" w:rsidRDefault="00205201" w:rsidP="00205201">
      <w:pPr>
        <w:jc w:val="both"/>
        <w:rPr>
          <w:rFonts w:ascii="Book Antiqua" w:hAnsi="Book Antiqua"/>
          <w:szCs w:val="24"/>
          <w:lang w:val="es-PR"/>
        </w:rPr>
      </w:pPr>
    </w:p>
    <w:p w14:paraId="572A5F24" w14:textId="77777777" w:rsidR="00800740" w:rsidRDefault="00800740" w:rsidP="00800740">
      <w:pPr>
        <w:numPr>
          <w:ilvl w:val="0"/>
          <w:numId w:val="5"/>
        </w:numPr>
        <w:jc w:val="both"/>
        <w:rPr>
          <w:rFonts w:ascii="Book Antiqua" w:hAnsi="Book Antiqua"/>
          <w:szCs w:val="24"/>
          <w:lang w:val="es-PR"/>
        </w:rPr>
      </w:pPr>
      <w:r w:rsidRPr="00800740">
        <w:rPr>
          <w:rFonts w:ascii="Book Antiqua" w:hAnsi="Book Antiqua"/>
          <w:szCs w:val="24"/>
          <w:lang w:val="es-PR"/>
        </w:rPr>
        <w:lastRenderedPageBreak/>
        <w:t>Fomenta el acceso y democratización de las artes para toda la ciudadanía.</w:t>
      </w:r>
    </w:p>
    <w:p w14:paraId="4FB560BE" w14:textId="77777777" w:rsidR="00205201" w:rsidRDefault="00205201" w:rsidP="00205201">
      <w:pPr>
        <w:pStyle w:val="ListParagraph"/>
        <w:rPr>
          <w:rFonts w:ascii="Book Antiqua" w:hAnsi="Book Antiqua"/>
          <w:szCs w:val="24"/>
          <w:lang w:val="es-PR"/>
        </w:rPr>
      </w:pPr>
    </w:p>
    <w:p w14:paraId="0F90CAE9" w14:textId="77777777" w:rsidR="00800740" w:rsidRPr="00800740" w:rsidRDefault="00800740" w:rsidP="00800740">
      <w:pPr>
        <w:numPr>
          <w:ilvl w:val="0"/>
          <w:numId w:val="5"/>
        </w:numPr>
        <w:jc w:val="both"/>
        <w:rPr>
          <w:rFonts w:ascii="Book Antiqua" w:hAnsi="Book Antiqua"/>
          <w:szCs w:val="24"/>
          <w:lang w:val="es-PR"/>
        </w:rPr>
      </w:pPr>
      <w:r w:rsidRPr="00800740">
        <w:rPr>
          <w:rFonts w:ascii="Book Antiqua" w:hAnsi="Book Antiqua"/>
          <w:szCs w:val="24"/>
          <w:lang w:val="es-PR"/>
        </w:rPr>
        <w:t>Alinea sus objetivos con el marco fiscal vigente, las políticas del Ejecutivo y las necesidades culturales de Puerto Rico.</w:t>
      </w:r>
    </w:p>
    <w:p w14:paraId="3B44C13B" w14:textId="77777777" w:rsidR="00205201" w:rsidRDefault="00205201" w:rsidP="00800740">
      <w:pPr>
        <w:jc w:val="both"/>
        <w:rPr>
          <w:rFonts w:ascii="Book Antiqua" w:hAnsi="Book Antiqua"/>
          <w:szCs w:val="24"/>
          <w:lang w:val="es-PR"/>
        </w:rPr>
      </w:pPr>
    </w:p>
    <w:p w14:paraId="40C51686" w14:textId="25A33110" w:rsidR="00800740" w:rsidRPr="00800740" w:rsidRDefault="00205201" w:rsidP="00800740">
      <w:pPr>
        <w:jc w:val="both"/>
        <w:rPr>
          <w:rFonts w:ascii="Book Antiqua" w:hAnsi="Book Antiqua"/>
          <w:szCs w:val="24"/>
          <w:lang w:val="es-PR"/>
        </w:rPr>
      </w:pPr>
      <w:r>
        <w:rPr>
          <w:rFonts w:ascii="Book Antiqua" w:hAnsi="Book Antiqua"/>
          <w:szCs w:val="24"/>
          <w:lang w:val="es-PR"/>
        </w:rPr>
        <w:t>Por lo que la medida</w:t>
      </w:r>
      <w:r w:rsidR="00592A08">
        <w:rPr>
          <w:rFonts w:ascii="Book Antiqua" w:hAnsi="Book Antiqua"/>
          <w:szCs w:val="24"/>
          <w:lang w:val="es-PR"/>
        </w:rPr>
        <w:t>,</w:t>
      </w:r>
      <w:r w:rsidR="00800740" w:rsidRPr="00800740">
        <w:rPr>
          <w:rFonts w:ascii="Book Antiqua" w:hAnsi="Book Antiqua"/>
          <w:szCs w:val="24"/>
          <w:lang w:val="es-PR"/>
        </w:rPr>
        <w:t xml:space="preserve"> no sólo fortalece la cultura musical del país, sino que lo hace desde una perspectiva de buena gobernanza, autosuficiencia económica y responsabilidad fiscal.</w:t>
      </w:r>
    </w:p>
    <w:p w14:paraId="45CD9F82" w14:textId="77777777" w:rsidR="00800740" w:rsidRDefault="00800740" w:rsidP="0059606B">
      <w:pPr>
        <w:jc w:val="both"/>
        <w:rPr>
          <w:rFonts w:ascii="Book Antiqua" w:hAnsi="Book Antiqua"/>
          <w:szCs w:val="24"/>
          <w:lang w:val="es-PR"/>
        </w:rPr>
      </w:pPr>
    </w:p>
    <w:p w14:paraId="030CD5A6" w14:textId="77777777" w:rsidR="00800740" w:rsidRDefault="00800740" w:rsidP="0059606B">
      <w:pPr>
        <w:jc w:val="both"/>
        <w:rPr>
          <w:rFonts w:ascii="Book Antiqua" w:hAnsi="Book Antiqua"/>
          <w:szCs w:val="24"/>
          <w:lang w:val="es-PR"/>
        </w:rPr>
      </w:pPr>
    </w:p>
    <w:p w14:paraId="12A6D86E" w14:textId="7E8B37BF" w:rsidR="00800740" w:rsidRPr="00A57245" w:rsidRDefault="00A57245" w:rsidP="00A57245">
      <w:pPr>
        <w:jc w:val="center"/>
        <w:rPr>
          <w:rFonts w:ascii="Book Antiqua" w:hAnsi="Book Antiqua"/>
          <w:b/>
          <w:bCs/>
          <w:szCs w:val="24"/>
          <w:u w:val="single"/>
          <w:lang w:val="es-PR"/>
        </w:rPr>
      </w:pPr>
      <w:r w:rsidRPr="00A57245">
        <w:rPr>
          <w:rFonts w:ascii="Book Antiqua" w:hAnsi="Book Antiqua"/>
          <w:b/>
          <w:bCs/>
          <w:szCs w:val="24"/>
          <w:u w:val="single"/>
          <w:lang w:val="es-PR"/>
        </w:rPr>
        <w:t>CORPORACI</w:t>
      </w:r>
      <w:r w:rsidR="00CB1FD5">
        <w:rPr>
          <w:rFonts w:ascii="Book Antiqua" w:hAnsi="Book Antiqua"/>
          <w:b/>
          <w:bCs/>
          <w:szCs w:val="24"/>
          <w:u w:val="single"/>
          <w:lang w:val="es-PR"/>
        </w:rPr>
        <w:t>Ó</w:t>
      </w:r>
      <w:r w:rsidRPr="00A57245">
        <w:rPr>
          <w:rFonts w:ascii="Book Antiqua" w:hAnsi="Book Antiqua"/>
          <w:b/>
          <w:bCs/>
          <w:szCs w:val="24"/>
          <w:u w:val="single"/>
          <w:lang w:val="es-PR"/>
        </w:rPr>
        <w:t>N DE LAS ARTES MUSICALES Y SUBSIDIARIAS</w:t>
      </w:r>
    </w:p>
    <w:p w14:paraId="42D054E1" w14:textId="77777777" w:rsidR="00800740" w:rsidRDefault="00800740" w:rsidP="0059606B">
      <w:pPr>
        <w:jc w:val="both"/>
        <w:rPr>
          <w:rFonts w:ascii="Book Antiqua" w:hAnsi="Book Antiqua"/>
          <w:szCs w:val="24"/>
          <w:lang w:val="es-PR"/>
        </w:rPr>
      </w:pPr>
    </w:p>
    <w:p w14:paraId="304D781D" w14:textId="763065B3" w:rsidR="00D36F46" w:rsidRPr="00D36F46" w:rsidRDefault="00A57245" w:rsidP="00D36F46">
      <w:pPr>
        <w:ind w:firstLine="720"/>
        <w:jc w:val="both"/>
        <w:rPr>
          <w:rFonts w:ascii="Book Antiqua" w:hAnsi="Book Antiqua"/>
          <w:lang w:val="es-PR"/>
        </w:rPr>
      </w:pPr>
      <w:r w:rsidRPr="00A57245">
        <w:rPr>
          <w:rFonts w:ascii="Book Antiqua" w:hAnsi="Book Antiqua"/>
          <w:szCs w:val="24"/>
          <w:lang w:val="es-PR"/>
        </w:rPr>
        <w:t>La Corporación de las Artes Musicales</w:t>
      </w:r>
      <w:r>
        <w:rPr>
          <w:rFonts w:ascii="Book Antiqua" w:hAnsi="Book Antiqua"/>
          <w:szCs w:val="24"/>
          <w:lang w:val="es-PR"/>
        </w:rPr>
        <w:t xml:space="preserve"> y Subsidiarias</w:t>
      </w:r>
      <w:r w:rsidR="00AF4615">
        <w:rPr>
          <w:rFonts w:ascii="Book Antiqua" w:hAnsi="Book Antiqua"/>
          <w:szCs w:val="24"/>
          <w:lang w:val="es-PR"/>
        </w:rPr>
        <w:t xml:space="preserve"> que agrupa </w:t>
      </w:r>
      <w:r w:rsidR="00AF4615" w:rsidRPr="00AF4615">
        <w:rPr>
          <w:rFonts w:ascii="Book Antiqua" w:hAnsi="Book Antiqua"/>
          <w:szCs w:val="24"/>
          <w:lang w:val="es-PR"/>
        </w:rPr>
        <w:t xml:space="preserve">la Corporación de las Artes Escénico-Musicales de Puerto Rico </w:t>
      </w:r>
      <w:r w:rsidR="00AF4615">
        <w:rPr>
          <w:rFonts w:ascii="Book Antiqua" w:hAnsi="Book Antiqua"/>
          <w:szCs w:val="24"/>
          <w:lang w:val="es-PR"/>
        </w:rPr>
        <w:t xml:space="preserve">y la </w:t>
      </w:r>
      <w:r w:rsidR="00AF4615" w:rsidRPr="00AF4615">
        <w:rPr>
          <w:rFonts w:ascii="Book Antiqua" w:hAnsi="Book Antiqua"/>
          <w:szCs w:val="24"/>
          <w:lang w:val="es-PR"/>
        </w:rPr>
        <w:t>Corporación de la Orquesta Sinfónica de Puerto Rico,</w:t>
      </w:r>
      <w:r>
        <w:rPr>
          <w:rFonts w:ascii="Book Antiqua" w:hAnsi="Book Antiqua"/>
          <w:szCs w:val="24"/>
          <w:lang w:val="es-PR"/>
        </w:rPr>
        <w:t xml:space="preserve"> expresa en su memorial que </w:t>
      </w:r>
      <w:r w:rsidR="00D36F46">
        <w:rPr>
          <w:rFonts w:ascii="Book Antiqua" w:hAnsi="Book Antiqua"/>
          <w:szCs w:val="24"/>
          <w:lang w:val="es-PR"/>
        </w:rPr>
        <w:t>e</w:t>
      </w:r>
      <w:r w:rsidR="00D36F46" w:rsidRPr="00D36F46">
        <w:rPr>
          <w:rFonts w:ascii="Book Antiqua" w:hAnsi="Book Antiqua"/>
          <w:lang w:val="es-PR"/>
        </w:rPr>
        <w:t xml:space="preserve">sta legislación surge como una necesidad imperiosa para consolidar, fortalecer y garantizar la continuidad de la música sinfónica y las artes escénico-musicales en la Isla, en un contexto en el que las antiguas entidades responsables de estas funciones enfrentan graves retos fiscales, administrativos y operacionales. </w:t>
      </w:r>
      <w:r w:rsidR="00D36F46">
        <w:rPr>
          <w:rFonts w:ascii="Book Antiqua" w:hAnsi="Book Antiqua"/>
          <w:lang w:val="es-PR"/>
        </w:rPr>
        <w:t>Por lo que</w:t>
      </w:r>
      <w:r w:rsidR="000235A7">
        <w:rPr>
          <w:rFonts w:ascii="Book Antiqua" w:hAnsi="Book Antiqua"/>
          <w:lang w:val="es-PR"/>
        </w:rPr>
        <w:t xml:space="preserve"> entiende que </w:t>
      </w:r>
      <w:r w:rsidR="00D36F46">
        <w:rPr>
          <w:rFonts w:ascii="Book Antiqua" w:hAnsi="Book Antiqua"/>
          <w:lang w:val="es-PR"/>
        </w:rPr>
        <w:t>l</w:t>
      </w:r>
      <w:r w:rsidR="00D36F46" w:rsidRPr="00D36F46">
        <w:rPr>
          <w:rFonts w:ascii="Book Antiqua" w:hAnsi="Book Antiqua"/>
          <w:lang w:val="es-PR"/>
        </w:rPr>
        <w:t>a aprobación de este proyecto representa mucho más que una reorganización institucional: se trata de una apuesta clara por la cultura, la educación, la economía creativa y el desarrollo humano en Puerto Rico.</w:t>
      </w:r>
    </w:p>
    <w:p w14:paraId="2CDDAA59" w14:textId="77777777" w:rsidR="00D36F46" w:rsidRDefault="00D36F46" w:rsidP="00D36F46">
      <w:pPr>
        <w:ind w:firstLine="720"/>
        <w:jc w:val="both"/>
        <w:rPr>
          <w:rFonts w:ascii="Book Antiqua" w:hAnsi="Book Antiqua"/>
          <w:szCs w:val="24"/>
          <w:lang w:val="es-PR"/>
        </w:rPr>
      </w:pPr>
    </w:p>
    <w:p w14:paraId="2705BE2A" w14:textId="7A93F05E" w:rsidR="00D36F46" w:rsidRPr="00D36F46" w:rsidRDefault="00CB1FD5" w:rsidP="00D36F46">
      <w:pPr>
        <w:ind w:firstLine="720"/>
        <w:jc w:val="both"/>
        <w:rPr>
          <w:rFonts w:ascii="Book Antiqua" w:hAnsi="Book Antiqua"/>
          <w:szCs w:val="24"/>
          <w:lang w:val="es-PR"/>
        </w:rPr>
      </w:pPr>
      <w:r>
        <w:rPr>
          <w:rFonts w:ascii="Book Antiqua" w:hAnsi="Book Antiqua"/>
          <w:szCs w:val="24"/>
          <w:lang w:val="es-PR"/>
        </w:rPr>
        <w:t>Esta indica que l</w:t>
      </w:r>
      <w:r w:rsidR="00D36F46" w:rsidRPr="00D36F46">
        <w:rPr>
          <w:rFonts w:ascii="Book Antiqua" w:hAnsi="Book Antiqua"/>
          <w:szCs w:val="24"/>
          <w:lang w:val="es-PR"/>
        </w:rPr>
        <w:t>a Orquesta Sinfónica de Puerto Rico ha sido, desde su fundación, una herramienta de transformación social incalculable</w:t>
      </w:r>
      <w:r w:rsidR="000235A7">
        <w:rPr>
          <w:rFonts w:ascii="Book Antiqua" w:hAnsi="Book Antiqua"/>
          <w:szCs w:val="24"/>
          <w:lang w:val="es-PR"/>
        </w:rPr>
        <w:t>, ya que h</w:t>
      </w:r>
      <w:r w:rsidR="00D36F46" w:rsidRPr="00D36F46">
        <w:rPr>
          <w:rFonts w:ascii="Book Antiqua" w:hAnsi="Book Antiqua"/>
          <w:szCs w:val="24"/>
          <w:lang w:val="es-PR"/>
        </w:rPr>
        <w:t xml:space="preserve">a llevado la música a las comunidades más desventajadas, ha formado generaciones de músicos y ha democratizado el acceso a las artes. </w:t>
      </w:r>
      <w:r w:rsidR="000235A7">
        <w:rPr>
          <w:rFonts w:ascii="Book Antiqua" w:hAnsi="Book Antiqua"/>
          <w:szCs w:val="24"/>
          <w:lang w:val="es-PR"/>
        </w:rPr>
        <w:t>Menciona que s</w:t>
      </w:r>
      <w:r w:rsidR="00D36F46" w:rsidRPr="00D36F46">
        <w:rPr>
          <w:rFonts w:ascii="Book Antiqua" w:hAnsi="Book Antiqua"/>
          <w:szCs w:val="24"/>
          <w:lang w:val="es-PR"/>
        </w:rPr>
        <w:t xml:space="preserve">u impacto no solo se refleja en los escenarios, sino en las escuelas, plazas, iglesias, instituciones y en el corazón del pueblo puertorriqueño. </w:t>
      </w:r>
      <w:r>
        <w:rPr>
          <w:rFonts w:ascii="Book Antiqua" w:hAnsi="Book Antiqua"/>
          <w:szCs w:val="24"/>
          <w:lang w:val="es-PR"/>
        </w:rPr>
        <w:t>Por lo que entiende que c</w:t>
      </w:r>
      <w:r w:rsidR="00D36F46" w:rsidRPr="00D36F46">
        <w:rPr>
          <w:rFonts w:ascii="Book Antiqua" w:hAnsi="Book Antiqua"/>
          <w:szCs w:val="24"/>
          <w:lang w:val="es-PR"/>
        </w:rPr>
        <w:t>onsolidar sus funciones y asegurar su perpetuidad es una obligación moral y cultural del Estado. Esta pieza legislativa busca precisamente eso: transformar la actual estructura administrativa en una más eficiente, autosostenible y viable, que honre el legado de excelencia artística y promueva nuevas oportunidades de desarrollo cultural y económico.</w:t>
      </w:r>
    </w:p>
    <w:p w14:paraId="0DC4ADD7" w14:textId="77777777" w:rsidR="00D36F46" w:rsidRDefault="00D36F46" w:rsidP="00D36F46">
      <w:pPr>
        <w:ind w:firstLine="720"/>
        <w:jc w:val="both"/>
        <w:rPr>
          <w:rFonts w:ascii="Book Antiqua" w:hAnsi="Book Antiqua"/>
          <w:szCs w:val="24"/>
          <w:lang w:val="es-PR"/>
        </w:rPr>
      </w:pPr>
    </w:p>
    <w:p w14:paraId="225D22A2" w14:textId="7B1ECD42" w:rsidR="00D36F46" w:rsidRPr="00D36F46" w:rsidRDefault="000235A7" w:rsidP="00D36F46">
      <w:pPr>
        <w:ind w:firstLine="720"/>
        <w:jc w:val="both"/>
        <w:rPr>
          <w:rFonts w:ascii="Book Antiqua" w:hAnsi="Book Antiqua"/>
          <w:szCs w:val="24"/>
          <w:lang w:val="es-PR"/>
        </w:rPr>
      </w:pPr>
      <w:r>
        <w:rPr>
          <w:rFonts w:ascii="Book Antiqua" w:hAnsi="Book Antiqua"/>
          <w:szCs w:val="24"/>
          <w:lang w:val="es-PR"/>
        </w:rPr>
        <w:t>De igual manera expresa que, a</w:t>
      </w:r>
      <w:r w:rsidR="00D36F46" w:rsidRPr="00D36F46">
        <w:rPr>
          <w:rFonts w:ascii="Book Antiqua" w:hAnsi="Book Antiqua"/>
          <w:szCs w:val="24"/>
          <w:lang w:val="es-PR"/>
        </w:rPr>
        <w:t>demás de salvaguardar la continuidad de la Orquesta, la ley persigue consolidar y coordinar las actividades musicales y escénico-musicales que hoy recaen en varias entidades dispersas, lo cual ha generado duplicidad de funciones, ineficiencia en el uso de recursos y procesos administrativos onerosos. La propuesta apunta a eliminar estas duplicidades, reducir costos operacionales y administrativos, y canalizar todos los esfuerzos hacia una sola misión corporativa clara. Según los estimados presentados, se podrían alcanzar economías de escala significativas, con un ahorro anual de más de $550,000 a través de la centralización de informes financieros, la redistribución del personal, la optimización tecnológica y la consolidación de espacios físicos como la Sala Sinfónica.</w:t>
      </w:r>
    </w:p>
    <w:p w14:paraId="4FE0D219" w14:textId="77777777" w:rsidR="00CB1FD5" w:rsidRDefault="00CB1FD5" w:rsidP="00D36F46">
      <w:pPr>
        <w:ind w:firstLine="720"/>
        <w:jc w:val="both"/>
        <w:rPr>
          <w:rFonts w:ascii="Book Antiqua" w:hAnsi="Book Antiqua"/>
          <w:szCs w:val="24"/>
          <w:lang w:val="es-PR"/>
        </w:rPr>
      </w:pPr>
    </w:p>
    <w:p w14:paraId="6A065E5E" w14:textId="675557FD" w:rsidR="00D36F46" w:rsidRPr="00D36F46" w:rsidRDefault="000235A7" w:rsidP="00D36F46">
      <w:pPr>
        <w:ind w:firstLine="720"/>
        <w:jc w:val="both"/>
        <w:rPr>
          <w:rFonts w:ascii="Book Antiqua" w:hAnsi="Book Antiqua"/>
          <w:szCs w:val="24"/>
          <w:lang w:val="es-PR"/>
        </w:rPr>
      </w:pPr>
      <w:r>
        <w:rPr>
          <w:rFonts w:ascii="Book Antiqua" w:hAnsi="Book Antiqua"/>
          <w:szCs w:val="24"/>
          <w:lang w:val="es-PR"/>
        </w:rPr>
        <w:t>La Corporación entiende que u</w:t>
      </w:r>
      <w:r w:rsidR="00D36F46" w:rsidRPr="00D36F46">
        <w:rPr>
          <w:rFonts w:ascii="Book Antiqua" w:hAnsi="Book Antiqua"/>
          <w:szCs w:val="24"/>
          <w:lang w:val="es-PR"/>
        </w:rPr>
        <w:t>no de los elementos más innovadores del proyecto es la creación del Fondo Rotatorio Cultural de Puerto Rico, que funcionaría de manera independiente y serviría como fuente constante de financiamiento para la operación de la nueva Corporación. Este fondo estaría compuesto por donativos, intereses, asignaciones estatales y federales, y otras fuentes, lo que lo convierte en un mecanismo ágil y diversificado de sostenibilidad fiscal. Asimismo, se concede una deducción especial del 100% a los donantes, lo cual incentivará aún más el patrocinio privado y comunitario, esencial para el desarrollo cultural en el país.</w:t>
      </w:r>
    </w:p>
    <w:p w14:paraId="485EBD82" w14:textId="77777777" w:rsidR="00CB1FD5" w:rsidRDefault="00CB1FD5" w:rsidP="00D36F46">
      <w:pPr>
        <w:ind w:firstLine="720"/>
        <w:jc w:val="both"/>
        <w:rPr>
          <w:rFonts w:ascii="Book Antiqua" w:hAnsi="Book Antiqua"/>
          <w:szCs w:val="24"/>
          <w:lang w:val="es-PR"/>
        </w:rPr>
      </w:pPr>
    </w:p>
    <w:p w14:paraId="115F1ADC" w14:textId="3EAD7E69" w:rsidR="00D36F46" w:rsidRPr="00D36F46" w:rsidRDefault="000235A7" w:rsidP="00D36F46">
      <w:pPr>
        <w:ind w:firstLine="720"/>
        <w:jc w:val="both"/>
        <w:rPr>
          <w:rFonts w:ascii="Book Antiqua" w:hAnsi="Book Antiqua"/>
          <w:szCs w:val="24"/>
          <w:lang w:val="es-PR"/>
        </w:rPr>
      </w:pPr>
      <w:r>
        <w:rPr>
          <w:rFonts w:ascii="Book Antiqua" w:hAnsi="Book Antiqua"/>
          <w:szCs w:val="24"/>
          <w:lang w:val="es-PR"/>
        </w:rPr>
        <w:t>Por otro lado, menciona que l</w:t>
      </w:r>
      <w:r w:rsidR="00D36F46" w:rsidRPr="00D36F46">
        <w:rPr>
          <w:rFonts w:ascii="Book Antiqua" w:hAnsi="Book Antiqua"/>
          <w:szCs w:val="24"/>
          <w:lang w:val="es-PR"/>
        </w:rPr>
        <w:t xml:space="preserve">a pieza legislativa también incluye nuevas funciones clave, como programas educativos y de desarrollo artístico para jóvenes, coordinación de festivales internacionales, fortalecimiento del Programa Educativo “Conoce tu Orquesta” y la implementación de becas especiales para estudiantes talentosos. </w:t>
      </w:r>
      <w:r>
        <w:rPr>
          <w:rFonts w:ascii="Book Antiqua" w:hAnsi="Book Antiqua"/>
          <w:szCs w:val="24"/>
          <w:lang w:val="es-PR"/>
        </w:rPr>
        <w:t xml:space="preserve">Lo que </w:t>
      </w:r>
      <w:r w:rsidR="00D36F46" w:rsidRPr="00D36F46">
        <w:rPr>
          <w:rFonts w:ascii="Book Antiqua" w:hAnsi="Book Antiqua"/>
          <w:szCs w:val="24"/>
          <w:lang w:val="es-PR"/>
        </w:rPr>
        <w:t>responde a una visión integral del arte como herramienta educativa y transformadora, con un impacto directo en la niñez, la juventud y la ciudadanía en general.</w:t>
      </w:r>
    </w:p>
    <w:p w14:paraId="09F89C9C" w14:textId="77777777" w:rsidR="00CB1FD5" w:rsidRDefault="00CB1FD5" w:rsidP="00D36F46">
      <w:pPr>
        <w:ind w:firstLine="720"/>
        <w:jc w:val="both"/>
        <w:rPr>
          <w:rFonts w:ascii="Book Antiqua" w:hAnsi="Book Antiqua"/>
          <w:szCs w:val="24"/>
          <w:lang w:val="es-PR"/>
        </w:rPr>
      </w:pPr>
    </w:p>
    <w:p w14:paraId="0896342E" w14:textId="513D1873" w:rsidR="00D36F46" w:rsidRPr="00D36F46" w:rsidRDefault="000235A7" w:rsidP="00D36F46">
      <w:pPr>
        <w:ind w:firstLine="720"/>
        <w:jc w:val="both"/>
        <w:rPr>
          <w:rFonts w:ascii="Book Antiqua" w:hAnsi="Book Antiqua"/>
          <w:szCs w:val="24"/>
          <w:lang w:val="es-PR"/>
        </w:rPr>
      </w:pPr>
      <w:r>
        <w:rPr>
          <w:rFonts w:ascii="Book Antiqua" w:hAnsi="Book Antiqua"/>
          <w:szCs w:val="24"/>
          <w:lang w:val="es-PR"/>
        </w:rPr>
        <w:t>Apunta que, d</w:t>
      </w:r>
      <w:r w:rsidR="00D36F46" w:rsidRPr="00D36F46">
        <w:rPr>
          <w:rFonts w:ascii="Book Antiqua" w:hAnsi="Book Antiqua"/>
          <w:szCs w:val="24"/>
          <w:lang w:val="es-PR"/>
        </w:rPr>
        <w:t xml:space="preserve">esde el punto de vista fiscal y administrativo, la medida es cónsona con los principios de eficiencia del Gobierno de Puerto Rico. La consolidación de entidades, la reducción de informes duplicados, y la eliminación de puestos vacantes no esenciales, están alineadas con el Plan Fiscal del Gobierno y con las metas de PROMESA. </w:t>
      </w:r>
      <w:r>
        <w:rPr>
          <w:rFonts w:ascii="Book Antiqua" w:hAnsi="Book Antiqua"/>
          <w:szCs w:val="24"/>
          <w:lang w:val="es-PR"/>
        </w:rPr>
        <w:t>Menciona que e</w:t>
      </w:r>
      <w:r w:rsidR="00D36F46" w:rsidRPr="00D36F46">
        <w:rPr>
          <w:rFonts w:ascii="Book Antiqua" w:hAnsi="Book Antiqua"/>
          <w:szCs w:val="24"/>
          <w:lang w:val="es-PR"/>
        </w:rPr>
        <w:t>ste esfuerzo no representa despidos, sino una reorganización racional y estratégica que permite una mejor utilización del recurso humano, al tiempo que se optimizan los servicios prestados al pueblo</w:t>
      </w:r>
      <w:r>
        <w:rPr>
          <w:rFonts w:ascii="Book Antiqua" w:hAnsi="Book Antiqua"/>
          <w:szCs w:val="24"/>
          <w:lang w:val="es-PR"/>
        </w:rPr>
        <w:t>, ya que</w:t>
      </w:r>
      <w:r w:rsidR="00D36F46" w:rsidRPr="00D36F46">
        <w:rPr>
          <w:rFonts w:ascii="Book Antiqua" w:hAnsi="Book Antiqua"/>
          <w:szCs w:val="24"/>
          <w:lang w:val="es-PR"/>
        </w:rPr>
        <w:t xml:space="preserve"> </w:t>
      </w:r>
      <w:r>
        <w:rPr>
          <w:rFonts w:ascii="Book Antiqua" w:hAnsi="Book Antiqua"/>
          <w:szCs w:val="24"/>
          <w:lang w:val="es-PR"/>
        </w:rPr>
        <w:t>l</w:t>
      </w:r>
      <w:r w:rsidR="00D36F46" w:rsidRPr="00D36F46">
        <w:rPr>
          <w:rFonts w:ascii="Book Antiqua" w:hAnsi="Book Antiqua"/>
          <w:szCs w:val="24"/>
          <w:lang w:val="es-PR"/>
        </w:rPr>
        <w:t>a legislación también excluye a la nueva corporación de las disposiciones de la Ley 8, lo que proporciona mayor agilidad administrativa.</w:t>
      </w:r>
    </w:p>
    <w:p w14:paraId="1561C508" w14:textId="77777777" w:rsidR="00CB1FD5" w:rsidRDefault="00CB1FD5" w:rsidP="00D36F46">
      <w:pPr>
        <w:ind w:firstLine="720"/>
        <w:jc w:val="both"/>
        <w:rPr>
          <w:rFonts w:ascii="Book Antiqua" w:hAnsi="Book Antiqua"/>
          <w:szCs w:val="24"/>
          <w:lang w:val="es-PR"/>
        </w:rPr>
      </w:pPr>
    </w:p>
    <w:p w14:paraId="055C7C6A" w14:textId="0CE35A19" w:rsidR="00D36F46" w:rsidRPr="00D36F46" w:rsidRDefault="000318E7" w:rsidP="00D36F46">
      <w:pPr>
        <w:ind w:firstLine="720"/>
        <w:jc w:val="both"/>
        <w:rPr>
          <w:rFonts w:ascii="Book Antiqua" w:hAnsi="Book Antiqua"/>
          <w:szCs w:val="24"/>
          <w:lang w:val="es-PR"/>
        </w:rPr>
      </w:pPr>
      <w:r>
        <w:rPr>
          <w:rFonts w:ascii="Book Antiqua" w:hAnsi="Book Antiqua"/>
          <w:szCs w:val="24"/>
          <w:lang w:val="es-PR"/>
        </w:rPr>
        <w:t>Además, e</w:t>
      </w:r>
      <w:r w:rsidR="000235A7">
        <w:rPr>
          <w:rFonts w:ascii="Book Antiqua" w:hAnsi="Book Antiqua"/>
          <w:szCs w:val="24"/>
          <w:lang w:val="es-PR"/>
        </w:rPr>
        <w:t xml:space="preserve">xpresa </w:t>
      </w:r>
      <w:r>
        <w:rPr>
          <w:rFonts w:ascii="Book Antiqua" w:hAnsi="Book Antiqua"/>
          <w:szCs w:val="24"/>
          <w:lang w:val="es-PR"/>
        </w:rPr>
        <w:t>que,</w:t>
      </w:r>
      <w:r w:rsidR="000235A7">
        <w:rPr>
          <w:rFonts w:ascii="Book Antiqua" w:hAnsi="Book Antiqua"/>
          <w:szCs w:val="24"/>
          <w:lang w:val="es-PR"/>
        </w:rPr>
        <w:t xml:space="preserve"> </w:t>
      </w:r>
      <w:r>
        <w:rPr>
          <w:rFonts w:ascii="Book Antiqua" w:hAnsi="Book Antiqua"/>
          <w:szCs w:val="24"/>
          <w:lang w:val="es-PR"/>
        </w:rPr>
        <w:t>a</w:t>
      </w:r>
      <w:r w:rsidR="00D36F46" w:rsidRPr="00D36F46">
        <w:rPr>
          <w:rFonts w:ascii="Book Antiqua" w:hAnsi="Book Antiqua"/>
          <w:szCs w:val="24"/>
          <w:lang w:val="es-PR"/>
        </w:rPr>
        <w:t xml:space="preserve"> nivel social, la aprobación de esta medida también es una respuesta concreta a la necesidad de crear espacios inclusivos que abracen la diversidad cultural y fomenten la participación activa de las comunidades. La Orquesta, como institución educativa y cultural, ha demostrado su capacidad para inspirar a jóvenes, ofrecer alternativas positivas frente a la desigualdad social y abrir caminos de superación personal a través de la música. Esta transformación legislativa permite fortalecer aún más su alcance comunitario y su rol formativo.</w:t>
      </w:r>
    </w:p>
    <w:p w14:paraId="7418E9E8" w14:textId="77777777" w:rsidR="00CB1FD5" w:rsidRDefault="00CB1FD5" w:rsidP="00D36F46">
      <w:pPr>
        <w:ind w:firstLine="720"/>
        <w:jc w:val="both"/>
        <w:rPr>
          <w:rFonts w:ascii="Book Antiqua" w:hAnsi="Book Antiqua"/>
          <w:szCs w:val="24"/>
          <w:lang w:val="es-PR"/>
        </w:rPr>
      </w:pPr>
    </w:p>
    <w:p w14:paraId="481DAEB9" w14:textId="5FF0640F" w:rsidR="00D36F46" w:rsidRPr="00D36F46" w:rsidRDefault="000318E7" w:rsidP="00D36F46">
      <w:pPr>
        <w:ind w:firstLine="720"/>
        <w:jc w:val="both"/>
        <w:rPr>
          <w:rFonts w:ascii="Book Antiqua" w:hAnsi="Book Antiqua"/>
          <w:szCs w:val="24"/>
          <w:lang w:val="es-PR"/>
        </w:rPr>
      </w:pPr>
      <w:r>
        <w:rPr>
          <w:rFonts w:ascii="Book Antiqua" w:hAnsi="Book Antiqua"/>
          <w:szCs w:val="24"/>
          <w:lang w:val="es-PR"/>
        </w:rPr>
        <w:t xml:space="preserve">Concluye mencionando que </w:t>
      </w:r>
      <w:r w:rsidR="00D36F46" w:rsidRPr="00D36F46">
        <w:rPr>
          <w:rFonts w:ascii="Book Antiqua" w:hAnsi="Book Antiqua"/>
          <w:szCs w:val="24"/>
          <w:lang w:val="es-PR"/>
        </w:rPr>
        <w:t xml:space="preserve">aprobar este proyecto es apostar por un modelo de gobernanza cultural más ágil, eficiente y resiliente, capaz de resistir las crisis económicas sin comprometer la misión artística y educativa de la Orquesta. Es también reconocer el valor intangible de la música como bien público, y dotar al país de una estructura que garantice su preservación, difusión y evolución. </w:t>
      </w:r>
      <w:r>
        <w:rPr>
          <w:rFonts w:ascii="Book Antiqua" w:hAnsi="Book Antiqua"/>
          <w:szCs w:val="24"/>
          <w:lang w:val="es-PR"/>
        </w:rPr>
        <w:t>E</w:t>
      </w:r>
      <w:r w:rsidR="00D36F46" w:rsidRPr="00D36F46">
        <w:rPr>
          <w:rFonts w:ascii="Book Antiqua" w:hAnsi="Book Antiqua"/>
          <w:szCs w:val="24"/>
          <w:lang w:val="es-PR"/>
        </w:rPr>
        <w:t>sta legislación no solo protege un legado, sino que sienta las bases para que florezca el talento, la creatividad y el orgullo cultural puertorriqueño por muchas generaciones más.</w:t>
      </w:r>
    </w:p>
    <w:p w14:paraId="3E32DAEB" w14:textId="35C4BC3C" w:rsidR="00800740" w:rsidRDefault="00800740" w:rsidP="00747388">
      <w:pPr>
        <w:ind w:firstLine="720"/>
        <w:jc w:val="both"/>
        <w:rPr>
          <w:rFonts w:ascii="Book Antiqua" w:hAnsi="Book Antiqua"/>
          <w:szCs w:val="24"/>
          <w:lang w:val="es-PR"/>
        </w:rPr>
      </w:pPr>
    </w:p>
    <w:p w14:paraId="17275241" w14:textId="77777777" w:rsidR="005D1109" w:rsidRDefault="005D1109" w:rsidP="000C48FC">
      <w:pPr>
        <w:tabs>
          <w:tab w:val="left" w:pos="1440"/>
        </w:tabs>
        <w:jc w:val="center"/>
        <w:rPr>
          <w:rFonts w:ascii="Book Antiqua" w:hAnsi="Book Antiqua"/>
          <w:b/>
          <w:bCs/>
          <w:szCs w:val="24"/>
          <w:u w:val="single"/>
          <w:lang w:val="es-ES"/>
        </w:rPr>
      </w:pPr>
    </w:p>
    <w:p w14:paraId="48C2E693" w14:textId="77777777" w:rsidR="00592A08" w:rsidRDefault="00592A08" w:rsidP="000C48FC">
      <w:pPr>
        <w:tabs>
          <w:tab w:val="left" w:pos="1440"/>
        </w:tabs>
        <w:jc w:val="center"/>
        <w:rPr>
          <w:rFonts w:ascii="Book Antiqua" w:hAnsi="Book Antiqua"/>
          <w:b/>
          <w:bCs/>
          <w:szCs w:val="24"/>
          <w:u w:val="single"/>
          <w:lang w:val="es-ES"/>
        </w:rPr>
      </w:pPr>
    </w:p>
    <w:p w14:paraId="596F08A0" w14:textId="23F50139" w:rsidR="00C20E59" w:rsidRPr="000C48FC" w:rsidRDefault="000C48FC" w:rsidP="000C48FC">
      <w:pPr>
        <w:tabs>
          <w:tab w:val="left" w:pos="1440"/>
        </w:tabs>
        <w:jc w:val="center"/>
        <w:rPr>
          <w:rFonts w:ascii="Book Antiqua" w:hAnsi="Book Antiqua"/>
          <w:b/>
          <w:bCs/>
          <w:szCs w:val="24"/>
          <w:u w:val="single"/>
          <w:lang w:val="es-ES"/>
        </w:rPr>
      </w:pPr>
      <w:r w:rsidRPr="000C48FC">
        <w:rPr>
          <w:rFonts w:ascii="Book Antiqua" w:hAnsi="Book Antiqua"/>
          <w:b/>
          <w:bCs/>
          <w:szCs w:val="24"/>
          <w:u w:val="single"/>
          <w:lang w:val="es-ES"/>
        </w:rPr>
        <w:t>CORPORACIÓN DEL CENTRO DE BELLAS ARTES DE PUERTO RICO</w:t>
      </w:r>
    </w:p>
    <w:p w14:paraId="0F0FBDA1" w14:textId="77777777" w:rsidR="000C48FC" w:rsidRDefault="000C48FC" w:rsidP="006834E9">
      <w:pPr>
        <w:jc w:val="both"/>
        <w:rPr>
          <w:rFonts w:ascii="Book Antiqua" w:hAnsi="Book Antiqua"/>
          <w:szCs w:val="24"/>
          <w:lang w:val="es-ES"/>
        </w:rPr>
      </w:pPr>
    </w:p>
    <w:p w14:paraId="028D404E" w14:textId="5DCD3967" w:rsidR="000C48FC" w:rsidRPr="000C48FC" w:rsidRDefault="002A0893" w:rsidP="000C48FC">
      <w:pPr>
        <w:jc w:val="both"/>
        <w:rPr>
          <w:rFonts w:ascii="Book Antiqua" w:hAnsi="Book Antiqua" w:cs="Arial"/>
          <w:szCs w:val="24"/>
          <w:lang w:val="es-ES_tradnl"/>
        </w:rPr>
      </w:pPr>
      <w:r>
        <w:rPr>
          <w:rFonts w:ascii="Book Antiqua" w:hAnsi="Book Antiqua"/>
          <w:szCs w:val="24"/>
          <w:lang w:val="es-ES"/>
        </w:rPr>
        <w:tab/>
      </w:r>
      <w:r w:rsidR="000C48FC">
        <w:rPr>
          <w:rFonts w:ascii="Book Antiqua" w:hAnsi="Book Antiqua"/>
          <w:szCs w:val="24"/>
          <w:lang w:val="es-ES"/>
        </w:rPr>
        <w:t>La Corporación del Centro de Bellas Artes de Puerto Rico</w:t>
      </w:r>
      <w:r w:rsidR="00FB2E20" w:rsidRPr="007F75BB">
        <w:rPr>
          <w:rFonts w:ascii="Book Antiqua" w:hAnsi="Book Antiqua"/>
          <w:szCs w:val="24"/>
          <w:lang w:val="es-ES_tradnl"/>
        </w:rPr>
        <w:t>,</w:t>
      </w:r>
      <w:r w:rsidR="00C52E71" w:rsidRPr="007F75BB">
        <w:rPr>
          <w:rFonts w:ascii="Book Antiqua" w:hAnsi="Book Antiqua"/>
          <w:szCs w:val="24"/>
          <w:lang w:val="es-ES_tradnl"/>
        </w:rPr>
        <w:t xml:space="preserve"> </w:t>
      </w:r>
      <w:r w:rsidR="000C48FC">
        <w:rPr>
          <w:rFonts w:ascii="Book Antiqua" w:hAnsi="Book Antiqua"/>
          <w:szCs w:val="24"/>
          <w:lang w:val="es-ES_tradnl"/>
        </w:rPr>
        <w:t xml:space="preserve">en adelante CBA; reconoce </w:t>
      </w:r>
      <w:r w:rsidR="00596C9F">
        <w:rPr>
          <w:rFonts w:ascii="Book Antiqua" w:hAnsi="Book Antiqua"/>
          <w:szCs w:val="24"/>
          <w:lang w:val="es-ES_tradnl"/>
        </w:rPr>
        <w:t>en su memorial</w:t>
      </w:r>
      <w:r w:rsidR="000C48FC">
        <w:rPr>
          <w:rFonts w:ascii="Book Antiqua" w:hAnsi="Book Antiqua"/>
          <w:szCs w:val="24"/>
          <w:lang w:val="es-ES_tradnl"/>
        </w:rPr>
        <w:t xml:space="preserve">, </w:t>
      </w:r>
      <w:r w:rsidR="000C48FC" w:rsidRPr="000C48FC">
        <w:rPr>
          <w:rFonts w:ascii="Book Antiqua" w:hAnsi="Book Antiqua" w:cs="Arial"/>
          <w:szCs w:val="24"/>
          <w:lang w:val="es-ES_tradnl"/>
        </w:rPr>
        <w:t>los esfuerzos de integración institucional propuestos por el P. del S. 455 como un paso hacia la eficiencia administrativa y la reducción de burocracia. Sin embargo, expresa su oposición a la transferencia de la titularidad y administración de la Sala Sinfónica Pablo Casals a la nueva Corporación de la Orquesta Sinfónica de Puerto Rico</w:t>
      </w:r>
      <w:r w:rsidR="00592A08">
        <w:rPr>
          <w:rFonts w:ascii="Book Antiqua" w:hAnsi="Book Antiqua" w:cs="Arial"/>
          <w:szCs w:val="24"/>
          <w:lang w:val="es-ES_tradnl"/>
        </w:rPr>
        <w:t>.</w:t>
      </w:r>
    </w:p>
    <w:p w14:paraId="7A1EE2DE" w14:textId="77777777" w:rsidR="000C48FC" w:rsidRDefault="000C48FC" w:rsidP="000C48FC">
      <w:pPr>
        <w:jc w:val="both"/>
        <w:rPr>
          <w:rFonts w:ascii="Book Antiqua" w:hAnsi="Book Antiqua" w:cs="Arial"/>
          <w:szCs w:val="24"/>
          <w:lang w:val="es-ES_tradnl"/>
        </w:rPr>
      </w:pPr>
    </w:p>
    <w:p w14:paraId="7F673C06" w14:textId="3B22B1C8" w:rsidR="000C48FC" w:rsidRPr="000C48FC" w:rsidRDefault="000C48FC" w:rsidP="000C48FC">
      <w:pPr>
        <w:ind w:firstLine="720"/>
        <w:jc w:val="both"/>
        <w:rPr>
          <w:rFonts w:ascii="Book Antiqua" w:hAnsi="Book Antiqua" w:cs="Arial"/>
          <w:szCs w:val="24"/>
          <w:lang w:val="es-ES_tradnl"/>
        </w:rPr>
      </w:pPr>
      <w:r w:rsidRPr="000C48FC">
        <w:rPr>
          <w:rFonts w:ascii="Book Antiqua" w:hAnsi="Book Antiqua" w:cs="Arial"/>
          <w:szCs w:val="24"/>
          <w:lang w:val="es-ES_tradnl"/>
        </w:rPr>
        <w:t>El CBA argumenta que ha mantenido histórica y legalmente la administración de la Sala Sinfónica, y que cuenta con la estructura organizativa, los recursos humanos y la experiencia necesaria para su operación. En su planteamiento, el CBA sostiene que la integración de la Sala a otra entidad provocaría una duplicidad de procesos y una pérdida de eficiencia operativa. También expone que la Sala Sinfónica ha sido un espacio utilizado históricamente por múltiples agrupaciones y festivales artísticos, no exclusivamente por la Orquesta Sinfónica, lo que valida aún más su integración al ecosistema del CBA.</w:t>
      </w:r>
    </w:p>
    <w:p w14:paraId="37B05610" w14:textId="77777777" w:rsidR="000C48FC" w:rsidRDefault="000C48FC" w:rsidP="000C48FC">
      <w:pPr>
        <w:jc w:val="both"/>
        <w:rPr>
          <w:rFonts w:ascii="Book Antiqua" w:hAnsi="Book Antiqua" w:cs="Arial"/>
          <w:szCs w:val="24"/>
          <w:lang w:val="es-ES_tradnl"/>
        </w:rPr>
      </w:pPr>
    </w:p>
    <w:p w14:paraId="3676A3C6" w14:textId="515DD625" w:rsidR="000C48FC" w:rsidRPr="000C48FC" w:rsidRDefault="000C48FC" w:rsidP="000C48FC">
      <w:pPr>
        <w:ind w:firstLine="720"/>
        <w:jc w:val="both"/>
        <w:rPr>
          <w:rFonts w:ascii="Book Antiqua" w:hAnsi="Book Antiqua" w:cs="Arial"/>
          <w:szCs w:val="24"/>
          <w:lang w:val="es-ES_tradnl"/>
        </w:rPr>
      </w:pPr>
      <w:r w:rsidRPr="000C48FC">
        <w:rPr>
          <w:rFonts w:ascii="Book Antiqua" w:hAnsi="Book Antiqua" w:cs="Arial"/>
          <w:szCs w:val="24"/>
          <w:lang w:val="es-ES_tradnl"/>
        </w:rPr>
        <w:t>El Gerente General de la corporación, Jetpphert Pérez de Corcho Morgado, concluye expresando que no se opone al espíritu filosófico del proyecto, pero solicita que la titularidad de la Sala Sinfónica Pablo Casals permanezca bajo la administración del CBA. Solicita además, que, si el proyecto es aprobado en su forma actual, se asigne mediante resolución conjunta una partida presupuestaria adicional al CBA para garantizar la continuidad de sus operaciones.</w:t>
      </w:r>
    </w:p>
    <w:p w14:paraId="26373455" w14:textId="0075A47F" w:rsidR="00C20E59" w:rsidRPr="000C48FC" w:rsidRDefault="00C20E59" w:rsidP="000C48FC">
      <w:pPr>
        <w:jc w:val="both"/>
        <w:rPr>
          <w:rFonts w:ascii="Book Antiqua" w:hAnsi="Book Antiqua"/>
          <w:lang w:val="es-ES_tradnl"/>
        </w:rPr>
      </w:pPr>
    </w:p>
    <w:p w14:paraId="0BD53BA8" w14:textId="77777777" w:rsidR="000E2480" w:rsidRDefault="000E2480" w:rsidP="00A56440">
      <w:pPr>
        <w:jc w:val="both"/>
        <w:rPr>
          <w:rFonts w:ascii="Book Antiqua" w:hAnsi="Book Antiqua"/>
          <w:b/>
          <w:bCs/>
          <w:lang w:val="es-ES_tradnl"/>
        </w:rPr>
      </w:pPr>
    </w:p>
    <w:p w14:paraId="43F996F9" w14:textId="77777777" w:rsidR="00AF4615" w:rsidRDefault="00AF4615" w:rsidP="00A56440">
      <w:pPr>
        <w:jc w:val="both"/>
        <w:rPr>
          <w:rFonts w:ascii="Book Antiqua" w:hAnsi="Book Antiqua"/>
          <w:b/>
          <w:bCs/>
          <w:lang w:val="es-ES_tradnl"/>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41040AB8"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0C48FC">
        <w:rPr>
          <w:rFonts w:ascii="Book Antiqua" w:hAnsi="Book Antiqua"/>
          <w:szCs w:val="24"/>
          <w:lang w:val="es-PR"/>
        </w:rPr>
        <w:t>455</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585623B0" w14:textId="77777777" w:rsidR="00F037F9" w:rsidRDefault="00F037F9" w:rsidP="007F30C2">
      <w:pPr>
        <w:tabs>
          <w:tab w:val="left" w:pos="-720"/>
        </w:tabs>
        <w:suppressAutoHyphens/>
        <w:spacing w:before="120" w:after="120" w:line="360" w:lineRule="auto"/>
        <w:jc w:val="center"/>
        <w:rPr>
          <w:rFonts w:ascii="Book Antiqua" w:hAnsi="Book Antiqua"/>
          <w:b/>
          <w:bCs/>
          <w:szCs w:val="24"/>
          <w:lang w:val="es-PR"/>
        </w:rPr>
      </w:pPr>
    </w:p>
    <w:p w14:paraId="3F7B5FD5" w14:textId="3012E9D2"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38AA53BE" w14:textId="531C1ABF" w:rsidR="0039139D" w:rsidRPr="000E2480" w:rsidRDefault="007F30C2" w:rsidP="000C48FC">
      <w:pPr>
        <w:jc w:val="both"/>
        <w:rPr>
          <w:rFonts w:ascii="Book Antiqua" w:hAnsi="Book Antiqua"/>
          <w:color w:val="000000" w:themeColor="text1"/>
          <w:szCs w:val="24"/>
          <w:lang w:val="es-PR"/>
        </w:rPr>
      </w:pPr>
      <w:r>
        <w:rPr>
          <w:rFonts w:ascii="Book Antiqua" w:hAnsi="Book Antiqua"/>
          <w:szCs w:val="24"/>
          <w:lang w:val="es-PR"/>
        </w:rPr>
        <w:tab/>
      </w:r>
    </w:p>
    <w:p w14:paraId="6EEA8EC1" w14:textId="236D8131" w:rsidR="00286C08" w:rsidRPr="000E2480" w:rsidRDefault="0039139D"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 xml:space="preserve">Proyecto del Senado </w:t>
      </w:r>
      <w:r w:rsidR="000C48FC">
        <w:rPr>
          <w:rFonts w:ascii="Book Antiqua" w:hAnsi="Book Antiqua"/>
          <w:b/>
          <w:bCs/>
          <w:color w:val="000000" w:themeColor="text1"/>
          <w:szCs w:val="24"/>
          <w:lang w:val="es-PR"/>
        </w:rPr>
        <w:t>455</w:t>
      </w:r>
      <w:r w:rsidR="00286C08" w:rsidRPr="000E2480">
        <w:rPr>
          <w:rFonts w:ascii="Book Antiqua" w:hAnsi="Book Antiqua"/>
          <w:color w:val="000000" w:themeColor="text1"/>
          <w:szCs w:val="24"/>
          <w:lang w:val="es-PR"/>
        </w:rPr>
        <w:t>, 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 xml:space="preserve">la aprobación de la medida, </w:t>
      </w:r>
      <w:r w:rsidR="001D401B" w:rsidRPr="000E2480">
        <w:rPr>
          <w:rFonts w:ascii="Book Antiqua" w:hAnsi="Book Antiqua"/>
          <w:color w:val="000000" w:themeColor="text1"/>
          <w:szCs w:val="24"/>
          <w:lang w:val="es-PR"/>
        </w:rPr>
        <w:t>con las enmiendas contenidas en el entirillado electrónico que se acompaña.</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Hon.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4C934" w14:textId="77777777" w:rsidR="00AB0FE1" w:rsidRDefault="00AB0FE1">
      <w:r>
        <w:separator/>
      </w:r>
    </w:p>
  </w:endnote>
  <w:endnote w:type="continuationSeparator" w:id="0">
    <w:p w14:paraId="09861E7E" w14:textId="77777777" w:rsidR="00AB0FE1" w:rsidRDefault="00AB0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643FA" w14:textId="77777777" w:rsidR="00AB0FE1" w:rsidRDefault="00AB0FE1">
      <w:r>
        <w:separator/>
      </w:r>
    </w:p>
  </w:footnote>
  <w:footnote w:type="continuationSeparator" w:id="0">
    <w:p w14:paraId="59A5D348" w14:textId="77777777" w:rsidR="00AB0FE1" w:rsidRDefault="00AB0F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5C370CA7"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4E5427">
      <w:rPr>
        <w:rStyle w:val="PageNumber"/>
        <w:rFonts w:ascii="Book Antiqua" w:hAnsi="Book Antiqua"/>
        <w:b/>
        <w:bCs/>
        <w:lang w:val="es-PR"/>
      </w:rPr>
      <w:t>455</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C25B8"/>
    <w:multiLevelType w:val="multilevel"/>
    <w:tmpl w:val="8F16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3332A7"/>
    <w:multiLevelType w:val="multilevel"/>
    <w:tmpl w:val="E8E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57081AAB"/>
    <w:multiLevelType w:val="multilevel"/>
    <w:tmpl w:val="952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E375D0"/>
    <w:multiLevelType w:val="multilevel"/>
    <w:tmpl w:val="07F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27413">
    <w:abstractNumId w:val="2"/>
  </w:num>
  <w:num w:numId="2" w16cid:durableId="1731150234">
    <w:abstractNumId w:val="0"/>
  </w:num>
  <w:num w:numId="3" w16cid:durableId="1153179368">
    <w:abstractNumId w:val="1"/>
  </w:num>
  <w:num w:numId="4" w16cid:durableId="586430059">
    <w:abstractNumId w:val="3"/>
  </w:num>
  <w:num w:numId="5" w16cid:durableId="21089581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35A7"/>
    <w:rsid w:val="0002603A"/>
    <w:rsid w:val="000318E7"/>
    <w:rsid w:val="00034E11"/>
    <w:rsid w:val="0004088C"/>
    <w:rsid w:val="0004421B"/>
    <w:rsid w:val="00046F56"/>
    <w:rsid w:val="000502EA"/>
    <w:rsid w:val="000560CB"/>
    <w:rsid w:val="000667AB"/>
    <w:rsid w:val="00080CAF"/>
    <w:rsid w:val="00080E3B"/>
    <w:rsid w:val="00084122"/>
    <w:rsid w:val="0008569E"/>
    <w:rsid w:val="0009448A"/>
    <w:rsid w:val="000A06C9"/>
    <w:rsid w:val="000A3EB9"/>
    <w:rsid w:val="000B081B"/>
    <w:rsid w:val="000B3575"/>
    <w:rsid w:val="000B75FB"/>
    <w:rsid w:val="000C20D3"/>
    <w:rsid w:val="000C415C"/>
    <w:rsid w:val="000C48FC"/>
    <w:rsid w:val="000C7CB0"/>
    <w:rsid w:val="000D3AA4"/>
    <w:rsid w:val="000E06B7"/>
    <w:rsid w:val="000E2480"/>
    <w:rsid w:val="000E40C9"/>
    <w:rsid w:val="000E5747"/>
    <w:rsid w:val="000E6911"/>
    <w:rsid w:val="000F6729"/>
    <w:rsid w:val="000F7E9A"/>
    <w:rsid w:val="00103419"/>
    <w:rsid w:val="00104137"/>
    <w:rsid w:val="001119D3"/>
    <w:rsid w:val="00112D46"/>
    <w:rsid w:val="00126D61"/>
    <w:rsid w:val="00137678"/>
    <w:rsid w:val="00140F42"/>
    <w:rsid w:val="00156AA0"/>
    <w:rsid w:val="00162460"/>
    <w:rsid w:val="00162E59"/>
    <w:rsid w:val="00163BA1"/>
    <w:rsid w:val="00170254"/>
    <w:rsid w:val="00173F53"/>
    <w:rsid w:val="00191FA4"/>
    <w:rsid w:val="00196FA9"/>
    <w:rsid w:val="00197C46"/>
    <w:rsid w:val="001A32E4"/>
    <w:rsid w:val="001B20CB"/>
    <w:rsid w:val="001C4866"/>
    <w:rsid w:val="001C4B24"/>
    <w:rsid w:val="001C6503"/>
    <w:rsid w:val="001D1DC4"/>
    <w:rsid w:val="001D3A06"/>
    <w:rsid w:val="001D401B"/>
    <w:rsid w:val="001D7277"/>
    <w:rsid w:val="001E364D"/>
    <w:rsid w:val="001E3726"/>
    <w:rsid w:val="00201DF5"/>
    <w:rsid w:val="00205201"/>
    <w:rsid w:val="00207735"/>
    <w:rsid w:val="0021453D"/>
    <w:rsid w:val="00221DCF"/>
    <w:rsid w:val="00230152"/>
    <w:rsid w:val="00231017"/>
    <w:rsid w:val="00232427"/>
    <w:rsid w:val="0023567C"/>
    <w:rsid w:val="002370F8"/>
    <w:rsid w:val="00242D7A"/>
    <w:rsid w:val="00243F0D"/>
    <w:rsid w:val="002507FE"/>
    <w:rsid w:val="00253FDF"/>
    <w:rsid w:val="0025406F"/>
    <w:rsid w:val="00262BF9"/>
    <w:rsid w:val="00263E28"/>
    <w:rsid w:val="00263F1B"/>
    <w:rsid w:val="00283054"/>
    <w:rsid w:val="0028497D"/>
    <w:rsid w:val="00286C08"/>
    <w:rsid w:val="002A0893"/>
    <w:rsid w:val="002A14BD"/>
    <w:rsid w:val="002A60B4"/>
    <w:rsid w:val="002B01B5"/>
    <w:rsid w:val="002B05B3"/>
    <w:rsid w:val="002B58A3"/>
    <w:rsid w:val="002C3E4A"/>
    <w:rsid w:val="002D0E98"/>
    <w:rsid w:val="002E1104"/>
    <w:rsid w:val="00303731"/>
    <w:rsid w:val="0031084D"/>
    <w:rsid w:val="00315B3A"/>
    <w:rsid w:val="00332883"/>
    <w:rsid w:val="00340519"/>
    <w:rsid w:val="00341BB6"/>
    <w:rsid w:val="00366311"/>
    <w:rsid w:val="00371871"/>
    <w:rsid w:val="00377C61"/>
    <w:rsid w:val="00386E65"/>
    <w:rsid w:val="003909DD"/>
    <w:rsid w:val="003912A4"/>
    <w:rsid w:val="0039139D"/>
    <w:rsid w:val="00391980"/>
    <w:rsid w:val="0039667F"/>
    <w:rsid w:val="003A1341"/>
    <w:rsid w:val="003A4452"/>
    <w:rsid w:val="003A4992"/>
    <w:rsid w:val="003B751D"/>
    <w:rsid w:val="003C1518"/>
    <w:rsid w:val="003D4F89"/>
    <w:rsid w:val="003E36E3"/>
    <w:rsid w:val="003E5401"/>
    <w:rsid w:val="003E5D3A"/>
    <w:rsid w:val="003F1D78"/>
    <w:rsid w:val="003F575E"/>
    <w:rsid w:val="00403016"/>
    <w:rsid w:val="00414EE7"/>
    <w:rsid w:val="00422A92"/>
    <w:rsid w:val="004321E3"/>
    <w:rsid w:val="004476EC"/>
    <w:rsid w:val="004578FF"/>
    <w:rsid w:val="00466547"/>
    <w:rsid w:val="00473E56"/>
    <w:rsid w:val="00477789"/>
    <w:rsid w:val="00484E71"/>
    <w:rsid w:val="004915E5"/>
    <w:rsid w:val="00492156"/>
    <w:rsid w:val="00497331"/>
    <w:rsid w:val="004A730C"/>
    <w:rsid w:val="004B73D4"/>
    <w:rsid w:val="004D31DB"/>
    <w:rsid w:val="004E4097"/>
    <w:rsid w:val="004E5427"/>
    <w:rsid w:val="004F1947"/>
    <w:rsid w:val="004F4D10"/>
    <w:rsid w:val="00505AFD"/>
    <w:rsid w:val="00505F50"/>
    <w:rsid w:val="00511BD7"/>
    <w:rsid w:val="005133FA"/>
    <w:rsid w:val="0052092C"/>
    <w:rsid w:val="00532097"/>
    <w:rsid w:val="00532580"/>
    <w:rsid w:val="00567513"/>
    <w:rsid w:val="00574692"/>
    <w:rsid w:val="00575139"/>
    <w:rsid w:val="00586B5C"/>
    <w:rsid w:val="00592A08"/>
    <w:rsid w:val="0059606B"/>
    <w:rsid w:val="00596C9F"/>
    <w:rsid w:val="005A265A"/>
    <w:rsid w:val="005A27A8"/>
    <w:rsid w:val="005C03C9"/>
    <w:rsid w:val="005C2E80"/>
    <w:rsid w:val="005C3438"/>
    <w:rsid w:val="005D1109"/>
    <w:rsid w:val="005D1313"/>
    <w:rsid w:val="005D131F"/>
    <w:rsid w:val="005D5AFB"/>
    <w:rsid w:val="005E2192"/>
    <w:rsid w:val="005E5973"/>
    <w:rsid w:val="005F3890"/>
    <w:rsid w:val="005F6ADA"/>
    <w:rsid w:val="00607D66"/>
    <w:rsid w:val="00612577"/>
    <w:rsid w:val="00613E0B"/>
    <w:rsid w:val="00620BA5"/>
    <w:rsid w:val="0062705C"/>
    <w:rsid w:val="00627154"/>
    <w:rsid w:val="00637621"/>
    <w:rsid w:val="00637A2F"/>
    <w:rsid w:val="00653F5B"/>
    <w:rsid w:val="006547BF"/>
    <w:rsid w:val="00672914"/>
    <w:rsid w:val="0067316B"/>
    <w:rsid w:val="00677043"/>
    <w:rsid w:val="006834E9"/>
    <w:rsid w:val="00696278"/>
    <w:rsid w:val="006977AA"/>
    <w:rsid w:val="006A3F44"/>
    <w:rsid w:val="006A6960"/>
    <w:rsid w:val="006A7159"/>
    <w:rsid w:val="006B352C"/>
    <w:rsid w:val="006B3F39"/>
    <w:rsid w:val="006B7388"/>
    <w:rsid w:val="006B7E26"/>
    <w:rsid w:val="006C5F9B"/>
    <w:rsid w:val="006E26D6"/>
    <w:rsid w:val="006E27EE"/>
    <w:rsid w:val="006E5352"/>
    <w:rsid w:val="006E789B"/>
    <w:rsid w:val="006F309A"/>
    <w:rsid w:val="006F4E24"/>
    <w:rsid w:val="0072499D"/>
    <w:rsid w:val="0074063E"/>
    <w:rsid w:val="00747388"/>
    <w:rsid w:val="00751EFA"/>
    <w:rsid w:val="00783405"/>
    <w:rsid w:val="00787A9F"/>
    <w:rsid w:val="00787B94"/>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00740"/>
    <w:rsid w:val="00811335"/>
    <w:rsid w:val="00814F2E"/>
    <w:rsid w:val="00816D27"/>
    <w:rsid w:val="00826864"/>
    <w:rsid w:val="00827BDF"/>
    <w:rsid w:val="008325EC"/>
    <w:rsid w:val="00834C51"/>
    <w:rsid w:val="008444B1"/>
    <w:rsid w:val="008452CC"/>
    <w:rsid w:val="00857500"/>
    <w:rsid w:val="00877BBD"/>
    <w:rsid w:val="008938FB"/>
    <w:rsid w:val="00896242"/>
    <w:rsid w:val="008A2520"/>
    <w:rsid w:val="008A438F"/>
    <w:rsid w:val="008B0792"/>
    <w:rsid w:val="008B279A"/>
    <w:rsid w:val="008D0714"/>
    <w:rsid w:val="008D1849"/>
    <w:rsid w:val="008D3D76"/>
    <w:rsid w:val="008E4DAB"/>
    <w:rsid w:val="008F3049"/>
    <w:rsid w:val="008F4B5E"/>
    <w:rsid w:val="008F540A"/>
    <w:rsid w:val="009127BC"/>
    <w:rsid w:val="0091367E"/>
    <w:rsid w:val="0091791A"/>
    <w:rsid w:val="00922EEE"/>
    <w:rsid w:val="009242F0"/>
    <w:rsid w:val="00924C41"/>
    <w:rsid w:val="00935B73"/>
    <w:rsid w:val="00950FD3"/>
    <w:rsid w:val="00951D5A"/>
    <w:rsid w:val="00952AEC"/>
    <w:rsid w:val="00953076"/>
    <w:rsid w:val="0095526D"/>
    <w:rsid w:val="00963AA0"/>
    <w:rsid w:val="00967178"/>
    <w:rsid w:val="00972F33"/>
    <w:rsid w:val="00975A73"/>
    <w:rsid w:val="00987449"/>
    <w:rsid w:val="00991236"/>
    <w:rsid w:val="00992673"/>
    <w:rsid w:val="009B5C77"/>
    <w:rsid w:val="009F4930"/>
    <w:rsid w:val="00A00629"/>
    <w:rsid w:val="00A03A6E"/>
    <w:rsid w:val="00A05D7F"/>
    <w:rsid w:val="00A11F03"/>
    <w:rsid w:val="00A128EA"/>
    <w:rsid w:val="00A210E0"/>
    <w:rsid w:val="00A2357C"/>
    <w:rsid w:val="00A340C6"/>
    <w:rsid w:val="00A50F87"/>
    <w:rsid w:val="00A56440"/>
    <w:rsid w:val="00A57245"/>
    <w:rsid w:val="00A62F10"/>
    <w:rsid w:val="00A67ED9"/>
    <w:rsid w:val="00A73989"/>
    <w:rsid w:val="00A739A7"/>
    <w:rsid w:val="00A753F4"/>
    <w:rsid w:val="00A765BC"/>
    <w:rsid w:val="00A77A85"/>
    <w:rsid w:val="00A77D6F"/>
    <w:rsid w:val="00A82206"/>
    <w:rsid w:val="00A841D5"/>
    <w:rsid w:val="00A847D1"/>
    <w:rsid w:val="00A85389"/>
    <w:rsid w:val="00AA219B"/>
    <w:rsid w:val="00AA7B63"/>
    <w:rsid w:val="00AB0FE1"/>
    <w:rsid w:val="00AE404B"/>
    <w:rsid w:val="00AE4B90"/>
    <w:rsid w:val="00AE5CBC"/>
    <w:rsid w:val="00AE76C2"/>
    <w:rsid w:val="00AF1F99"/>
    <w:rsid w:val="00AF4615"/>
    <w:rsid w:val="00B01F61"/>
    <w:rsid w:val="00B120AF"/>
    <w:rsid w:val="00B14F15"/>
    <w:rsid w:val="00B2217C"/>
    <w:rsid w:val="00B226CE"/>
    <w:rsid w:val="00B31419"/>
    <w:rsid w:val="00B510E1"/>
    <w:rsid w:val="00B62DBD"/>
    <w:rsid w:val="00B726DF"/>
    <w:rsid w:val="00B73062"/>
    <w:rsid w:val="00B86A17"/>
    <w:rsid w:val="00B91F6C"/>
    <w:rsid w:val="00BB2EDB"/>
    <w:rsid w:val="00BB301A"/>
    <w:rsid w:val="00BB7ABB"/>
    <w:rsid w:val="00BC74F8"/>
    <w:rsid w:val="00BD331F"/>
    <w:rsid w:val="00C12094"/>
    <w:rsid w:val="00C20E59"/>
    <w:rsid w:val="00C23687"/>
    <w:rsid w:val="00C274D1"/>
    <w:rsid w:val="00C40E18"/>
    <w:rsid w:val="00C515E3"/>
    <w:rsid w:val="00C52E71"/>
    <w:rsid w:val="00C60C5E"/>
    <w:rsid w:val="00C63F6D"/>
    <w:rsid w:val="00C66897"/>
    <w:rsid w:val="00C76FA2"/>
    <w:rsid w:val="00C8079A"/>
    <w:rsid w:val="00CA79C3"/>
    <w:rsid w:val="00CB1FD5"/>
    <w:rsid w:val="00CB43BF"/>
    <w:rsid w:val="00CC58CD"/>
    <w:rsid w:val="00CD7FE1"/>
    <w:rsid w:val="00CE2C01"/>
    <w:rsid w:val="00CE3B80"/>
    <w:rsid w:val="00D13F13"/>
    <w:rsid w:val="00D332DE"/>
    <w:rsid w:val="00D36F46"/>
    <w:rsid w:val="00D43527"/>
    <w:rsid w:val="00D50266"/>
    <w:rsid w:val="00D53F1B"/>
    <w:rsid w:val="00D541C2"/>
    <w:rsid w:val="00D56B1C"/>
    <w:rsid w:val="00D65F72"/>
    <w:rsid w:val="00D67278"/>
    <w:rsid w:val="00D777DA"/>
    <w:rsid w:val="00DC065F"/>
    <w:rsid w:val="00DC32CC"/>
    <w:rsid w:val="00DE09A9"/>
    <w:rsid w:val="00DE2902"/>
    <w:rsid w:val="00DE65DE"/>
    <w:rsid w:val="00E231A4"/>
    <w:rsid w:val="00E26E4F"/>
    <w:rsid w:val="00E436F2"/>
    <w:rsid w:val="00E43801"/>
    <w:rsid w:val="00E450F4"/>
    <w:rsid w:val="00E53CC2"/>
    <w:rsid w:val="00E65D3F"/>
    <w:rsid w:val="00E72311"/>
    <w:rsid w:val="00E87E99"/>
    <w:rsid w:val="00E9477C"/>
    <w:rsid w:val="00EA4F74"/>
    <w:rsid w:val="00EA67A4"/>
    <w:rsid w:val="00EB7919"/>
    <w:rsid w:val="00ED552B"/>
    <w:rsid w:val="00ED6612"/>
    <w:rsid w:val="00EE189D"/>
    <w:rsid w:val="00EF5E84"/>
    <w:rsid w:val="00EF75F1"/>
    <w:rsid w:val="00EF7B8E"/>
    <w:rsid w:val="00F037F9"/>
    <w:rsid w:val="00F162A1"/>
    <w:rsid w:val="00F162B3"/>
    <w:rsid w:val="00F24D45"/>
    <w:rsid w:val="00F269DA"/>
    <w:rsid w:val="00F26E86"/>
    <w:rsid w:val="00F332DC"/>
    <w:rsid w:val="00F41601"/>
    <w:rsid w:val="00F439DC"/>
    <w:rsid w:val="00F60CBE"/>
    <w:rsid w:val="00F65E46"/>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221DC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221DC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221D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1483008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725603">
      <w:bodyDiv w:val="1"/>
      <w:marLeft w:val="0"/>
      <w:marRight w:val="0"/>
      <w:marTop w:val="0"/>
      <w:marBottom w:val="0"/>
      <w:divBdr>
        <w:top w:val="none" w:sz="0" w:space="0" w:color="auto"/>
        <w:left w:val="none" w:sz="0" w:space="0" w:color="auto"/>
        <w:bottom w:val="none" w:sz="0" w:space="0" w:color="auto"/>
        <w:right w:val="none" w:sz="0" w:space="0" w:color="auto"/>
      </w:divBdr>
    </w:div>
    <w:div w:id="642806583">
      <w:bodyDiv w:val="1"/>
      <w:marLeft w:val="0"/>
      <w:marRight w:val="0"/>
      <w:marTop w:val="0"/>
      <w:marBottom w:val="0"/>
      <w:divBdr>
        <w:top w:val="none" w:sz="0" w:space="0" w:color="auto"/>
        <w:left w:val="none" w:sz="0" w:space="0" w:color="auto"/>
        <w:bottom w:val="none" w:sz="0" w:space="0" w:color="auto"/>
        <w:right w:val="none" w:sz="0" w:space="0" w:color="auto"/>
      </w:divBdr>
    </w:div>
    <w:div w:id="703485188">
      <w:bodyDiv w:val="1"/>
      <w:marLeft w:val="0"/>
      <w:marRight w:val="0"/>
      <w:marTop w:val="0"/>
      <w:marBottom w:val="0"/>
      <w:divBdr>
        <w:top w:val="none" w:sz="0" w:space="0" w:color="auto"/>
        <w:left w:val="none" w:sz="0" w:space="0" w:color="auto"/>
        <w:bottom w:val="none" w:sz="0" w:space="0" w:color="auto"/>
        <w:right w:val="none" w:sz="0" w:space="0" w:color="auto"/>
      </w:divBdr>
    </w:div>
    <w:div w:id="749084062">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34704796">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51421058">
      <w:bodyDiv w:val="1"/>
      <w:marLeft w:val="0"/>
      <w:marRight w:val="0"/>
      <w:marTop w:val="0"/>
      <w:marBottom w:val="0"/>
      <w:divBdr>
        <w:top w:val="none" w:sz="0" w:space="0" w:color="auto"/>
        <w:left w:val="none" w:sz="0" w:space="0" w:color="auto"/>
        <w:bottom w:val="none" w:sz="0" w:space="0" w:color="auto"/>
        <w:right w:val="none" w:sz="0" w:space="0" w:color="auto"/>
      </w:divBdr>
    </w:div>
    <w:div w:id="1145120439">
      <w:bodyDiv w:val="1"/>
      <w:marLeft w:val="0"/>
      <w:marRight w:val="0"/>
      <w:marTop w:val="0"/>
      <w:marBottom w:val="0"/>
      <w:divBdr>
        <w:top w:val="none" w:sz="0" w:space="0" w:color="auto"/>
        <w:left w:val="none" w:sz="0" w:space="0" w:color="auto"/>
        <w:bottom w:val="none" w:sz="0" w:space="0" w:color="auto"/>
        <w:right w:val="none" w:sz="0" w:space="0" w:color="auto"/>
      </w:divBdr>
    </w:div>
    <w:div w:id="1170801992">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6947728">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85889744">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26015841">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7672697">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4SQX5P7U7WPY-958212181-813470</_dlc_DocId>
    <_ip_UnifiedCompliancePolicyUIAction xmlns="http://schemas.microsoft.com/sharepoint/v3" xsi:nil="true"/>
    <_dlc_DocIdUrl xmlns="c890fddd-4e87-4e08-8b51-545f2a3f7b06">
      <Url>https://senpr.sharepoint.com/sites/obralegislativa/_layouts/15/DocIdRedir.aspx?ID=4SQX5P7U7WPY-958212181-813470</Url>
      <Description>4SQX5P7U7WPY-958212181-813470</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2.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3.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5.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8</Pages>
  <Words>2725</Words>
  <Characters>15171</Characters>
  <Application>Microsoft Office Word</Application>
  <DocSecurity>0</DocSecurity>
  <Lines>126</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Eric J. González (Trámites y Récords)</cp:lastModifiedBy>
  <cp:revision>3</cp:revision>
  <cp:lastPrinted>2025-05-19T16:06:00Z</cp:lastPrinted>
  <dcterms:created xsi:type="dcterms:W3CDTF">2025-05-21T12:37:00Z</dcterms:created>
  <dcterms:modified xsi:type="dcterms:W3CDTF">2025-05-21T12:37:00Z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05339268-a359-4382-9af4-1e750fedb4c4</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