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4FA907" w14:textId="3EF452CC" w:rsidR="005924B5" w:rsidRPr="005924B5" w:rsidRDefault="005924B5" w:rsidP="005924B5">
      <w:pPr>
        <w:jc w:val="both"/>
        <w:rPr>
          <w:rFonts w:ascii="Book Antiqua" w:hAnsi="Book Antiqua"/>
          <w:b/>
          <w:strike/>
          <w:szCs w:val="24"/>
          <w:lang w:val="es-ES_tradnl"/>
        </w:rPr>
      </w:pPr>
    </w:p>
    <w:p w14:paraId="50B47167" w14:textId="08EA924D" w:rsidR="00FF6BD2" w:rsidRDefault="00C05908" w:rsidP="007223FC">
      <w:pPr>
        <w:jc w:val="center"/>
        <w:rPr>
          <w:rFonts w:ascii="Book Antiqua" w:hAnsi="Book Antiqua"/>
          <w:sz w:val="28"/>
          <w:lang w:val="es-ES_tradnl"/>
        </w:rPr>
      </w:pPr>
      <w:r>
        <w:rPr>
          <w:rFonts w:ascii="Book Antiqua" w:hAnsi="Book Antiqua"/>
          <w:sz w:val="28"/>
          <w:lang w:val="es-ES_tradnl"/>
        </w:rPr>
        <w:t>GOBIERNO</w:t>
      </w:r>
      <w:r w:rsidR="007223FC">
        <w:rPr>
          <w:rFonts w:ascii="Book Antiqua" w:hAnsi="Book Antiqua"/>
          <w:sz w:val="28"/>
          <w:lang w:val="es-ES_tradnl"/>
        </w:rPr>
        <w:t xml:space="preserve"> DE PUERTO RICO</w:t>
      </w:r>
    </w:p>
    <w:p w14:paraId="356F59C8" w14:textId="77777777" w:rsidR="007223FC" w:rsidRPr="001E0D88" w:rsidRDefault="007223FC" w:rsidP="001E0D88">
      <w:pPr>
        <w:jc w:val="center"/>
        <w:rPr>
          <w:rFonts w:ascii="Book Antiqua" w:hAnsi="Book Antiqua"/>
          <w:lang w:val="es-ES_tradnl"/>
        </w:rPr>
      </w:pPr>
    </w:p>
    <w:p w14:paraId="0BD40D93" w14:textId="0171DB08" w:rsidR="007223FC" w:rsidRPr="007F2ED6" w:rsidRDefault="007F2ED6" w:rsidP="007F2ED6">
      <w:pPr>
        <w:pStyle w:val="Title2"/>
        <w:tabs>
          <w:tab w:val="clear" w:pos="648"/>
          <w:tab w:val="clear" w:pos="7776"/>
          <w:tab w:val="clear" w:pos="7848"/>
        </w:tabs>
        <w:rPr>
          <w:rFonts w:ascii="Book Antiqua" w:hAnsi="Book Antiqua"/>
          <w:lang w:val="it-IT"/>
        </w:rPr>
      </w:pPr>
      <w:r w:rsidRPr="007F2ED6">
        <w:rPr>
          <w:rFonts w:ascii="Book Antiqua" w:hAnsi="Book Antiqua"/>
          <w:lang w:val="it-IT"/>
        </w:rPr>
        <w:t>20ma.</w:t>
      </w:r>
      <w:r>
        <w:rPr>
          <w:rFonts w:ascii="Book Antiqua" w:hAnsi="Book Antiqua"/>
          <w:lang w:val="it-IT"/>
        </w:rPr>
        <w:t xml:space="preserve"> </w:t>
      </w:r>
      <w:r w:rsidR="007223FC" w:rsidRPr="007F2ED6">
        <w:rPr>
          <w:rFonts w:ascii="Book Antiqua" w:hAnsi="Book Antiqua"/>
          <w:lang w:val="it-IT"/>
        </w:rPr>
        <w:t>Asamblea</w:t>
      </w:r>
      <w:r w:rsidR="007223FC" w:rsidRPr="007F2ED6">
        <w:rPr>
          <w:rFonts w:ascii="Book Antiqua" w:hAnsi="Book Antiqua"/>
          <w:lang w:val="it-IT"/>
        </w:rPr>
        <w:tab/>
      </w:r>
      <w:r>
        <w:rPr>
          <w:rFonts w:ascii="Book Antiqua" w:hAnsi="Book Antiqua"/>
          <w:lang w:val="it-IT"/>
        </w:rPr>
        <w:tab/>
      </w:r>
      <w:r>
        <w:rPr>
          <w:rFonts w:ascii="Book Antiqua" w:hAnsi="Book Antiqua"/>
          <w:lang w:val="it-IT"/>
        </w:rPr>
        <w:tab/>
      </w:r>
      <w:r>
        <w:rPr>
          <w:rFonts w:ascii="Book Antiqua" w:hAnsi="Book Antiqua"/>
          <w:lang w:val="it-IT"/>
        </w:rPr>
        <w:tab/>
      </w:r>
      <w:r>
        <w:rPr>
          <w:rFonts w:ascii="Book Antiqua" w:hAnsi="Book Antiqua"/>
          <w:lang w:val="it-IT"/>
        </w:rPr>
        <w:tab/>
      </w:r>
      <w:r>
        <w:rPr>
          <w:rFonts w:ascii="Book Antiqua" w:hAnsi="Book Antiqua"/>
          <w:lang w:val="it-IT"/>
        </w:rPr>
        <w:tab/>
      </w:r>
      <w:r>
        <w:rPr>
          <w:rFonts w:ascii="Book Antiqua" w:hAnsi="Book Antiqua"/>
          <w:lang w:val="it-IT"/>
        </w:rPr>
        <w:tab/>
      </w:r>
      <w:r>
        <w:rPr>
          <w:rFonts w:ascii="Book Antiqua" w:hAnsi="Book Antiqua"/>
          <w:lang w:val="it-IT"/>
        </w:rPr>
        <w:tab/>
        <w:t xml:space="preserve">           1ra. </w:t>
      </w:r>
      <w:r w:rsidR="007223FC" w:rsidRPr="007F2ED6">
        <w:rPr>
          <w:rFonts w:ascii="Book Antiqua" w:hAnsi="Book Antiqua"/>
          <w:lang w:val="it-IT"/>
        </w:rPr>
        <w:t>Sesión</w:t>
      </w:r>
    </w:p>
    <w:p w14:paraId="6119718E" w14:textId="18692A82" w:rsidR="007223FC" w:rsidRPr="007F2ED6" w:rsidRDefault="007223FC" w:rsidP="001E0D88">
      <w:pPr>
        <w:pStyle w:val="Title2"/>
        <w:rPr>
          <w:rFonts w:ascii="Book Antiqua" w:hAnsi="Book Antiqua"/>
          <w:lang w:val="it-IT"/>
        </w:rPr>
      </w:pPr>
      <w:r w:rsidRPr="007F2ED6">
        <w:rPr>
          <w:rFonts w:ascii="Book Antiqua" w:hAnsi="Book Antiqua"/>
          <w:lang w:val="it-IT"/>
        </w:rPr>
        <w:tab/>
      </w:r>
      <w:r w:rsidR="007F2ED6" w:rsidRPr="007F2ED6">
        <w:rPr>
          <w:rFonts w:ascii="Book Antiqua" w:hAnsi="Book Antiqua"/>
          <w:lang w:val="it-IT"/>
        </w:rPr>
        <w:t xml:space="preserve"> </w:t>
      </w:r>
      <w:r w:rsidRPr="007F2ED6">
        <w:rPr>
          <w:rFonts w:ascii="Book Antiqua" w:hAnsi="Book Antiqua"/>
          <w:lang w:val="it-IT"/>
        </w:rPr>
        <w:t>Legislativa</w:t>
      </w:r>
      <w:r w:rsidRPr="007F2ED6">
        <w:rPr>
          <w:rFonts w:ascii="Book Antiqua" w:hAnsi="Book Antiqua"/>
          <w:lang w:val="it-IT"/>
        </w:rPr>
        <w:tab/>
      </w:r>
      <w:r w:rsidRPr="007F2ED6">
        <w:rPr>
          <w:rFonts w:ascii="Book Antiqua" w:hAnsi="Book Antiqua"/>
          <w:lang w:val="it-IT"/>
        </w:rPr>
        <w:tab/>
      </w:r>
      <w:r w:rsidR="007F2ED6">
        <w:rPr>
          <w:rFonts w:ascii="Book Antiqua" w:hAnsi="Book Antiqua"/>
          <w:lang w:val="it-IT"/>
        </w:rPr>
        <w:t xml:space="preserve">       </w:t>
      </w:r>
      <w:r w:rsidRPr="007F2ED6">
        <w:rPr>
          <w:rFonts w:ascii="Book Antiqua" w:hAnsi="Book Antiqua"/>
          <w:lang w:val="it-IT"/>
        </w:rPr>
        <w:t>Ordinaria</w:t>
      </w:r>
    </w:p>
    <w:p w14:paraId="2826346C" w14:textId="77777777" w:rsidR="007223FC" w:rsidRPr="007F2ED6" w:rsidRDefault="007223FC" w:rsidP="001E0D88">
      <w:pPr>
        <w:rPr>
          <w:lang w:val="it-IT"/>
        </w:rPr>
      </w:pPr>
    </w:p>
    <w:p w14:paraId="5CB5D2EC" w14:textId="77777777" w:rsidR="007223FC" w:rsidRDefault="007223FC" w:rsidP="001E0D88">
      <w:pPr>
        <w:jc w:val="center"/>
        <w:rPr>
          <w:rFonts w:ascii="Book Antiqua" w:hAnsi="Book Antiqua"/>
          <w:b/>
          <w:sz w:val="36"/>
          <w:lang w:val="es-ES_tradnl"/>
        </w:rPr>
      </w:pPr>
      <w:r>
        <w:rPr>
          <w:rFonts w:ascii="Book Antiqua" w:hAnsi="Book Antiqua"/>
          <w:b/>
          <w:sz w:val="36"/>
          <w:lang w:val="es-ES_tradnl"/>
        </w:rPr>
        <w:t>CÁMARA DE REPRESENTANTES</w:t>
      </w:r>
    </w:p>
    <w:p w14:paraId="466990B5" w14:textId="77777777" w:rsidR="007223FC" w:rsidRPr="001E0D88" w:rsidRDefault="007223FC" w:rsidP="001E0D88">
      <w:pPr>
        <w:jc w:val="center"/>
        <w:rPr>
          <w:rFonts w:ascii="Book Antiqua" w:hAnsi="Book Antiqua"/>
          <w:b/>
          <w:szCs w:val="24"/>
          <w:lang w:val="es-ES_tradnl"/>
        </w:rPr>
      </w:pPr>
    </w:p>
    <w:p w14:paraId="5AE15BF3" w14:textId="272D7834" w:rsidR="007223FC" w:rsidRDefault="007223FC" w:rsidP="001E0D88">
      <w:pPr>
        <w:jc w:val="center"/>
        <w:rPr>
          <w:rFonts w:ascii="Book Antiqua" w:hAnsi="Book Antiqua"/>
          <w:b/>
          <w:sz w:val="52"/>
          <w:lang w:val="es-ES_tradnl"/>
        </w:rPr>
      </w:pPr>
      <w:r>
        <w:rPr>
          <w:rFonts w:ascii="Book Antiqua" w:hAnsi="Book Antiqua"/>
          <w:b/>
          <w:sz w:val="52"/>
          <w:lang w:val="es-ES_tradnl"/>
        </w:rPr>
        <w:t>R. de la C.</w:t>
      </w:r>
      <w:r w:rsidR="00AB78E2">
        <w:rPr>
          <w:rFonts w:ascii="Book Antiqua" w:hAnsi="Book Antiqua"/>
          <w:b/>
          <w:sz w:val="52"/>
          <w:lang w:val="es-ES_tradnl"/>
        </w:rPr>
        <w:t xml:space="preserve"> </w:t>
      </w:r>
      <w:r w:rsidR="009410C6">
        <w:rPr>
          <w:rFonts w:ascii="Book Antiqua" w:hAnsi="Book Antiqua"/>
          <w:b/>
          <w:sz w:val="52"/>
          <w:lang w:val="es-ES_tradnl"/>
        </w:rPr>
        <w:t>233</w:t>
      </w:r>
    </w:p>
    <w:p w14:paraId="4FB5DD3D" w14:textId="77777777" w:rsidR="001E0D88" w:rsidRPr="001E0D88" w:rsidRDefault="001E0D88" w:rsidP="001E0D88">
      <w:pPr>
        <w:jc w:val="center"/>
        <w:rPr>
          <w:rFonts w:ascii="Book Antiqua" w:hAnsi="Book Antiqua"/>
          <w:b/>
          <w:szCs w:val="24"/>
          <w:lang w:val="es-ES_tradnl"/>
        </w:rPr>
      </w:pPr>
    </w:p>
    <w:p w14:paraId="12915E35" w14:textId="1B7CA296" w:rsidR="007223FC" w:rsidRDefault="007F13E3" w:rsidP="001E0D88">
      <w:pPr>
        <w:jc w:val="center"/>
        <w:rPr>
          <w:rFonts w:ascii="Book Antiqua" w:hAnsi="Book Antiqua"/>
          <w:lang w:val="es-ES_tradnl"/>
        </w:rPr>
      </w:pPr>
      <w:r>
        <w:rPr>
          <w:rFonts w:ascii="Book Antiqua" w:hAnsi="Book Antiqua"/>
          <w:lang w:val="es-ES_tradnl"/>
        </w:rPr>
        <w:t>31</w:t>
      </w:r>
      <w:r w:rsidR="002B7EDC">
        <w:rPr>
          <w:rFonts w:ascii="Book Antiqua" w:hAnsi="Book Antiqua"/>
          <w:lang w:val="es-ES_tradnl"/>
        </w:rPr>
        <w:t xml:space="preserve"> </w:t>
      </w:r>
      <w:r w:rsidR="00E03207">
        <w:rPr>
          <w:rFonts w:ascii="Book Antiqua" w:hAnsi="Book Antiqua"/>
          <w:lang w:val="es-ES_tradnl"/>
        </w:rPr>
        <w:t xml:space="preserve">DE </w:t>
      </w:r>
      <w:r w:rsidR="008F0224">
        <w:rPr>
          <w:rFonts w:ascii="Book Antiqua" w:hAnsi="Book Antiqua"/>
          <w:lang w:val="es-ES_tradnl"/>
        </w:rPr>
        <w:t>MARZ</w:t>
      </w:r>
      <w:r w:rsidR="008629FB">
        <w:rPr>
          <w:rFonts w:ascii="Book Antiqua" w:hAnsi="Book Antiqua"/>
          <w:lang w:val="es-ES_tradnl"/>
        </w:rPr>
        <w:t>O</w:t>
      </w:r>
      <w:r w:rsidR="007223FC">
        <w:rPr>
          <w:rFonts w:ascii="Book Antiqua" w:hAnsi="Book Antiqua"/>
          <w:lang w:val="es-ES_tradnl"/>
        </w:rPr>
        <w:t xml:space="preserve"> DE 202</w:t>
      </w:r>
      <w:r w:rsidR="008629FB">
        <w:rPr>
          <w:rFonts w:ascii="Book Antiqua" w:hAnsi="Book Antiqua"/>
          <w:lang w:val="es-ES_tradnl"/>
        </w:rPr>
        <w:t>5</w:t>
      </w:r>
    </w:p>
    <w:p w14:paraId="21F5BBE3" w14:textId="77777777" w:rsidR="001E0D88" w:rsidRDefault="001E0D88" w:rsidP="001E0D88">
      <w:pPr>
        <w:jc w:val="center"/>
        <w:rPr>
          <w:rFonts w:ascii="Book Antiqua" w:hAnsi="Book Antiqua"/>
          <w:lang w:val="es-ES_tradnl"/>
        </w:rPr>
      </w:pPr>
    </w:p>
    <w:p w14:paraId="158A62B7" w14:textId="5A1ABD86" w:rsidR="007F2ED6" w:rsidRDefault="007223FC" w:rsidP="001E0D88">
      <w:pPr>
        <w:jc w:val="center"/>
        <w:rPr>
          <w:rFonts w:ascii="Book Antiqua" w:hAnsi="Book Antiqua"/>
          <w:i/>
          <w:iCs/>
          <w:lang w:val="es-ES_tradnl"/>
        </w:rPr>
      </w:pPr>
      <w:r>
        <w:rPr>
          <w:rFonts w:ascii="Book Antiqua" w:hAnsi="Book Antiqua"/>
          <w:lang w:val="es-ES_tradnl"/>
        </w:rPr>
        <w:t xml:space="preserve">Presentada por </w:t>
      </w:r>
      <w:r w:rsidR="007F2ED6">
        <w:rPr>
          <w:rFonts w:ascii="Book Antiqua" w:hAnsi="Book Antiqua"/>
          <w:lang w:val="es-ES_tradnl"/>
        </w:rPr>
        <w:t>el</w:t>
      </w:r>
      <w:r>
        <w:rPr>
          <w:rFonts w:ascii="Book Antiqua" w:hAnsi="Book Antiqua"/>
          <w:lang w:val="es-ES_tradnl"/>
        </w:rPr>
        <w:t xml:space="preserve"> representante </w:t>
      </w:r>
      <w:r w:rsidR="007F2ED6" w:rsidRPr="0044682A">
        <w:rPr>
          <w:rFonts w:ascii="Book Antiqua" w:hAnsi="Book Antiqua"/>
          <w:i/>
          <w:iCs/>
          <w:lang w:val="es-ES_tradnl"/>
        </w:rPr>
        <w:t>Márquez</w:t>
      </w:r>
      <w:r w:rsidR="0044682A" w:rsidRPr="0044682A">
        <w:rPr>
          <w:rFonts w:ascii="Book Antiqua" w:hAnsi="Book Antiqua"/>
          <w:i/>
          <w:iCs/>
          <w:lang w:val="es-ES_tradnl"/>
        </w:rPr>
        <w:t xml:space="preserve"> Lebrón</w:t>
      </w:r>
      <w:r w:rsidR="007F2ED6">
        <w:rPr>
          <w:rFonts w:ascii="Book Antiqua" w:hAnsi="Book Antiqua"/>
          <w:i/>
          <w:iCs/>
          <w:lang w:val="es-ES_tradnl"/>
        </w:rPr>
        <w:t xml:space="preserve"> </w:t>
      </w:r>
    </w:p>
    <w:p w14:paraId="6DD7E46D" w14:textId="46005359" w:rsidR="007223FC" w:rsidRDefault="007F2ED6" w:rsidP="001E0D88">
      <w:pPr>
        <w:jc w:val="center"/>
        <w:rPr>
          <w:rFonts w:ascii="Book Antiqua" w:hAnsi="Book Antiqua"/>
          <w:i/>
          <w:lang w:val="es-ES_tradnl"/>
        </w:rPr>
      </w:pPr>
      <w:r w:rsidRPr="007F2ED6">
        <w:rPr>
          <w:rFonts w:ascii="Book Antiqua" w:hAnsi="Book Antiqua"/>
          <w:lang w:val="es-ES_tradnl"/>
        </w:rPr>
        <w:t>y las representantes</w:t>
      </w:r>
      <w:r w:rsidR="0044682A" w:rsidRPr="0044682A">
        <w:rPr>
          <w:rFonts w:ascii="Book Antiqua" w:hAnsi="Book Antiqua"/>
          <w:i/>
          <w:iCs/>
          <w:lang w:val="es-ES_tradnl"/>
        </w:rPr>
        <w:t xml:space="preserve"> </w:t>
      </w:r>
      <w:r w:rsidR="008629FB">
        <w:rPr>
          <w:rFonts w:ascii="Book Antiqua" w:hAnsi="Book Antiqua"/>
          <w:i/>
          <w:lang w:val="es-ES_tradnl"/>
        </w:rPr>
        <w:t>Gutiérrez Colón</w:t>
      </w:r>
      <w:r w:rsidR="0044682A">
        <w:rPr>
          <w:rFonts w:ascii="Book Antiqua" w:hAnsi="Book Antiqua"/>
          <w:i/>
          <w:lang w:val="es-ES_tradnl"/>
        </w:rPr>
        <w:t xml:space="preserve"> </w:t>
      </w:r>
      <w:r w:rsidR="0044682A" w:rsidRPr="007F2ED6">
        <w:rPr>
          <w:rFonts w:ascii="Book Antiqua" w:hAnsi="Book Antiqua"/>
          <w:iCs/>
          <w:lang w:val="es-ES_tradnl"/>
        </w:rPr>
        <w:t>y</w:t>
      </w:r>
      <w:r w:rsidR="0044682A">
        <w:rPr>
          <w:rFonts w:ascii="Book Antiqua" w:hAnsi="Book Antiqua"/>
          <w:i/>
          <w:lang w:val="es-ES_tradnl"/>
        </w:rPr>
        <w:t xml:space="preserve"> Lebrón Robles</w:t>
      </w:r>
    </w:p>
    <w:p w14:paraId="6B41298E" w14:textId="77777777" w:rsidR="001E0D88" w:rsidRDefault="001E0D88" w:rsidP="001E0D88">
      <w:pPr>
        <w:jc w:val="center"/>
        <w:rPr>
          <w:rFonts w:ascii="Book Antiqua" w:hAnsi="Book Antiqua"/>
          <w:lang w:val="es-ES_tradnl"/>
        </w:rPr>
      </w:pPr>
    </w:p>
    <w:p w14:paraId="0E632D40" w14:textId="490BFCEC" w:rsidR="007223FC" w:rsidRDefault="007223FC" w:rsidP="001E0D88">
      <w:pPr>
        <w:jc w:val="center"/>
        <w:rPr>
          <w:rFonts w:ascii="Book Antiqua" w:hAnsi="Book Antiqua"/>
          <w:lang w:val="es-ES_tradnl"/>
        </w:rPr>
      </w:pPr>
      <w:r>
        <w:rPr>
          <w:rFonts w:ascii="Book Antiqua" w:hAnsi="Book Antiqua"/>
          <w:lang w:val="es-ES_tradnl"/>
        </w:rPr>
        <w:t xml:space="preserve">Referida a </w:t>
      </w:r>
      <w:r w:rsidR="007F2ED6">
        <w:rPr>
          <w:rFonts w:ascii="Book Antiqua" w:hAnsi="Book Antiqua"/>
          <w:lang w:val="es-ES_tradnl"/>
        </w:rPr>
        <w:t>la Comisión de Asuntos Internos</w:t>
      </w:r>
    </w:p>
    <w:p w14:paraId="0DCBA946" w14:textId="77777777" w:rsidR="007223FC" w:rsidRDefault="007223FC" w:rsidP="001E0D88">
      <w:pPr>
        <w:jc w:val="both"/>
        <w:rPr>
          <w:rFonts w:ascii="Book Antiqua" w:hAnsi="Book Antiqua"/>
          <w:lang w:val="es-ES_tradnl"/>
        </w:rPr>
      </w:pPr>
    </w:p>
    <w:p w14:paraId="59299EAC" w14:textId="77777777" w:rsidR="007223FC" w:rsidRDefault="007223FC" w:rsidP="001E0D88">
      <w:pPr>
        <w:jc w:val="center"/>
        <w:rPr>
          <w:rFonts w:ascii="Book Antiqua" w:hAnsi="Book Antiqua"/>
          <w:b/>
          <w:sz w:val="28"/>
          <w:lang w:val="es-ES_tradnl"/>
        </w:rPr>
      </w:pPr>
      <w:r>
        <w:rPr>
          <w:rFonts w:ascii="Book Antiqua" w:hAnsi="Book Antiqua"/>
          <w:b/>
          <w:sz w:val="28"/>
          <w:lang w:val="es-ES_tradnl"/>
        </w:rPr>
        <w:t>RESOLUCIÓN</w:t>
      </w:r>
    </w:p>
    <w:p w14:paraId="2CB907D3" w14:textId="77777777" w:rsidR="007223FC" w:rsidRDefault="007223FC" w:rsidP="001E0D88">
      <w:pPr>
        <w:jc w:val="both"/>
        <w:rPr>
          <w:rFonts w:ascii="Book Antiqua" w:hAnsi="Book Antiqua"/>
          <w:lang w:val="es-ES_tradnl"/>
        </w:rPr>
      </w:pPr>
    </w:p>
    <w:p w14:paraId="516DED3D" w14:textId="0C396817" w:rsidR="007223FC" w:rsidRPr="00ED1E2F" w:rsidRDefault="007223FC" w:rsidP="007F2ED6">
      <w:pPr>
        <w:ind w:left="720" w:hanging="720"/>
        <w:jc w:val="both"/>
        <w:rPr>
          <w:rFonts w:ascii="Book Antiqua" w:hAnsi="Book Antiqua"/>
          <w:lang w:val="es-ES_tradnl"/>
        </w:rPr>
      </w:pPr>
      <w:r w:rsidRPr="00ED1E2F">
        <w:rPr>
          <w:rFonts w:ascii="Book Antiqua" w:hAnsi="Book Antiqua"/>
          <w:lang w:val="es-ES_tradnl"/>
        </w:rPr>
        <w:t xml:space="preserve">Para </w:t>
      </w:r>
      <w:r w:rsidR="004D2710" w:rsidRPr="00DE46D0">
        <w:rPr>
          <w:rFonts w:ascii="Book Antiqua" w:hAnsi="Book Antiqua"/>
          <w:lang w:val="es-ES_tradnl"/>
        </w:rPr>
        <w:t xml:space="preserve">ordenar a la </w:t>
      </w:r>
      <w:r w:rsidR="004D2710">
        <w:rPr>
          <w:rFonts w:ascii="Book Antiqua" w:hAnsi="Book Antiqua"/>
          <w:lang w:val="es-ES_tradnl"/>
        </w:rPr>
        <w:t xml:space="preserve">Comisión de Recursos Naturales de la Cámara de Representantes </w:t>
      </w:r>
      <w:r w:rsidR="004D2710" w:rsidRPr="007D3737">
        <w:rPr>
          <w:rFonts w:ascii="Book Antiqua" w:hAnsi="Book Antiqua"/>
          <w:lang w:val="es-ES_tradnl"/>
        </w:rPr>
        <w:t>de Puerto Rico realizar una investigación</w:t>
      </w:r>
      <w:r w:rsidR="004D2710">
        <w:rPr>
          <w:rFonts w:ascii="Book Antiqua" w:hAnsi="Book Antiqua"/>
          <w:lang w:val="es-ES_tradnl"/>
        </w:rPr>
        <w:t xml:space="preserve"> sobre la propuesta construcción de </w:t>
      </w:r>
      <w:r w:rsidR="004D2710" w:rsidRPr="00243544">
        <w:rPr>
          <w:rFonts w:ascii="Book Antiqua" w:hAnsi="Book Antiqua"/>
          <w:lang w:val="es-ES_tradnl"/>
        </w:rPr>
        <w:t xml:space="preserve">un complejo turístico y residencial de lujo, bajo el nombre de Moncayo Resort, en una parcela de 1,100 acres de costa boscosa en </w:t>
      </w:r>
      <w:r w:rsidR="004D2710" w:rsidRPr="008371B5">
        <w:rPr>
          <w:rFonts w:ascii="Book Antiqua" w:hAnsi="Book Antiqua"/>
          <w:lang w:val="es-ES_tradnl"/>
        </w:rPr>
        <w:t>la intersección de las carreteras PR-3, PR-53 y PR-194</w:t>
      </w:r>
      <w:r w:rsidR="004D2710" w:rsidRPr="00243544">
        <w:rPr>
          <w:rFonts w:ascii="Book Antiqua" w:hAnsi="Book Antiqua"/>
          <w:lang w:val="es-ES_tradnl"/>
        </w:rPr>
        <w:t>, en el Barrio Quebrada Vueltas en el Municipio de Fajardo.</w:t>
      </w:r>
      <w:r w:rsidR="00F17F4E" w:rsidRPr="00F17F4E">
        <w:rPr>
          <w:rFonts w:ascii="Book Antiqua" w:hAnsi="Book Antiqua"/>
          <w:lang w:val="es-ES_tradnl"/>
        </w:rPr>
        <w:t xml:space="preserve"> </w:t>
      </w:r>
      <w:r w:rsidR="00E67104">
        <w:rPr>
          <w:rFonts w:ascii="Book Antiqua" w:hAnsi="Book Antiqua"/>
          <w:lang w:val="es-ES_tradnl"/>
        </w:rPr>
        <w:t xml:space="preserve"> </w:t>
      </w:r>
    </w:p>
    <w:p w14:paraId="7309ED66" w14:textId="77777777" w:rsidR="00ED1E2F" w:rsidRDefault="00ED1E2F" w:rsidP="001E0D88">
      <w:pPr>
        <w:ind w:left="360" w:hanging="360"/>
        <w:jc w:val="both"/>
        <w:rPr>
          <w:rFonts w:ascii="Book Antiqua" w:hAnsi="Book Antiqua"/>
          <w:lang w:val="es-ES_tradnl"/>
        </w:rPr>
      </w:pPr>
    </w:p>
    <w:p w14:paraId="013310DC" w14:textId="68895503" w:rsidR="007223FC" w:rsidRDefault="007223FC" w:rsidP="001E0D88">
      <w:pPr>
        <w:ind w:firstLine="360"/>
        <w:jc w:val="center"/>
        <w:rPr>
          <w:rFonts w:ascii="Book Antiqua" w:hAnsi="Book Antiqua"/>
          <w:lang w:val="es-ES_tradnl"/>
        </w:rPr>
      </w:pPr>
      <w:r>
        <w:rPr>
          <w:rFonts w:ascii="Book Antiqua" w:hAnsi="Book Antiqua"/>
          <w:lang w:val="es-ES_tradnl"/>
        </w:rPr>
        <w:t>EXPOSICIÓN DE MOTIVOS</w:t>
      </w:r>
    </w:p>
    <w:p w14:paraId="778F39FD" w14:textId="77777777" w:rsidR="00ED1E2F" w:rsidRDefault="00ED1E2F" w:rsidP="001E0D88">
      <w:pPr>
        <w:ind w:firstLine="360"/>
        <w:jc w:val="center"/>
        <w:rPr>
          <w:rFonts w:ascii="Book Antiqua" w:hAnsi="Book Antiqua"/>
          <w:lang w:val="es-ES_tradnl"/>
        </w:rPr>
      </w:pPr>
    </w:p>
    <w:p w14:paraId="4C6B8D6F" w14:textId="77777777" w:rsidR="00230146" w:rsidRDefault="00230146" w:rsidP="007F2ED6">
      <w:pPr>
        <w:ind w:firstLine="720"/>
        <w:jc w:val="both"/>
        <w:rPr>
          <w:rFonts w:ascii="Book Antiqua" w:hAnsi="Book Antiqua"/>
          <w:lang w:val="es-ES_tradnl"/>
        </w:rPr>
      </w:pPr>
      <w:r w:rsidRPr="00230146">
        <w:rPr>
          <w:rFonts w:ascii="Book Antiqua" w:hAnsi="Book Antiqua"/>
          <w:lang w:val="es-ES_tradnl"/>
        </w:rPr>
        <w:t xml:space="preserve">La empresa JUF Resort </w:t>
      </w:r>
      <w:proofErr w:type="spellStart"/>
      <w:r w:rsidRPr="00230146">
        <w:rPr>
          <w:rFonts w:ascii="Book Antiqua" w:hAnsi="Book Antiqua"/>
          <w:lang w:val="es-ES_tradnl"/>
        </w:rPr>
        <w:t>Owner</w:t>
      </w:r>
      <w:proofErr w:type="spellEnd"/>
      <w:r w:rsidRPr="00230146">
        <w:rPr>
          <w:rFonts w:ascii="Book Antiqua" w:hAnsi="Book Antiqua"/>
          <w:lang w:val="es-ES_tradnl"/>
        </w:rPr>
        <w:t xml:space="preserve"> LLC propone desarrollar un complejo turístico y residencial de lujo, denominado Moncayo Resort, en una parcela de 1,100 acres de costa boscosa ubicada en la intersección de las carreteras PR-3, PR-53 y PR-194, en el Barrio Quebrada Vueltas del municipio de Fajardo. El terreno se encuentra al sur del río Fajardo y al este de estas vías estatales.</w:t>
      </w:r>
    </w:p>
    <w:p w14:paraId="4BE52250" w14:textId="77777777" w:rsidR="00230146" w:rsidRPr="00230146" w:rsidRDefault="00230146" w:rsidP="007F2ED6">
      <w:pPr>
        <w:ind w:firstLine="720"/>
        <w:jc w:val="both"/>
        <w:rPr>
          <w:rFonts w:ascii="Book Antiqua" w:hAnsi="Book Antiqua"/>
          <w:lang w:val="es-ES_tradnl"/>
        </w:rPr>
      </w:pPr>
    </w:p>
    <w:p w14:paraId="551DB1B7" w14:textId="77777777" w:rsidR="00230146" w:rsidRPr="00230146" w:rsidRDefault="00230146" w:rsidP="007F2ED6">
      <w:pPr>
        <w:ind w:firstLine="720"/>
        <w:jc w:val="both"/>
        <w:rPr>
          <w:rFonts w:ascii="Book Antiqua" w:hAnsi="Book Antiqua"/>
          <w:lang w:val="es-ES_tradnl"/>
        </w:rPr>
      </w:pPr>
      <w:r w:rsidRPr="00230146">
        <w:rPr>
          <w:rFonts w:ascii="Book Antiqua" w:hAnsi="Book Antiqua"/>
          <w:lang w:val="es-ES_tradnl"/>
        </w:rPr>
        <w:t>El proyecto contempla la construcción de un hotel con 68 habitaciones, 561 residencias de alto costo, un campo de golf de 18 hoyos, un mercado, un gimnasio, restaurantes y varias piscinas de gran tamaño, entre otros. Según la promoción de los desarrolladores, estas piscinas se diseñarían en cascada, simulando una laguna que desembocaría en la playa. Asimismo, se anuncia la inclusión de cabañas frente al mar.</w:t>
      </w:r>
    </w:p>
    <w:p w14:paraId="4456846E" w14:textId="77777777" w:rsidR="00230146" w:rsidRDefault="00230146" w:rsidP="007F2ED6">
      <w:pPr>
        <w:ind w:firstLine="720"/>
        <w:jc w:val="both"/>
        <w:rPr>
          <w:rFonts w:ascii="Book Antiqua" w:hAnsi="Book Antiqua"/>
          <w:lang w:val="es-ES_tradnl"/>
        </w:rPr>
      </w:pPr>
    </w:p>
    <w:p w14:paraId="6F37A3E0" w14:textId="306240A3" w:rsidR="00230146" w:rsidRPr="00230146" w:rsidRDefault="00230146" w:rsidP="007F2ED6">
      <w:pPr>
        <w:ind w:firstLine="720"/>
        <w:jc w:val="both"/>
        <w:rPr>
          <w:rFonts w:ascii="Book Antiqua" w:hAnsi="Book Antiqua"/>
          <w:lang w:val="es-ES_tradnl"/>
        </w:rPr>
      </w:pPr>
      <w:r w:rsidRPr="00230146">
        <w:rPr>
          <w:rFonts w:ascii="Book Antiqua" w:hAnsi="Book Antiqua"/>
          <w:lang w:val="es-ES_tradnl"/>
        </w:rPr>
        <w:t xml:space="preserve">Uno de los aspectos más preocupantes es que la Declaración de Impacto Ambiental (DIA) del proyecto fue aprobada por la Junta de Calidad Ambiental el 30 de </w:t>
      </w:r>
      <w:r w:rsidRPr="00230146">
        <w:rPr>
          <w:rFonts w:ascii="Book Antiqua" w:hAnsi="Book Antiqua"/>
          <w:lang w:val="es-ES_tradnl"/>
        </w:rPr>
        <w:lastRenderedPageBreak/>
        <w:t>julio de 1991, hace más de tres décadas. Posteriormente, en 1994, la Junta de Planificación autorizó la consulta inicial. A pesar del tiempo transcurrido, la Oficina de Gerencia de Permisos (</w:t>
      </w:r>
      <w:proofErr w:type="spellStart"/>
      <w:r w:rsidRPr="00230146">
        <w:rPr>
          <w:rFonts w:ascii="Book Antiqua" w:hAnsi="Book Antiqua"/>
          <w:lang w:val="es-ES_tradnl"/>
        </w:rPr>
        <w:t>OGPe</w:t>
      </w:r>
      <w:proofErr w:type="spellEnd"/>
      <w:r w:rsidRPr="00230146">
        <w:rPr>
          <w:rFonts w:ascii="Book Antiqua" w:hAnsi="Book Antiqua"/>
          <w:lang w:val="es-ES_tradnl"/>
        </w:rPr>
        <w:t>) reiteró la vigencia del cumplimiento ambiental el 13 de agosto de 2024, lo que genera dudas sobre la validez y pertinencia de los estudios ambientales realizados.</w:t>
      </w:r>
    </w:p>
    <w:p w14:paraId="554B72B1" w14:textId="77777777" w:rsidR="00230146" w:rsidRDefault="00230146" w:rsidP="007F2ED6">
      <w:pPr>
        <w:ind w:firstLine="720"/>
        <w:jc w:val="both"/>
        <w:rPr>
          <w:rFonts w:ascii="Book Antiqua" w:hAnsi="Book Antiqua"/>
          <w:lang w:val="es-ES_tradnl"/>
        </w:rPr>
      </w:pPr>
    </w:p>
    <w:p w14:paraId="4496C5E1" w14:textId="46235A49" w:rsidR="00230146" w:rsidRPr="00230146" w:rsidRDefault="00230146" w:rsidP="007F2ED6">
      <w:pPr>
        <w:ind w:firstLine="720"/>
        <w:jc w:val="both"/>
        <w:rPr>
          <w:rFonts w:ascii="Book Antiqua" w:hAnsi="Book Antiqua"/>
          <w:lang w:val="es-ES_tradnl"/>
        </w:rPr>
      </w:pPr>
      <w:r w:rsidRPr="00230146">
        <w:rPr>
          <w:rFonts w:ascii="Book Antiqua" w:hAnsi="Book Antiqua"/>
          <w:lang w:val="es-ES_tradnl"/>
        </w:rPr>
        <w:t>Además, han surgido inquietudes sobre el impacto del desarrollo en la zona marítimo-terrestre y en ecosistemas cercanos, como el Bosque Estatal de Ceiba, que colinda al norte del proyecto. Este bosque, designado como tal en 1979 por el Departamento de Recursos Naturales y Ambientales (DRNA), abarca 849 cuerdas de manglares y playas arenosas en distintos sectores de Fajardo, Ceiba y Naguabo. Su riqueza ecológica incluye ecosistemas submarinos, praderas de hierbas marinas y arrecifes de coral, cuya conservación es de suma importancia.</w:t>
      </w:r>
    </w:p>
    <w:p w14:paraId="202E1F3E" w14:textId="77777777" w:rsidR="00230146" w:rsidRDefault="00230146" w:rsidP="007F2ED6">
      <w:pPr>
        <w:ind w:firstLine="720"/>
        <w:jc w:val="both"/>
        <w:rPr>
          <w:rFonts w:ascii="Book Antiqua" w:hAnsi="Book Antiqua"/>
          <w:lang w:val="es-ES_tradnl"/>
        </w:rPr>
      </w:pPr>
    </w:p>
    <w:p w14:paraId="67322C2B" w14:textId="0C11C137" w:rsidR="00230146" w:rsidRPr="00230146" w:rsidRDefault="00230146" w:rsidP="007F2ED6">
      <w:pPr>
        <w:ind w:firstLine="720"/>
        <w:jc w:val="both"/>
        <w:rPr>
          <w:rFonts w:ascii="Book Antiqua" w:hAnsi="Book Antiqua"/>
          <w:lang w:val="es-ES_tradnl"/>
        </w:rPr>
      </w:pPr>
      <w:r w:rsidRPr="00230146">
        <w:rPr>
          <w:rFonts w:ascii="Book Antiqua" w:hAnsi="Book Antiqua"/>
          <w:lang w:val="es-ES_tradnl"/>
        </w:rPr>
        <w:t>Por otro lado, residentes de Fajardo han denunciado que versiones previas del proyecto ya provocaron la destrucción de parte de un bosque costero en el área y que, en su momento, la construcción fue paralizada por orden judicial debido a la falta de permisos. También preocupa el posible desplazamiento de comunidades locales ante la insistencia del gobierno en fomentar proyectos de lujo. Se ha informado que las viviendas del Moncayo Resort tendrían un costo estimado de $3 millones, lo que evidencia su exclusividad.</w:t>
      </w:r>
    </w:p>
    <w:p w14:paraId="38830171" w14:textId="77777777" w:rsidR="00230146" w:rsidRDefault="00230146" w:rsidP="007F2ED6">
      <w:pPr>
        <w:ind w:firstLine="720"/>
        <w:jc w:val="both"/>
        <w:rPr>
          <w:rFonts w:ascii="Book Antiqua" w:hAnsi="Book Antiqua"/>
          <w:lang w:val="es-ES_tradnl"/>
        </w:rPr>
      </w:pPr>
    </w:p>
    <w:p w14:paraId="0AD548E3" w14:textId="523AE57E" w:rsidR="00230146" w:rsidRPr="00230146" w:rsidRDefault="00230146" w:rsidP="007F2ED6">
      <w:pPr>
        <w:ind w:firstLine="720"/>
        <w:jc w:val="both"/>
        <w:rPr>
          <w:rFonts w:ascii="Book Antiqua" w:hAnsi="Book Antiqua"/>
          <w:lang w:val="es-ES_tradnl"/>
        </w:rPr>
      </w:pPr>
      <w:r w:rsidRPr="00230146">
        <w:rPr>
          <w:rFonts w:ascii="Book Antiqua" w:hAnsi="Book Antiqua"/>
          <w:lang w:val="es-ES_tradnl"/>
        </w:rPr>
        <w:t>Otro aspecto crítico es el impacto en los recursos hídricos de la región. Además de la cantidad de agua a utilizarse en las residencias, piscinas y el hotel, se sabe que los campos de golf requieren grandes volúmenes de agua para su mantenimiento. De igual forma, el uso de abonos, herbicidas e insecticidas podrían terminar en el mar arrastrados por las lluvias o lixiviados al nivel freático. Esto podría comprometer el acceso al agua potable de comunidades cercanas. Asimismo, el aumento del tráfico en las carreteras de acceso representa un desafío adicional que debe ser considerado.</w:t>
      </w:r>
    </w:p>
    <w:p w14:paraId="37EA3AC0" w14:textId="77777777" w:rsidR="00230146" w:rsidRDefault="00230146" w:rsidP="007F2ED6">
      <w:pPr>
        <w:ind w:firstLine="720"/>
        <w:jc w:val="both"/>
        <w:rPr>
          <w:rFonts w:ascii="Book Antiqua" w:hAnsi="Book Antiqua"/>
          <w:lang w:val="es-ES_tradnl"/>
        </w:rPr>
      </w:pPr>
    </w:p>
    <w:p w14:paraId="0D6C7C2D" w14:textId="26F38811" w:rsidR="007F03E4" w:rsidRPr="008629FB" w:rsidRDefault="00230146" w:rsidP="007F2ED6">
      <w:pPr>
        <w:ind w:firstLine="720"/>
        <w:jc w:val="both"/>
        <w:rPr>
          <w:rFonts w:ascii="Book Antiqua" w:hAnsi="Book Antiqua"/>
          <w:lang w:val="es-PR"/>
        </w:rPr>
      </w:pPr>
      <w:r w:rsidRPr="00230146">
        <w:rPr>
          <w:rFonts w:ascii="Book Antiqua" w:hAnsi="Book Antiqua"/>
          <w:lang w:val="es-ES_tradnl"/>
        </w:rPr>
        <w:t xml:space="preserve">Ante estas preocupaciones, es imperativo que </w:t>
      </w:r>
      <w:r>
        <w:rPr>
          <w:rFonts w:ascii="Book Antiqua" w:hAnsi="Book Antiqua"/>
          <w:lang w:val="es-ES_tradnl"/>
        </w:rPr>
        <w:t>la Cámara de Representantes</w:t>
      </w:r>
      <w:r w:rsidRPr="00230146">
        <w:rPr>
          <w:rFonts w:ascii="Book Antiqua" w:hAnsi="Book Antiqua"/>
          <w:lang w:val="es-ES_tradnl"/>
        </w:rPr>
        <w:t xml:space="preserve"> investigue a fondo el proceso de aprobación y desarrollo del Moncayo Resort en el Barrio Quebrada Vueltas, para garantizar que se cumplan todas las regulaciones ambientales y urbanísticas, y que se protejan los intereses de las comunidades afectadas.</w:t>
      </w:r>
      <w:r w:rsidR="007F03E4">
        <w:rPr>
          <w:rFonts w:ascii="Book Antiqua" w:hAnsi="Book Antiqua"/>
          <w:lang w:val="es-PR"/>
        </w:rPr>
        <w:t xml:space="preserve"> </w:t>
      </w:r>
    </w:p>
    <w:p w14:paraId="49F49AD7" w14:textId="77777777" w:rsidR="008629FB" w:rsidRPr="00ED1E2F" w:rsidRDefault="008629FB" w:rsidP="001E0D88">
      <w:pPr>
        <w:ind w:firstLine="360"/>
        <w:jc w:val="both"/>
        <w:rPr>
          <w:rFonts w:ascii="Book Antiqua" w:hAnsi="Book Antiqua"/>
          <w:lang w:val="es-ES_tradnl"/>
        </w:rPr>
      </w:pPr>
    </w:p>
    <w:p w14:paraId="6402879F" w14:textId="77777777" w:rsidR="007223FC" w:rsidRDefault="007223FC" w:rsidP="007F2ED6">
      <w:pPr>
        <w:rPr>
          <w:rFonts w:ascii="Book Antiqua" w:hAnsi="Book Antiqua"/>
          <w:i/>
          <w:lang w:val="es-ES_tradnl"/>
        </w:rPr>
      </w:pPr>
      <w:r>
        <w:rPr>
          <w:rFonts w:ascii="Book Antiqua" w:hAnsi="Book Antiqua"/>
          <w:i/>
          <w:lang w:val="es-ES_tradnl"/>
        </w:rPr>
        <w:t>RESUÉLVESE POR LA CÁMARA DE REPRESENTANTES DE PUERTO RICO:</w:t>
      </w:r>
    </w:p>
    <w:p w14:paraId="58E45EEA" w14:textId="77777777" w:rsidR="007223FC" w:rsidRDefault="007223FC" w:rsidP="007F2ED6">
      <w:pPr>
        <w:jc w:val="both"/>
        <w:rPr>
          <w:rFonts w:ascii="Book Antiqua" w:hAnsi="Book Antiqua"/>
          <w:lang w:val="es-ES_tradnl"/>
        </w:rPr>
      </w:pPr>
    </w:p>
    <w:p w14:paraId="5019BC59" w14:textId="77777777" w:rsidR="007F2ED6" w:rsidRDefault="007F2ED6" w:rsidP="007F2ED6">
      <w:pPr>
        <w:jc w:val="both"/>
        <w:rPr>
          <w:rFonts w:ascii="Book Antiqua" w:hAnsi="Book Antiqua"/>
          <w:lang w:val="es-ES_tradnl"/>
        </w:rPr>
        <w:sectPr w:rsidR="007F2ED6">
          <w:headerReference w:type="default" r:id="rId8"/>
          <w:type w:val="continuous"/>
          <w:pgSz w:w="12240" w:h="15840" w:code="1"/>
          <w:pgMar w:top="1440" w:right="1440" w:bottom="1440" w:left="1440" w:header="720" w:footer="720" w:gutter="0"/>
          <w:cols w:space="720"/>
          <w:titlePg/>
        </w:sectPr>
      </w:pPr>
    </w:p>
    <w:p w14:paraId="23A700AD" w14:textId="3CD1FEB4" w:rsidR="00230146" w:rsidRDefault="00230146" w:rsidP="007F2ED6">
      <w:pPr>
        <w:spacing w:line="480" w:lineRule="auto"/>
        <w:ind w:firstLine="720"/>
        <w:jc w:val="both"/>
        <w:rPr>
          <w:rFonts w:ascii="Book Antiqua" w:hAnsi="Book Antiqua"/>
          <w:lang w:val="es-ES_tradnl"/>
        </w:rPr>
      </w:pPr>
      <w:r w:rsidRPr="00DE46D0">
        <w:rPr>
          <w:rFonts w:ascii="Book Antiqua" w:hAnsi="Book Antiqua"/>
          <w:lang w:val="es-419"/>
        </w:rPr>
        <w:t>Sección 1.</w:t>
      </w:r>
      <w:r w:rsidR="007F2ED6">
        <w:rPr>
          <w:rFonts w:ascii="Book Antiqua" w:hAnsi="Book Antiqua"/>
          <w:lang w:val="es-419"/>
        </w:rPr>
        <w:t>-</w:t>
      </w:r>
      <w:r w:rsidRPr="00DE46D0">
        <w:rPr>
          <w:rFonts w:ascii="Book Antiqua" w:hAnsi="Book Antiqua"/>
          <w:lang w:val="es-419"/>
        </w:rPr>
        <w:t xml:space="preserve">Se </w:t>
      </w:r>
      <w:r w:rsidRPr="00DE46D0">
        <w:rPr>
          <w:rFonts w:ascii="Book Antiqua" w:hAnsi="Book Antiqua"/>
          <w:lang w:val="es-ES_tradnl"/>
        </w:rPr>
        <w:t xml:space="preserve">ordena a </w:t>
      </w:r>
      <w:r>
        <w:rPr>
          <w:rFonts w:ascii="Book Antiqua" w:hAnsi="Book Antiqua"/>
          <w:lang w:val="es-ES_tradnl"/>
        </w:rPr>
        <w:t xml:space="preserve">la Comisión de Recursos Naturales de la Cámara de Representantes </w:t>
      </w:r>
      <w:r w:rsidRPr="007D3737">
        <w:rPr>
          <w:rFonts w:ascii="Book Antiqua" w:hAnsi="Book Antiqua"/>
          <w:lang w:val="es-ES_tradnl"/>
        </w:rPr>
        <w:t>de Puerto Rico realizar una investigación</w:t>
      </w:r>
      <w:r>
        <w:rPr>
          <w:rFonts w:ascii="Book Antiqua" w:hAnsi="Book Antiqua"/>
          <w:lang w:val="es-ES_tradnl"/>
        </w:rPr>
        <w:t xml:space="preserve"> sobre la propuesta construcción de </w:t>
      </w:r>
      <w:r w:rsidRPr="00243544">
        <w:rPr>
          <w:rFonts w:ascii="Book Antiqua" w:hAnsi="Book Antiqua"/>
          <w:lang w:val="es-ES_tradnl"/>
        </w:rPr>
        <w:t xml:space="preserve">un complejo turístico y residencial de lujo, bajo el nombre de Moncayo Resort, en una </w:t>
      </w:r>
      <w:r w:rsidRPr="00243544">
        <w:rPr>
          <w:rFonts w:ascii="Book Antiqua" w:hAnsi="Book Antiqua"/>
          <w:lang w:val="es-ES_tradnl"/>
        </w:rPr>
        <w:lastRenderedPageBreak/>
        <w:t xml:space="preserve">parcela de 1,100 acres de costa boscosa en </w:t>
      </w:r>
      <w:r w:rsidRPr="008371B5">
        <w:rPr>
          <w:rFonts w:ascii="Book Antiqua" w:hAnsi="Book Antiqua"/>
          <w:lang w:val="es-ES_tradnl"/>
        </w:rPr>
        <w:t>la intersección de las carreteras PR-3, PR-53 y PR-194</w:t>
      </w:r>
      <w:r w:rsidRPr="00243544">
        <w:rPr>
          <w:rFonts w:ascii="Book Antiqua" w:hAnsi="Book Antiqua"/>
          <w:lang w:val="es-ES_tradnl"/>
        </w:rPr>
        <w:t>, en el Barrio Quebrada Vueltas en el Municipio de Fajardo</w:t>
      </w:r>
      <w:r w:rsidRPr="00883DEF">
        <w:rPr>
          <w:rFonts w:ascii="Book Antiqua" w:hAnsi="Book Antiqua"/>
          <w:lang w:val="es-ES_tradnl"/>
        </w:rPr>
        <w:t>.</w:t>
      </w:r>
    </w:p>
    <w:p w14:paraId="7DB8598B" w14:textId="1F051DCA" w:rsidR="00230146" w:rsidRPr="00DE46D0" w:rsidRDefault="00230146" w:rsidP="007F2ED6">
      <w:pPr>
        <w:spacing w:line="480" w:lineRule="auto"/>
        <w:ind w:firstLine="720"/>
        <w:jc w:val="both"/>
        <w:rPr>
          <w:rFonts w:ascii="Book Antiqua" w:hAnsi="Book Antiqua"/>
          <w:lang w:val="es-419"/>
        </w:rPr>
      </w:pPr>
      <w:r w:rsidRPr="00DE46D0">
        <w:rPr>
          <w:rFonts w:ascii="Book Antiqua" w:hAnsi="Book Antiqua"/>
          <w:lang w:val="es-419"/>
        </w:rPr>
        <w:t>Sección 2.</w:t>
      </w:r>
      <w:r w:rsidR="007F2ED6">
        <w:rPr>
          <w:rFonts w:ascii="Book Antiqua" w:hAnsi="Book Antiqua"/>
          <w:lang w:val="es-419"/>
        </w:rPr>
        <w:t>-</w:t>
      </w:r>
      <w:r w:rsidRPr="00DE46D0">
        <w:rPr>
          <w:rFonts w:ascii="Book Antiqua" w:hAnsi="Book Antiqua"/>
          <w:lang w:val="es-ES_tradnl"/>
        </w:rPr>
        <w:t>La Comisión rendirá un informe con sus hallazgos, conclusiones y recomendaciones dentro de un término de noventa (90) días contados a partir de la aprobación de esta Resolución</w:t>
      </w:r>
      <w:r>
        <w:rPr>
          <w:rFonts w:ascii="Book Antiqua" w:hAnsi="Book Antiqua"/>
          <w:lang w:val="es-ES_tradnl"/>
        </w:rPr>
        <w:t>.</w:t>
      </w:r>
    </w:p>
    <w:p w14:paraId="6A8E3044" w14:textId="5F272E8F" w:rsidR="00890C1A" w:rsidRPr="00ED1E2F" w:rsidRDefault="00230146" w:rsidP="007F2ED6">
      <w:pPr>
        <w:spacing w:line="480" w:lineRule="auto"/>
        <w:ind w:firstLine="720"/>
        <w:jc w:val="both"/>
        <w:rPr>
          <w:rFonts w:ascii="Book Antiqua" w:hAnsi="Book Antiqua"/>
          <w:lang w:val="es-ES_tradnl"/>
        </w:rPr>
      </w:pPr>
      <w:r w:rsidRPr="00DE46D0">
        <w:rPr>
          <w:rFonts w:ascii="Book Antiqua" w:hAnsi="Book Antiqua"/>
          <w:lang w:val="es-419"/>
        </w:rPr>
        <w:t xml:space="preserve">Sección </w:t>
      </w:r>
      <w:r>
        <w:rPr>
          <w:rFonts w:ascii="Book Antiqua" w:hAnsi="Book Antiqua"/>
          <w:lang w:val="es-419"/>
        </w:rPr>
        <w:t>3</w:t>
      </w:r>
      <w:r w:rsidRPr="00DE46D0">
        <w:rPr>
          <w:rFonts w:ascii="Book Antiqua" w:hAnsi="Book Antiqua"/>
          <w:lang w:val="es-419"/>
        </w:rPr>
        <w:t>.</w:t>
      </w:r>
      <w:r w:rsidR="007F2ED6">
        <w:rPr>
          <w:rFonts w:ascii="Book Antiqua" w:hAnsi="Book Antiqua"/>
          <w:lang w:val="es-419"/>
        </w:rPr>
        <w:t>-</w:t>
      </w:r>
      <w:r w:rsidRPr="00DE46D0">
        <w:rPr>
          <w:rFonts w:ascii="Book Antiqua" w:hAnsi="Book Antiqua"/>
          <w:lang w:val="es-419"/>
        </w:rPr>
        <w:t>Esta Resolución comenzará a regir inmediatamente después de su aprobación.</w:t>
      </w:r>
      <w:r w:rsidR="00890C1A" w:rsidRPr="00ED1E2F">
        <w:rPr>
          <w:rFonts w:ascii="Book Antiqua" w:hAnsi="Book Antiqua"/>
          <w:lang w:val="es-ES_tradnl"/>
        </w:rPr>
        <w:t xml:space="preserve">  </w:t>
      </w:r>
    </w:p>
    <w:sectPr w:rsidR="00890C1A" w:rsidRPr="00ED1E2F" w:rsidSect="007223FC">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5A528F" w14:textId="77777777" w:rsidR="00EE1241" w:rsidRDefault="00EE1241">
      <w:r>
        <w:separator/>
      </w:r>
    </w:p>
  </w:endnote>
  <w:endnote w:type="continuationSeparator" w:id="0">
    <w:p w14:paraId="14C24B5B" w14:textId="77777777" w:rsidR="00EE1241" w:rsidRDefault="00EE12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81A518" w14:textId="77777777" w:rsidR="00EE1241" w:rsidRDefault="00EE1241">
      <w:r>
        <w:separator/>
      </w:r>
    </w:p>
  </w:footnote>
  <w:footnote w:type="continuationSeparator" w:id="0">
    <w:p w14:paraId="7A7713A6" w14:textId="77777777" w:rsidR="00EE1241" w:rsidRDefault="00EE124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10F0CE" w14:textId="77777777" w:rsidR="00487E1F" w:rsidRDefault="00487E1F">
    <w:pPr>
      <w:pStyle w:val="Encabezado"/>
      <w:jc w:val="cente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2</w:t>
    </w:r>
    <w:r>
      <w:rPr>
        <w:rStyle w:val="Nmerodepgina"/>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D042994"/>
    <w:multiLevelType w:val="hybridMultilevel"/>
    <w:tmpl w:val="92AA0DFA"/>
    <w:lvl w:ilvl="0" w:tplc="9364E02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73893230"/>
    <w:multiLevelType w:val="hybridMultilevel"/>
    <w:tmpl w:val="8C3A274A"/>
    <w:lvl w:ilvl="0" w:tplc="D2FE161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229028248">
    <w:abstractNumId w:val="0"/>
  </w:num>
  <w:num w:numId="2" w16cid:durableId="26727788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7223FC"/>
    <w:rsid w:val="00020BBB"/>
    <w:rsid w:val="00030742"/>
    <w:rsid w:val="00056024"/>
    <w:rsid w:val="00095AE1"/>
    <w:rsid w:val="000A6B6C"/>
    <w:rsid w:val="000B0DBB"/>
    <w:rsid w:val="00111E71"/>
    <w:rsid w:val="00127C6A"/>
    <w:rsid w:val="001363FE"/>
    <w:rsid w:val="0014430B"/>
    <w:rsid w:val="00160CBC"/>
    <w:rsid w:val="0017132B"/>
    <w:rsid w:val="001A4F41"/>
    <w:rsid w:val="001E0D88"/>
    <w:rsid w:val="001F4CA3"/>
    <w:rsid w:val="001F612A"/>
    <w:rsid w:val="00203EFC"/>
    <w:rsid w:val="00211396"/>
    <w:rsid w:val="00226AE6"/>
    <w:rsid w:val="00230146"/>
    <w:rsid w:val="00245B34"/>
    <w:rsid w:val="00246130"/>
    <w:rsid w:val="002502B0"/>
    <w:rsid w:val="00263355"/>
    <w:rsid w:val="00273792"/>
    <w:rsid w:val="002B3DC5"/>
    <w:rsid w:val="002B7EDC"/>
    <w:rsid w:val="002C3354"/>
    <w:rsid w:val="002D4AC8"/>
    <w:rsid w:val="002E43CA"/>
    <w:rsid w:val="00305B2A"/>
    <w:rsid w:val="00320D78"/>
    <w:rsid w:val="003372CE"/>
    <w:rsid w:val="00380FE5"/>
    <w:rsid w:val="003924DD"/>
    <w:rsid w:val="00394FCB"/>
    <w:rsid w:val="003963F4"/>
    <w:rsid w:val="003B5254"/>
    <w:rsid w:val="003B580C"/>
    <w:rsid w:val="003B75A6"/>
    <w:rsid w:val="003F5AF9"/>
    <w:rsid w:val="004061CA"/>
    <w:rsid w:val="00415689"/>
    <w:rsid w:val="004220A9"/>
    <w:rsid w:val="004440CB"/>
    <w:rsid w:val="0044682A"/>
    <w:rsid w:val="00461578"/>
    <w:rsid w:val="004713D2"/>
    <w:rsid w:val="00473A4B"/>
    <w:rsid w:val="00487E1F"/>
    <w:rsid w:val="00495FE7"/>
    <w:rsid w:val="004B615E"/>
    <w:rsid w:val="004B660B"/>
    <w:rsid w:val="004D2710"/>
    <w:rsid w:val="004E1B57"/>
    <w:rsid w:val="00521639"/>
    <w:rsid w:val="0052618B"/>
    <w:rsid w:val="00532BB7"/>
    <w:rsid w:val="005332E4"/>
    <w:rsid w:val="0053550C"/>
    <w:rsid w:val="00555018"/>
    <w:rsid w:val="005723DC"/>
    <w:rsid w:val="005924B5"/>
    <w:rsid w:val="005B69F5"/>
    <w:rsid w:val="005F25DA"/>
    <w:rsid w:val="006210DC"/>
    <w:rsid w:val="00622CED"/>
    <w:rsid w:val="0064349D"/>
    <w:rsid w:val="00653EED"/>
    <w:rsid w:val="00656763"/>
    <w:rsid w:val="00685549"/>
    <w:rsid w:val="006874C9"/>
    <w:rsid w:val="006B7365"/>
    <w:rsid w:val="006C2D81"/>
    <w:rsid w:val="006C7DF8"/>
    <w:rsid w:val="006E5DD4"/>
    <w:rsid w:val="006F03E8"/>
    <w:rsid w:val="007172D9"/>
    <w:rsid w:val="007223FC"/>
    <w:rsid w:val="00740270"/>
    <w:rsid w:val="00750FC8"/>
    <w:rsid w:val="007533D0"/>
    <w:rsid w:val="00755069"/>
    <w:rsid w:val="00772CD5"/>
    <w:rsid w:val="00781769"/>
    <w:rsid w:val="00784ADA"/>
    <w:rsid w:val="007915D3"/>
    <w:rsid w:val="00791800"/>
    <w:rsid w:val="007A7BE5"/>
    <w:rsid w:val="007B0660"/>
    <w:rsid w:val="007D449C"/>
    <w:rsid w:val="007E3868"/>
    <w:rsid w:val="007F03E4"/>
    <w:rsid w:val="007F13E3"/>
    <w:rsid w:val="007F2ED6"/>
    <w:rsid w:val="00811111"/>
    <w:rsid w:val="00814010"/>
    <w:rsid w:val="00820C41"/>
    <w:rsid w:val="00850256"/>
    <w:rsid w:val="008629FB"/>
    <w:rsid w:val="00890C1A"/>
    <w:rsid w:val="008B578C"/>
    <w:rsid w:val="008E656A"/>
    <w:rsid w:val="008F0224"/>
    <w:rsid w:val="008F6077"/>
    <w:rsid w:val="009259F2"/>
    <w:rsid w:val="0093686F"/>
    <w:rsid w:val="009410C6"/>
    <w:rsid w:val="00942FD4"/>
    <w:rsid w:val="00951997"/>
    <w:rsid w:val="00990352"/>
    <w:rsid w:val="0099602F"/>
    <w:rsid w:val="009A4161"/>
    <w:rsid w:val="009C13F0"/>
    <w:rsid w:val="009F211B"/>
    <w:rsid w:val="00A03405"/>
    <w:rsid w:val="00A13FF1"/>
    <w:rsid w:val="00A1528A"/>
    <w:rsid w:val="00A33918"/>
    <w:rsid w:val="00A60C09"/>
    <w:rsid w:val="00A7629F"/>
    <w:rsid w:val="00AB78E2"/>
    <w:rsid w:val="00AC1D44"/>
    <w:rsid w:val="00AC2EC5"/>
    <w:rsid w:val="00AD086A"/>
    <w:rsid w:val="00AF0CEE"/>
    <w:rsid w:val="00B14053"/>
    <w:rsid w:val="00B45DFB"/>
    <w:rsid w:val="00B51752"/>
    <w:rsid w:val="00B667AD"/>
    <w:rsid w:val="00B84C38"/>
    <w:rsid w:val="00B86C00"/>
    <w:rsid w:val="00B91966"/>
    <w:rsid w:val="00B947F6"/>
    <w:rsid w:val="00BE2564"/>
    <w:rsid w:val="00BF16AA"/>
    <w:rsid w:val="00C05908"/>
    <w:rsid w:val="00C216A3"/>
    <w:rsid w:val="00C32139"/>
    <w:rsid w:val="00C354B8"/>
    <w:rsid w:val="00C52517"/>
    <w:rsid w:val="00C60921"/>
    <w:rsid w:val="00C62936"/>
    <w:rsid w:val="00C653F2"/>
    <w:rsid w:val="00C679E6"/>
    <w:rsid w:val="00C9029A"/>
    <w:rsid w:val="00C908F9"/>
    <w:rsid w:val="00CA0917"/>
    <w:rsid w:val="00CA1099"/>
    <w:rsid w:val="00D25F4E"/>
    <w:rsid w:val="00D417C2"/>
    <w:rsid w:val="00D51E64"/>
    <w:rsid w:val="00D60936"/>
    <w:rsid w:val="00D63B14"/>
    <w:rsid w:val="00D709EB"/>
    <w:rsid w:val="00D74714"/>
    <w:rsid w:val="00D76B6A"/>
    <w:rsid w:val="00D82F3F"/>
    <w:rsid w:val="00D921C6"/>
    <w:rsid w:val="00D958C2"/>
    <w:rsid w:val="00DE08B4"/>
    <w:rsid w:val="00E03207"/>
    <w:rsid w:val="00E04AB5"/>
    <w:rsid w:val="00E36C92"/>
    <w:rsid w:val="00E50EEA"/>
    <w:rsid w:val="00E52F58"/>
    <w:rsid w:val="00E67104"/>
    <w:rsid w:val="00E74C1C"/>
    <w:rsid w:val="00EB6B8A"/>
    <w:rsid w:val="00EC26AA"/>
    <w:rsid w:val="00ED1E2F"/>
    <w:rsid w:val="00ED34B4"/>
    <w:rsid w:val="00ED7A53"/>
    <w:rsid w:val="00EE1241"/>
    <w:rsid w:val="00EE4273"/>
    <w:rsid w:val="00EE69A1"/>
    <w:rsid w:val="00F02004"/>
    <w:rsid w:val="00F042CB"/>
    <w:rsid w:val="00F14DC1"/>
    <w:rsid w:val="00F17F4E"/>
    <w:rsid w:val="00F60A20"/>
    <w:rsid w:val="00FA00FA"/>
    <w:rsid w:val="00FC0A95"/>
    <w:rsid w:val="00FC3D9C"/>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90A143F"/>
  <w15:chartTrackingRefBased/>
  <w15:docId w15:val="{EB64A23C-E6CD-4FA4-95F6-C0BDE64479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Ttulo1">
    <w:name w:val="heading 1"/>
    <w:basedOn w:val="Normal"/>
    <w:next w:val="Normal"/>
    <w:qFormat/>
    <w:pPr>
      <w:keepNext/>
      <w:spacing w:before="240" w:after="60"/>
      <w:outlineLvl w:val="0"/>
    </w:pPr>
    <w:rPr>
      <w:rFonts w:ascii="Arial" w:hAnsi="Arial"/>
      <w:b/>
      <w:kern w:val="28"/>
      <w:sz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lnea">
    <w:name w:val="line number"/>
    <w:basedOn w:val="Fuentedeprrafopredeter"/>
  </w:style>
  <w:style w:type="paragraph" w:customStyle="1" w:styleId="Title2">
    <w:name w:val="Title2"/>
    <w:basedOn w:val="Normal"/>
    <w:next w:val="Normal"/>
    <w:pPr>
      <w:tabs>
        <w:tab w:val="left" w:pos="648"/>
        <w:tab w:val="right" w:pos="7776"/>
        <w:tab w:val="left" w:pos="7848"/>
      </w:tabs>
    </w:pPr>
  </w:style>
  <w:style w:type="paragraph" w:styleId="Encabezado">
    <w:name w:val="header"/>
    <w:basedOn w:val="Normal"/>
    <w:pPr>
      <w:tabs>
        <w:tab w:val="center" w:pos="4320"/>
        <w:tab w:val="right" w:pos="8640"/>
      </w:tabs>
    </w:pPr>
  </w:style>
  <w:style w:type="paragraph" w:styleId="Piedepgina">
    <w:name w:val="footer"/>
    <w:basedOn w:val="Normal"/>
    <w:pPr>
      <w:tabs>
        <w:tab w:val="center" w:pos="4320"/>
        <w:tab w:val="right" w:pos="8640"/>
      </w:tabs>
    </w:pPr>
  </w:style>
  <w:style w:type="character" w:styleId="Nmerodepgina">
    <w:name w:val="page number"/>
    <w:basedOn w:val="Fuentedeprrafopredeter"/>
  </w:style>
  <w:style w:type="paragraph" w:styleId="Prrafodelista">
    <w:name w:val="List Paragraph"/>
    <w:basedOn w:val="Normal"/>
    <w:uiPriority w:val="34"/>
    <w:qFormat/>
    <w:rsid w:val="00890C1A"/>
    <w:pPr>
      <w:ind w:left="720"/>
      <w:contextualSpacing/>
    </w:pPr>
  </w:style>
  <w:style w:type="paragraph" w:customStyle="1" w:styleId="Firmas">
    <w:name w:val="Firmas"/>
    <w:basedOn w:val="Normal"/>
    <w:pPr>
      <w:tabs>
        <w:tab w:val="center" w:pos="1440"/>
        <w:tab w:val="center" w:pos="7200"/>
      </w:tabs>
    </w:pPr>
    <w:rPr>
      <w:lang w:val="es-ES_tradnl"/>
    </w:rPr>
  </w:style>
  <w:style w:type="paragraph" w:styleId="Textodeglobo">
    <w:name w:val="Balloon Text"/>
    <w:basedOn w:val="Normal"/>
    <w:link w:val="TextodegloboCar"/>
    <w:uiPriority w:val="99"/>
    <w:semiHidden/>
    <w:unhideWhenUsed/>
    <w:rsid w:val="00E03207"/>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03207"/>
    <w:rPr>
      <w:rFonts w:ascii="Segoe UI" w:hAnsi="Segoe UI" w:cs="Segoe UI"/>
      <w:sz w:val="18"/>
      <w:szCs w:val="18"/>
    </w:rPr>
  </w:style>
  <w:style w:type="character" w:styleId="Hipervnculo">
    <w:name w:val="Hyperlink"/>
    <w:uiPriority w:val="99"/>
    <w:unhideWhenUsed/>
    <w:rsid w:val="004D2710"/>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0835093">
      <w:bodyDiv w:val="1"/>
      <w:marLeft w:val="0"/>
      <w:marRight w:val="0"/>
      <w:marTop w:val="0"/>
      <w:marBottom w:val="0"/>
      <w:divBdr>
        <w:top w:val="none" w:sz="0" w:space="0" w:color="auto"/>
        <w:left w:val="none" w:sz="0" w:space="0" w:color="auto"/>
        <w:bottom w:val="none" w:sz="0" w:space="0" w:color="auto"/>
        <w:right w:val="none" w:sz="0" w:space="0" w:color="auto"/>
      </w:divBdr>
    </w:div>
    <w:div w:id="468786009">
      <w:bodyDiv w:val="1"/>
      <w:marLeft w:val="0"/>
      <w:marRight w:val="0"/>
      <w:marTop w:val="0"/>
      <w:marBottom w:val="0"/>
      <w:divBdr>
        <w:top w:val="none" w:sz="0" w:space="0" w:color="auto"/>
        <w:left w:val="none" w:sz="0" w:space="0" w:color="auto"/>
        <w:bottom w:val="none" w:sz="0" w:space="0" w:color="auto"/>
        <w:right w:val="none" w:sz="0" w:space="0" w:color="auto"/>
      </w:divBdr>
    </w:div>
    <w:div w:id="661813867">
      <w:bodyDiv w:val="1"/>
      <w:marLeft w:val="0"/>
      <w:marRight w:val="0"/>
      <w:marTop w:val="0"/>
      <w:marBottom w:val="0"/>
      <w:divBdr>
        <w:top w:val="none" w:sz="0" w:space="0" w:color="auto"/>
        <w:left w:val="none" w:sz="0" w:space="0" w:color="auto"/>
        <w:bottom w:val="none" w:sz="0" w:space="0" w:color="auto"/>
        <w:right w:val="none" w:sz="0" w:space="0" w:color="auto"/>
      </w:divBdr>
    </w:div>
    <w:div w:id="2037655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751</Words>
  <Characters>4030</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4772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Adriana Gutiérrez Colón</dc:creator>
  <cp:keywords/>
  <cp:lastModifiedBy>Rocío Alayón Morell</cp:lastModifiedBy>
  <cp:revision>3</cp:revision>
  <cp:lastPrinted>2025-03-31T18:42:00Z</cp:lastPrinted>
  <dcterms:created xsi:type="dcterms:W3CDTF">2025-03-31T17:37:00Z</dcterms:created>
  <dcterms:modified xsi:type="dcterms:W3CDTF">2025-03-31T18:42:00Z</dcterms:modified>
</cp:coreProperties>
</file>