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25FB00CF" w:rsidR="00EE1E93" w:rsidRPr="00700566" w:rsidRDefault="002B4336"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 xml:space="preserve">de la C. </w:t>
      </w:r>
      <w:r>
        <w:rPr>
          <w:rFonts w:ascii="Book Antiqua" w:eastAsia="Book Antiqua" w:hAnsi="Book Antiqua" w:cs="Book Antiqua"/>
          <w:b/>
          <w:sz w:val="52"/>
          <w:szCs w:val="52"/>
        </w:rPr>
        <w:t>96</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56418228" w:rsidR="00EE1E93" w:rsidRPr="00700566" w:rsidRDefault="00BD08F2" w:rsidP="00EE1E93">
      <w:pPr>
        <w:spacing w:line="360" w:lineRule="auto"/>
        <w:jc w:val="center"/>
        <w:rPr>
          <w:rFonts w:ascii="Book Antiqua" w:eastAsia="Book Antiqua" w:hAnsi="Book Antiqua" w:cs="Book Antiqua"/>
          <w:b/>
        </w:rPr>
      </w:pPr>
      <w:r>
        <w:rPr>
          <w:rFonts w:ascii="Book Antiqua" w:eastAsia="Book Antiqua" w:hAnsi="Book Antiqua" w:cs="Book Antiqua"/>
        </w:rPr>
        <w:t>30</w:t>
      </w:r>
      <w:r w:rsidR="00EE1E93" w:rsidRPr="00700566">
        <w:rPr>
          <w:rFonts w:ascii="Book Antiqua" w:eastAsia="Book Antiqua" w:hAnsi="Book Antiqua" w:cs="Book Antiqua"/>
        </w:rPr>
        <w:t xml:space="preserve"> de </w:t>
      </w:r>
      <w:r w:rsidR="00326EAF">
        <w:rPr>
          <w:rFonts w:ascii="Book Antiqua" w:eastAsia="Book Antiqua" w:hAnsi="Book Antiqua" w:cs="Book Antiqua"/>
        </w:rPr>
        <w:t>enero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161CEE5E"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2B4336">
        <w:rPr>
          <w:rFonts w:ascii="Book Antiqua" w:eastAsia="Book Antiqua" w:hAnsi="Book Antiqua" w:cs="Book Antiqua"/>
        </w:rPr>
        <w:t>R</w:t>
      </w:r>
      <w:r w:rsidRPr="00700566">
        <w:rPr>
          <w:rFonts w:ascii="Book Antiqua" w:eastAsia="Book Antiqua" w:hAnsi="Book Antiqua" w:cs="Book Antiqua"/>
        </w:rPr>
        <w:t xml:space="preserve">. </w:t>
      </w:r>
      <w:r w:rsidR="002B4336">
        <w:rPr>
          <w:rFonts w:ascii="Book Antiqua" w:eastAsia="Book Antiqua" w:hAnsi="Book Antiqua" w:cs="Book Antiqua"/>
        </w:rPr>
        <w:t xml:space="preserve">C. </w:t>
      </w:r>
      <w:r w:rsidRPr="00700566">
        <w:rPr>
          <w:rFonts w:ascii="Book Antiqua" w:eastAsia="Book Antiqua" w:hAnsi="Book Antiqua" w:cs="Book Antiqua"/>
        </w:rPr>
        <w:t xml:space="preserve">de la C. </w:t>
      </w:r>
      <w:r>
        <w:rPr>
          <w:rFonts w:ascii="Book Antiqua" w:eastAsia="Book Antiqua" w:hAnsi="Book Antiqua" w:cs="Book Antiqua"/>
        </w:rPr>
        <w:t xml:space="preserve">Núm. </w:t>
      </w:r>
      <w:r w:rsidR="002B4336">
        <w:rPr>
          <w:rFonts w:ascii="Book Antiqua" w:eastAsia="Book Antiqua" w:hAnsi="Book Antiqua" w:cs="Book Antiqua"/>
        </w:rPr>
        <w:t>96</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6AD3506D" w14:textId="1F95CDE4" w:rsidR="00B23695" w:rsidRPr="00B23695" w:rsidRDefault="00B23695" w:rsidP="00B23695">
      <w:pPr>
        <w:ind w:firstLine="720"/>
        <w:jc w:val="both"/>
        <w:rPr>
          <w:rFonts w:ascii="Book Antiqua" w:eastAsia="Book Antiqua" w:hAnsi="Book Antiqua" w:cs="Book Antiqua"/>
          <w:bCs/>
          <w:lang w:val="es-PR"/>
        </w:rPr>
      </w:pPr>
      <w:r w:rsidRPr="00B23695">
        <w:rPr>
          <w:rFonts w:ascii="Book Antiqua" w:eastAsia="Book Antiqua" w:hAnsi="Book Antiqua" w:cs="Book Antiqua"/>
          <w:bCs/>
          <w:lang w:val="es-PR"/>
        </w:rPr>
        <w:t>La Resolución Conjunta de la Cámara</w:t>
      </w:r>
      <w:r>
        <w:rPr>
          <w:rFonts w:ascii="Book Antiqua" w:eastAsia="Book Antiqua" w:hAnsi="Book Antiqua" w:cs="Book Antiqua"/>
          <w:bCs/>
          <w:lang w:val="es-PR"/>
        </w:rPr>
        <w:t xml:space="preserve"> Núm.</w:t>
      </w:r>
      <w:r w:rsidRPr="00B23695">
        <w:rPr>
          <w:rFonts w:ascii="Book Antiqua" w:eastAsia="Book Antiqua" w:hAnsi="Book Antiqua" w:cs="Book Antiqua"/>
          <w:bCs/>
          <w:lang w:val="es-PR"/>
        </w:rPr>
        <w:t xml:space="preserve"> 96 ordena al Departamento de Transportación y Obras Públicas (DTOP) y a la Autoridad de Carreteras y Transportación (ACT) a realizar un estudio sobre la necesidad y viabilidad de llevar a cabo un ensanchamiento de carretera en el tramo comprendido entre el kilómetro 7.6 al kilómetro 7.8 de la Carretera PR-670, en su intersección con la PR-137, dentro del término jurisdiccional del municipio de Vega Baja.</w:t>
      </w:r>
    </w:p>
    <w:p w14:paraId="47C16580" w14:textId="021157A3" w:rsidR="00B23695" w:rsidRPr="00B23695" w:rsidRDefault="00B23695" w:rsidP="00B23695">
      <w:pPr>
        <w:jc w:val="both"/>
        <w:rPr>
          <w:rFonts w:ascii="Book Antiqua" w:eastAsia="Book Antiqua" w:hAnsi="Book Antiqua" w:cs="Book Antiqua"/>
          <w:bCs/>
          <w:lang w:val="es-PR"/>
        </w:rPr>
      </w:pPr>
    </w:p>
    <w:p w14:paraId="615FBBBC" w14:textId="77777777" w:rsidR="00B23695" w:rsidRPr="00B23695" w:rsidRDefault="00B23695" w:rsidP="00B23695">
      <w:pPr>
        <w:ind w:firstLine="720"/>
        <w:jc w:val="both"/>
        <w:rPr>
          <w:rFonts w:ascii="Book Antiqua" w:eastAsia="Book Antiqua" w:hAnsi="Book Antiqua" w:cs="Book Antiqua"/>
          <w:bCs/>
          <w:lang w:val="es-PR"/>
        </w:rPr>
      </w:pPr>
      <w:r w:rsidRPr="00B23695">
        <w:rPr>
          <w:rFonts w:ascii="Book Antiqua" w:eastAsia="Book Antiqua" w:hAnsi="Book Antiqua" w:cs="Book Antiqua"/>
          <w:bCs/>
          <w:lang w:val="es-PR"/>
        </w:rPr>
        <w:t>Según se desprende de la Exposición de Motivos, la medida surge ante la falta de un sistema de transporte colectivo accesible que conecte de manera eficiente a los municipios del País, lo que ha provocado una alta dependencia del vehículo privado y, como consecuencia, un aumento significativo en la congestión vehicular en múltiples vías primarias y secundarias.</w:t>
      </w:r>
    </w:p>
    <w:p w14:paraId="30B20C24" w14:textId="3F08A991" w:rsidR="00B23695" w:rsidRPr="00B23695" w:rsidRDefault="00B23695" w:rsidP="00B23695">
      <w:pPr>
        <w:jc w:val="both"/>
        <w:rPr>
          <w:rFonts w:ascii="Book Antiqua" w:eastAsia="Book Antiqua" w:hAnsi="Book Antiqua" w:cs="Book Antiqua"/>
          <w:bCs/>
          <w:lang w:val="es-PR"/>
        </w:rPr>
      </w:pPr>
    </w:p>
    <w:p w14:paraId="398889AF" w14:textId="77777777" w:rsidR="00B23695" w:rsidRPr="00B23695" w:rsidRDefault="00B23695" w:rsidP="00B23695">
      <w:pPr>
        <w:ind w:firstLine="720"/>
        <w:jc w:val="both"/>
        <w:rPr>
          <w:rFonts w:ascii="Book Antiqua" w:eastAsia="Book Antiqua" w:hAnsi="Book Antiqua" w:cs="Book Antiqua"/>
          <w:bCs/>
          <w:lang w:val="es-PR"/>
        </w:rPr>
      </w:pPr>
      <w:r w:rsidRPr="00B23695">
        <w:rPr>
          <w:rFonts w:ascii="Book Antiqua" w:eastAsia="Book Antiqua" w:hAnsi="Book Antiqua" w:cs="Book Antiqua"/>
          <w:bCs/>
          <w:lang w:val="es-PR"/>
        </w:rPr>
        <w:t>La Resolución reconoce la necesidad de promover un tránsito vehicular seguro y ordenado, particularmente en áreas donde el crecimiento poblacional y el desarrollo urbano no fueron originalmente proyectados, lo cual ha generado condiciones de tráfico que afectan la calidad de vida de los ciudadanos y el flujo eficiente del tránsito.</w:t>
      </w:r>
    </w:p>
    <w:p w14:paraId="7782EEA4" w14:textId="77777777" w:rsidR="00EE1E93" w:rsidRPr="00B23695" w:rsidRDefault="00EE1E93" w:rsidP="00EE1E93">
      <w:pPr>
        <w:rPr>
          <w:rFonts w:ascii="Book Antiqua" w:eastAsia="Book Antiqua" w:hAnsi="Book Antiqua" w:cs="Book Antiqua"/>
          <w:b/>
          <w:lang w:val="es-PR"/>
        </w:rPr>
      </w:pPr>
    </w:p>
    <w:p w14:paraId="750A0D00"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lastRenderedPageBreak/>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368D810F"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La Comisión de Transportación e Infraestructura para la debida consideración y estudio de</w:t>
      </w:r>
      <w:r w:rsidR="00171293">
        <w:rPr>
          <w:rFonts w:ascii="Book Antiqua" w:eastAsia="Book Antiqua" w:hAnsi="Book Antiqua" w:cs="Book Antiqua"/>
        </w:rPr>
        <w:t xml:space="preserve"> la Resolución Conjunta</w:t>
      </w:r>
      <w:r w:rsidRPr="001E16CE">
        <w:rPr>
          <w:rFonts w:ascii="Book Antiqua" w:eastAsia="Book Antiqua" w:hAnsi="Book Antiqua" w:cs="Book Antiqua"/>
        </w:rPr>
        <w:t xml:space="preserve"> de la Cámara Núm. </w:t>
      </w:r>
      <w:r w:rsidR="00171293">
        <w:rPr>
          <w:rFonts w:ascii="Book Antiqua" w:eastAsia="Book Antiqua" w:hAnsi="Book Antiqua" w:cs="Book Antiqua"/>
        </w:rPr>
        <w:t>96</w:t>
      </w:r>
      <w:r w:rsidRPr="001E16CE">
        <w:rPr>
          <w:rFonts w:ascii="Book Antiqua" w:eastAsia="Book Antiqua" w:hAnsi="Book Antiqua" w:cs="Book Antiqua"/>
        </w:rPr>
        <w:t xml:space="preserve">, </w:t>
      </w:r>
      <w:r w:rsidR="00F85924">
        <w:rPr>
          <w:rFonts w:ascii="Book Antiqua" w:eastAsia="Book Antiqua" w:hAnsi="Book Antiqua" w:cs="Book Antiqua"/>
        </w:rPr>
        <w:t xml:space="preserve">se </w:t>
      </w:r>
      <w:r w:rsidRPr="001E16CE">
        <w:rPr>
          <w:rFonts w:ascii="Book Antiqua" w:eastAsia="Book Antiqua" w:hAnsi="Book Antiqua" w:cs="Book Antiqua"/>
        </w:rPr>
        <w:t>solicitó memorial explicativo</w:t>
      </w:r>
      <w:r>
        <w:rPr>
          <w:rFonts w:ascii="Book Antiqua" w:eastAsia="Book Antiqua" w:hAnsi="Book Antiqua" w:cs="Book Antiqua"/>
        </w:rPr>
        <w:t xml:space="preserve"> </w:t>
      </w:r>
      <w:r w:rsidR="00742E97">
        <w:rPr>
          <w:rFonts w:ascii="Book Antiqua" w:eastAsia="Book Antiqua" w:hAnsi="Book Antiqua" w:cs="Book Antiqua"/>
        </w:rPr>
        <w:t>a</w:t>
      </w:r>
      <w:r w:rsidR="00171293">
        <w:rPr>
          <w:rFonts w:ascii="Book Antiqua" w:eastAsia="Book Antiqua" w:hAnsi="Book Antiqua" w:cs="Book Antiqua"/>
        </w:rPr>
        <w:t>l Departamento de Transportación y Obras Públicas (DTOP)</w:t>
      </w:r>
      <w:r w:rsidRPr="001E16CE">
        <w:rPr>
          <w:rFonts w:ascii="Book Antiqua" w:eastAsia="Book Antiqua" w:hAnsi="Book Antiqua" w:cs="Book Antiqua"/>
        </w:rPr>
        <w:t>.</w:t>
      </w:r>
      <w:r>
        <w:rPr>
          <w:rFonts w:ascii="Book Antiqua" w:eastAsia="Book Antiqua" w:hAnsi="Book Antiqua" w:cs="Book Antiqua"/>
        </w:rPr>
        <w:t xml:space="preserve"> </w:t>
      </w:r>
    </w:p>
    <w:p w14:paraId="513CD8E0" w14:textId="77777777" w:rsidR="00EE1E93" w:rsidRDefault="00EE1E93" w:rsidP="00EE1E93">
      <w:pPr>
        <w:ind w:firstLine="720"/>
        <w:jc w:val="both"/>
        <w:rPr>
          <w:rFonts w:ascii="Book Antiqua" w:eastAsia="Book Antiqua" w:hAnsi="Book Antiqua" w:cs="Book Antiqua"/>
        </w:rPr>
      </w:pPr>
    </w:p>
    <w:p w14:paraId="2658FA25" w14:textId="77777777" w:rsidR="00EE1E93" w:rsidRDefault="00EE1E93" w:rsidP="00EE1E93">
      <w:pPr>
        <w:jc w:val="both"/>
        <w:rPr>
          <w:rFonts w:ascii="Book Antiqua" w:eastAsia="Book Antiqua" w:hAnsi="Book Antiqua" w:cs="Book Antiqua"/>
        </w:rPr>
      </w:pPr>
    </w:p>
    <w:p w14:paraId="3E811F14" w14:textId="2620B663" w:rsidR="00EE1E93" w:rsidRPr="001E16CE" w:rsidRDefault="00866D80" w:rsidP="004B370E">
      <w:pPr>
        <w:jc w:val="center"/>
        <w:rPr>
          <w:rFonts w:ascii="Book Antiqua" w:eastAsia="Book Antiqua" w:hAnsi="Book Antiqua" w:cs="Book Antiqua"/>
        </w:rPr>
      </w:pPr>
      <w:r>
        <w:rPr>
          <w:rFonts w:ascii="Book Antiqua" w:eastAsia="Book Antiqua" w:hAnsi="Book Antiqua" w:cs="Book Antiqua"/>
          <w:b/>
          <w:bCs/>
          <w:u w:val="single"/>
        </w:rPr>
        <w:t xml:space="preserve">Departamento </w:t>
      </w:r>
      <w:r w:rsidR="00171293">
        <w:rPr>
          <w:rFonts w:ascii="Book Antiqua" w:eastAsia="Book Antiqua" w:hAnsi="Book Antiqua" w:cs="Book Antiqua"/>
          <w:b/>
          <w:bCs/>
          <w:u w:val="single"/>
        </w:rPr>
        <w:t>de Transportación y Obras Públicas (DTOP)</w:t>
      </w:r>
    </w:p>
    <w:p w14:paraId="7A922099" w14:textId="77777777" w:rsidR="00EE1E93" w:rsidRDefault="00EE1E93" w:rsidP="00EE1E93">
      <w:pPr>
        <w:ind w:firstLine="720"/>
        <w:jc w:val="both"/>
        <w:rPr>
          <w:rFonts w:ascii="Book Antiqua" w:eastAsia="Book Antiqua" w:hAnsi="Book Antiqua" w:cs="Book Antiqua"/>
        </w:rPr>
      </w:pPr>
    </w:p>
    <w:p w14:paraId="2B01F816" w14:textId="77777777" w:rsidR="00171293" w:rsidRPr="000D1E9A" w:rsidRDefault="00171293" w:rsidP="00171293">
      <w:pPr>
        <w:ind w:firstLine="720"/>
        <w:jc w:val="both"/>
        <w:rPr>
          <w:rFonts w:ascii="Book Antiqua" w:eastAsia="Helvetica Neue" w:hAnsi="Book Antiqua" w:cs="Helvetica Neue"/>
        </w:rPr>
      </w:pPr>
      <w:r w:rsidRPr="000D1E9A">
        <w:rPr>
          <w:rFonts w:ascii="Book Antiqua" w:eastAsia="Helvetica Neue" w:hAnsi="Book Antiqua" w:cs="Helvetica Neue"/>
        </w:rPr>
        <w:t>En su memorial explicativo, el DTOP y la ACT expresaron que no tienen reparos con lo ordenado en la Resolución Conjunta, reconociendo que el objetivo principal de la medida es evaluar la viabilidad de un ensanchamiento de la Carretera PR-670 con el fin de mejorar el tránsito vehicular en dicha zona.</w:t>
      </w:r>
    </w:p>
    <w:p w14:paraId="05973C09" w14:textId="77777777" w:rsidR="00171293" w:rsidRPr="000D1E9A" w:rsidRDefault="00171293" w:rsidP="00171293">
      <w:pPr>
        <w:ind w:firstLine="720"/>
        <w:jc w:val="both"/>
        <w:rPr>
          <w:rFonts w:ascii="Book Antiqua" w:eastAsia="Helvetica Neue" w:hAnsi="Book Antiqua" w:cs="Helvetica Neue"/>
        </w:rPr>
      </w:pPr>
    </w:p>
    <w:p w14:paraId="15E6E928" w14:textId="2B0C424B" w:rsidR="00171293" w:rsidRPr="000D1E9A" w:rsidRDefault="00171293" w:rsidP="00171293">
      <w:pPr>
        <w:ind w:firstLine="720"/>
        <w:jc w:val="both"/>
        <w:rPr>
          <w:rFonts w:ascii="Book Antiqua" w:eastAsia="Helvetica Neue" w:hAnsi="Book Antiqua" w:cs="Helvetica Neue"/>
        </w:rPr>
      </w:pPr>
      <w:r w:rsidRPr="000D1E9A">
        <w:rPr>
          <w:rFonts w:ascii="Book Antiqua" w:eastAsia="Helvetica Neue" w:hAnsi="Book Antiqua" w:cs="Helvetica Neue"/>
        </w:rPr>
        <w:t xml:space="preserve">Las agencias señalaron que, de aprobarse la medida, será necesario que se asignen los fondos estatales correspondientes para la realización del estudio y para cualquier proyecto que eventualmente sea recomendado como resultado del mismo. </w:t>
      </w:r>
    </w:p>
    <w:p w14:paraId="1FD70E3F" w14:textId="77777777" w:rsidR="00891F6B" w:rsidRPr="00891F6B" w:rsidRDefault="00891F6B" w:rsidP="000D1E9A">
      <w:pPr>
        <w:jc w:val="both"/>
        <w:rPr>
          <w:rFonts w:ascii="Book Antiqua" w:eastAsia="Helvetica Neue" w:hAnsi="Book Antiqua" w:cs="Helvetica Neue"/>
          <w:color w:val="313131"/>
          <w:lang w:val="es-PR"/>
        </w:rPr>
      </w:pPr>
    </w:p>
    <w:p w14:paraId="22D3F2CE" w14:textId="77777777" w:rsidR="00B728D7" w:rsidRDefault="00B728D7" w:rsidP="003025EC">
      <w:pPr>
        <w:jc w:val="cente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t>IMPACTO FISCAL</w:t>
      </w:r>
    </w:p>
    <w:p w14:paraId="0791DDD3" w14:textId="77777777" w:rsidR="00EE1E93" w:rsidRPr="000D1E9A" w:rsidRDefault="00EE1E93" w:rsidP="00EE1E93">
      <w:pPr>
        <w:jc w:val="both"/>
        <w:rPr>
          <w:rFonts w:ascii="Book Antiqua" w:eastAsia="Helvetica Neue" w:hAnsi="Book Antiqua" w:cs="Helvetica Neue"/>
          <w:b/>
        </w:rPr>
      </w:pPr>
    </w:p>
    <w:p w14:paraId="01F79596" w14:textId="77777777" w:rsidR="00EE1E93" w:rsidRPr="000D1E9A" w:rsidRDefault="00EE1E93" w:rsidP="00EE1E93">
      <w:pPr>
        <w:jc w:val="both"/>
        <w:rPr>
          <w:rFonts w:ascii="Book Antiqua" w:eastAsia="Helvetica Neue" w:hAnsi="Book Antiqua" w:cs="Helvetica Neue"/>
        </w:rPr>
      </w:pPr>
      <w:r w:rsidRPr="000D1E9A">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26FECE0C" w14:textId="77777777" w:rsidR="00A44E76" w:rsidRDefault="00A44E76" w:rsidP="00EE1E93">
      <w:pPr>
        <w:jc w:val="center"/>
        <w:rPr>
          <w:rFonts w:ascii="Book Antiqua" w:eastAsia="Book Antiqua" w:hAnsi="Book Antiqua" w:cs="Book Antiqua"/>
          <w:b/>
        </w:rPr>
      </w:pPr>
    </w:p>
    <w:p w14:paraId="44F53EA5" w14:textId="77777777" w:rsidR="00891F6B" w:rsidRDefault="00891F6B" w:rsidP="00EE1E93">
      <w:pPr>
        <w:jc w:val="center"/>
        <w:rPr>
          <w:rFonts w:ascii="Book Antiqua" w:eastAsia="Book Antiqua" w:hAnsi="Book Antiqua" w:cs="Book Antiqua"/>
          <w:b/>
        </w:rPr>
      </w:pPr>
    </w:p>
    <w:p w14:paraId="4558F33E" w14:textId="3DB36A38"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49994C93" w14:textId="7F47A173" w:rsidR="000D1E9A" w:rsidRPr="000D1E9A" w:rsidRDefault="00EE1E93" w:rsidP="000D1E9A">
      <w:pPr>
        <w:ind w:firstLine="720"/>
        <w:jc w:val="both"/>
        <w:rPr>
          <w:rFonts w:ascii="Book Antiqua" w:eastAsia="Book Antiqua" w:hAnsi="Book Antiqua" w:cs="Book Antiqua"/>
        </w:rPr>
      </w:pPr>
      <w:r w:rsidRPr="00191185">
        <w:rPr>
          <w:rFonts w:ascii="Book Antiqua" w:eastAsia="Book Antiqua" w:hAnsi="Book Antiqua" w:cs="Book Antiqua"/>
          <w:lang w:val="es-PR"/>
        </w:rPr>
        <w:t xml:space="preserve">La Comisión de Transportación e Infraestructura, </w:t>
      </w:r>
      <w:r>
        <w:rPr>
          <w:rFonts w:ascii="Book Antiqua" w:eastAsia="Book Antiqua" w:hAnsi="Book Antiqua" w:cs="Book Antiqua"/>
          <w:lang w:val="es-PR"/>
        </w:rPr>
        <w:t>l</w:t>
      </w:r>
      <w:r w:rsidRPr="00222393">
        <w:rPr>
          <w:rFonts w:ascii="Book Antiqua" w:eastAsia="Book Antiqua" w:hAnsi="Book Antiqua" w:cs="Book Antiqua"/>
          <w:lang w:val="es-PR"/>
        </w:rPr>
        <w:t>uego de examinar el contenido y el propósito de</w:t>
      </w:r>
      <w:r w:rsidR="000D1E9A">
        <w:rPr>
          <w:rFonts w:ascii="Book Antiqua" w:eastAsia="Book Antiqua" w:hAnsi="Book Antiqua" w:cs="Book Antiqua"/>
          <w:lang w:val="es-PR"/>
        </w:rPr>
        <w:t xml:space="preserve"> la </w:t>
      </w:r>
      <w:proofErr w:type="spellStart"/>
      <w:r w:rsidR="000D1E9A">
        <w:rPr>
          <w:rFonts w:ascii="Book Antiqua" w:eastAsia="Book Antiqua" w:hAnsi="Book Antiqua" w:cs="Book Antiqua"/>
          <w:lang w:val="es-PR"/>
        </w:rPr>
        <w:t>Resolucion</w:t>
      </w:r>
      <w:proofErr w:type="spellEnd"/>
      <w:r w:rsidR="000D1E9A">
        <w:rPr>
          <w:rFonts w:ascii="Book Antiqua" w:eastAsia="Book Antiqua" w:hAnsi="Book Antiqua" w:cs="Book Antiqua"/>
          <w:lang w:val="es-PR"/>
        </w:rPr>
        <w:t xml:space="preserve"> Conjunta</w:t>
      </w:r>
      <w:r w:rsidRPr="00222393">
        <w:rPr>
          <w:rFonts w:ascii="Book Antiqua" w:eastAsia="Book Antiqua" w:hAnsi="Book Antiqua" w:cs="Book Antiqua"/>
          <w:lang w:val="es-PR"/>
        </w:rPr>
        <w:t xml:space="preserve"> de la Cámara Núm. </w:t>
      </w:r>
      <w:r w:rsidR="000D1E9A">
        <w:rPr>
          <w:rFonts w:ascii="Book Antiqua" w:eastAsia="Book Antiqua" w:hAnsi="Book Antiqua" w:cs="Book Antiqua"/>
          <w:lang w:val="es-PR"/>
        </w:rPr>
        <w:t>96</w:t>
      </w:r>
      <w:r w:rsidRPr="00222393">
        <w:rPr>
          <w:rFonts w:ascii="Book Antiqua" w:eastAsia="Book Antiqua" w:hAnsi="Book Antiqua" w:cs="Book Antiqua"/>
          <w:lang w:val="es-PR"/>
        </w:rPr>
        <w:t xml:space="preserve">, </w:t>
      </w:r>
      <w:r w:rsidR="00DF6BC4" w:rsidRPr="00DF6BC4">
        <w:rPr>
          <w:rFonts w:ascii="Book Antiqua" w:eastAsia="Book Antiqua" w:hAnsi="Book Antiqua" w:cs="Book Antiqua"/>
          <w:lang w:val="es-PR"/>
        </w:rPr>
        <w:t xml:space="preserve">concluye que </w:t>
      </w:r>
      <w:r w:rsidR="000D1E9A">
        <w:rPr>
          <w:rFonts w:ascii="Book Antiqua" w:eastAsia="Book Antiqua" w:hAnsi="Book Antiqua" w:cs="Book Antiqua"/>
          <w:lang w:val="es-PR"/>
        </w:rPr>
        <w:t>la</w:t>
      </w:r>
      <w:r w:rsidR="00DF6BC4" w:rsidRPr="00DF6BC4">
        <w:rPr>
          <w:rFonts w:ascii="Book Antiqua" w:eastAsia="Book Antiqua" w:hAnsi="Book Antiqua" w:cs="Book Antiqua"/>
          <w:lang w:val="es-PR"/>
        </w:rPr>
        <w:t xml:space="preserve"> medida </w:t>
      </w:r>
      <w:r w:rsidR="000D1E9A" w:rsidRPr="000D1E9A">
        <w:rPr>
          <w:rFonts w:ascii="Book Antiqua" w:eastAsia="Book Antiqua" w:hAnsi="Book Antiqua" w:cs="Book Antiqua"/>
        </w:rPr>
        <w:t>atiende una preocupación legítima relacionada con la congestión vehicular y la seguridad vial en el municipio de Vega Baja.</w:t>
      </w:r>
    </w:p>
    <w:p w14:paraId="191B7228" w14:textId="77777777" w:rsidR="000D1E9A" w:rsidRPr="000D1E9A" w:rsidRDefault="000D1E9A" w:rsidP="000D1E9A">
      <w:pPr>
        <w:ind w:firstLine="720"/>
        <w:jc w:val="both"/>
        <w:rPr>
          <w:rFonts w:ascii="Book Antiqua" w:eastAsia="Book Antiqua" w:hAnsi="Book Antiqua" w:cs="Book Antiqua"/>
        </w:rPr>
      </w:pPr>
    </w:p>
    <w:p w14:paraId="4CF71856" w14:textId="0753971A" w:rsidR="000D1E9A" w:rsidRPr="000D1E9A" w:rsidRDefault="000D1E9A" w:rsidP="000D1E9A">
      <w:pPr>
        <w:ind w:firstLine="720"/>
        <w:jc w:val="both"/>
        <w:rPr>
          <w:rFonts w:ascii="Book Antiqua" w:eastAsia="Book Antiqua" w:hAnsi="Book Antiqua" w:cs="Book Antiqua"/>
        </w:rPr>
      </w:pPr>
      <w:r w:rsidRPr="000D1E9A">
        <w:rPr>
          <w:rFonts w:ascii="Book Antiqua" w:eastAsia="Book Antiqua" w:hAnsi="Book Antiqua" w:cs="Book Antiqua"/>
        </w:rPr>
        <w:t>La medida provee una herramienta adecuada para que el DTOP y la ACT evalúen de manera técnica y responsable la viabilidad de un ensanchamiento de la Carretera PR-670 o, en su defecto, identifiquen alternativas que permitan mejorar el flujo vehicular en la zona. Por tanto, esta Comisión entiende que la Resolución adelanta el interés público y contribuye a una mejor planificación de la infraestructura vial.</w:t>
      </w:r>
    </w:p>
    <w:p w14:paraId="4FB5A14A" w14:textId="77777777" w:rsidR="00EE1E93" w:rsidRPr="000D1E9A" w:rsidRDefault="00EE1E93" w:rsidP="00EE1E93">
      <w:pPr>
        <w:jc w:val="both"/>
        <w:rPr>
          <w:rFonts w:ascii="Book Antiqua" w:eastAsia="Book Antiqua" w:hAnsi="Book Antiqua" w:cs="Book Antiqua"/>
          <w:lang w:val="es-419"/>
        </w:rPr>
      </w:pPr>
    </w:p>
    <w:p w14:paraId="05F96B97" w14:textId="15C2BF07"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0D1E9A">
        <w:rPr>
          <w:rFonts w:ascii="Book Antiqua" w:eastAsia="Book Antiqua" w:hAnsi="Book Antiqua" w:cs="Book Antiqua"/>
        </w:rPr>
        <w:t>R</w:t>
      </w:r>
      <w:r>
        <w:rPr>
          <w:rFonts w:ascii="Book Antiqua" w:eastAsia="Book Antiqua" w:hAnsi="Book Antiqua" w:cs="Book Antiqua"/>
        </w:rPr>
        <w:t xml:space="preserve">. </w:t>
      </w:r>
      <w:r w:rsidR="000D1E9A">
        <w:rPr>
          <w:rFonts w:ascii="Book Antiqua" w:eastAsia="Book Antiqua" w:hAnsi="Book Antiqua" w:cs="Book Antiqua"/>
        </w:rPr>
        <w:t xml:space="preserve">C. </w:t>
      </w:r>
      <w:r>
        <w:rPr>
          <w:rFonts w:ascii="Book Antiqua" w:eastAsia="Book Antiqua" w:hAnsi="Book Antiqua" w:cs="Book Antiqua"/>
        </w:rPr>
        <w:t xml:space="preserve">de la C. Núm. </w:t>
      </w:r>
      <w:r w:rsidR="000D1E9A">
        <w:rPr>
          <w:rFonts w:ascii="Book Antiqua" w:eastAsia="Book Antiqua" w:hAnsi="Book Antiqua" w:cs="Book Antiqua"/>
        </w:rPr>
        <w:t>96</w:t>
      </w:r>
      <w:r w:rsidRPr="00A11D0B">
        <w:rPr>
          <w:rFonts w:ascii="Book Antiqua" w:eastAsia="Book Antiqua" w:hAnsi="Book Antiqua" w:cs="Book Antiqua"/>
        </w:rPr>
        <w:t xml:space="preserve"> en el que </w:t>
      </w:r>
      <w:r w:rsidRPr="00A11D0B">
        <w:rPr>
          <w:rFonts w:ascii="Book Antiqua" w:eastAsia="Book Antiqua" w:hAnsi="Book Antiqua" w:cs="Book Antiqua"/>
        </w:rPr>
        <w:lastRenderedPageBreak/>
        <w:t xml:space="preserve">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C7A7FD1" w14:textId="77777777" w:rsidR="00EE1E93" w:rsidRPr="00700566" w:rsidRDefault="00EE1E93" w:rsidP="00EE1E93">
      <w:pPr>
        <w:jc w:val="both"/>
        <w:rPr>
          <w:rFonts w:ascii="Book Antiqua" w:eastAsia="Book Antiqua" w:hAnsi="Book Antiqua" w:cs="Book Antiqua"/>
        </w:rPr>
      </w:pPr>
    </w:p>
    <w:p w14:paraId="12865E21" w14:textId="77777777" w:rsidR="00EE1E93" w:rsidRPr="00700566" w:rsidRDefault="00EE1E93" w:rsidP="00EE1E93">
      <w:pPr>
        <w:jc w:val="both"/>
        <w:rPr>
          <w:rFonts w:ascii="Book Antiqua" w:eastAsia="Book Antiqua" w:hAnsi="Book Antiqua" w:cs="Book Antiqua"/>
        </w:rPr>
      </w:pP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Pr="00700566" w:rsidRDefault="00EE1E93"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34A842F1" w14:textId="77777777" w:rsidR="00EE1E93" w:rsidRPr="00700566" w:rsidRDefault="00EE1E93" w:rsidP="00EE1E93">
      <w:pPr>
        <w:jc w:val="both"/>
        <w:rPr>
          <w:rFonts w:ascii="Book Antiqua" w:eastAsia="Book Antiqua" w:hAnsi="Book Antiqua" w:cs="Book Antiqua"/>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B4852" w14:textId="77777777" w:rsidR="00CB3D78" w:rsidRDefault="00CB3D78">
      <w:r>
        <w:separator/>
      </w:r>
    </w:p>
  </w:endnote>
  <w:endnote w:type="continuationSeparator" w:id="0">
    <w:p w14:paraId="480E4E2F" w14:textId="77777777" w:rsidR="00CB3D78" w:rsidRDefault="00CB3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EE6B28F-AAD3-43E5-992D-3069800B7F0A}"/>
  </w:font>
  <w:font w:name="Helvetica">
    <w:panose1 w:val="020B0604020202020204"/>
    <w:charset w:val="00"/>
    <w:family w:val="swiss"/>
    <w:pitch w:val="variable"/>
    <w:sig w:usb0="E0002EFF" w:usb1="C000785B" w:usb2="00000009" w:usb3="00000000" w:csb0="000001FF" w:csb1="00000000"/>
    <w:embedRegular r:id="rId2" w:fontKey="{1A5D5FEC-94E5-4819-A797-A8D03FE99A7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13DEE8EC-B333-439C-8236-A97EC7FB8C69}"/>
  </w:font>
  <w:font w:name="Georgia">
    <w:panose1 w:val="02040502050405020303"/>
    <w:charset w:val="00"/>
    <w:family w:val="roman"/>
    <w:pitch w:val="variable"/>
    <w:sig w:usb0="00000287" w:usb1="00000000" w:usb2="00000000" w:usb3="00000000" w:csb0="0000009F" w:csb1="00000000"/>
    <w:embedRegular r:id="rId4" w:fontKey="{3B2C1389-902F-4207-9E23-A0EBE1408023}"/>
    <w:embedItalic r:id="rId5" w:fontKey="{63762C55-05FC-4092-B610-4308FF46406F}"/>
  </w:font>
  <w:font w:name="Book Antiqua">
    <w:panose1 w:val="02040602050305030304"/>
    <w:charset w:val="00"/>
    <w:family w:val="roman"/>
    <w:pitch w:val="variable"/>
    <w:sig w:usb0="00000287" w:usb1="00000000" w:usb2="00000000" w:usb3="00000000" w:csb0="0000009F" w:csb1="00000000"/>
    <w:embedRegular r:id="rId6" w:fontKey="{2ECD75B4-6AFE-4495-B75D-B555AC3D0164}"/>
    <w:embedBold r:id="rId7" w:fontKey="{0D6EF516-8A0C-4BE3-9FF5-CA74114C2A99}"/>
  </w:font>
  <w:font w:name="Helvetica Neue">
    <w:charset w:val="00"/>
    <w:family w:val="auto"/>
    <w:pitch w:val="default"/>
    <w:embedRegular r:id="rId8" w:fontKey="{B6749AAE-24A0-4A71-9712-C14D7D38A8D6}"/>
    <w:embedBold r:id="rId9" w:fontKey="{F9CCADF0-0A33-4563-8EB9-7A863C303A0D}"/>
  </w:font>
  <w:font w:name="Lustria">
    <w:altName w:val="Calibri"/>
    <w:charset w:val="00"/>
    <w:family w:val="auto"/>
    <w:pitch w:val="default"/>
    <w:embedRegular r:id="rId10" w:fontKey="{CC45AC43-BA0E-4D78-88AF-EDB307A8A5AA}"/>
    <w:embedBoldItalic r:id="rId11" w:fontKey="{8BB1B317-2679-4D80-95E6-9C0BBE730385}"/>
  </w:font>
  <w:font w:name="Cambria">
    <w:panose1 w:val="02040503050406030204"/>
    <w:charset w:val="00"/>
    <w:family w:val="roman"/>
    <w:pitch w:val="variable"/>
    <w:sig w:usb0="E00006FF" w:usb1="420024FF" w:usb2="02000000" w:usb3="00000000" w:csb0="0000019F" w:csb1="00000000"/>
    <w:embedRegular r:id="rId12" w:fontKey="{D93D1080-7CB2-4B5E-B60D-D6B41E1E04A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76F6A" w14:textId="77777777" w:rsidR="00CB3D78" w:rsidRDefault="00CB3D78">
      <w:r>
        <w:separator/>
      </w:r>
    </w:p>
  </w:footnote>
  <w:footnote w:type="continuationSeparator" w:id="0">
    <w:p w14:paraId="28C80D18" w14:textId="77777777" w:rsidR="00CB3D78" w:rsidRDefault="00CB3D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575336AE"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B23695">
      <w:rPr>
        <w:rFonts w:ascii="Lustria" w:eastAsia="Lustria" w:hAnsi="Lustria" w:cs="Lustria"/>
        <w:b/>
        <w:i/>
        <w:sz w:val="22"/>
        <w:szCs w:val="22"/>
      </w:rPr>
      <w:t>R</w:t>
    </w:r>
    <w:r>
      <w:rPr>
        <w:rFonts w:ascii="Lustria" w:eastAsia="Lustria" w:hAnsi="Lustria" w:cs="Lustria"/>
        <w:b/>
        <w:i/>
        <w:sz w:val="22"/>
        <w:szCs w:val="22"/>
      </w:rPr>
      <w:t xml:space="preserve">. </w:t>
    </w:r>
    <w:r w:rsidR="00B23695">
      <w:rPr>
        <w:rFonts w:ascii="Lustria" w:eastAsia="Lustria" w:hAnsi="Lustria" w:cs="Lustria"/>
        <w:b/>
        <w:i/>
        <w:sz w:val="22"/>
        <w:szCs w:val="22"/>
      </w:rPr>
      <w:t xml:space="preserve">C. </w:t>
    </w:r>
    <w:r>
      <w:rPr>
        <w:rFonts w:ascii="Lustria" w:eastAsia="Lustria" w:hAnsi="Lustria" w:cs="Lustria"/>
        <w:b/>
        <w:i/>
        <w:sz w:val="22"/>
        <w:szCs w:val="22"/>
      </w:rPr>
      <w:t xml:space="preserve">de la C. </w:t>
    </w:r>
    <w:r w:rsidR="00B23695">
      <w:rPr>
        <w:rFonts w:ascii="Lustria" w:eastAsia="Lustria" w:hAnsi="Lustria" w:cs="Lustria"/>
        <w:b/>
        <w:i/>
        <w:sz w:val="22"/>
        <w:szCs w:val="22"/>
      </w:rPr>
      <w:t>96</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27729"/>
    <w:rsid w:val="00051D05"/>
    <w:rsid w:val="000562AB"/>
    <w:rsid w:val="00074013"/>
    <w:rsid w:val="00074734"/>
    <w:rsid w:val="00080F3B"/>
    <w:rsid w:val="000A19FD"/>
    <w:rsid w:val="000A5E2C"/>
    <w:rsid w:val="000A752D"/>
    <w:rsid w:val="000C098A"/>
    <w:rsid w:val="000D1E9A"/>
    <w:rsid w:val="000D2DA6"/>
    <w:rsid w:val="000F7A24"/>
    <w:rsid w:val="00101FB4"/>
    <w:rsid w:val="0012417C"/>
    <w:rsid w:val="0013656C"/>
    <w:rsid w:val="0013683D"/>
    <w:rsid w:val="00147B7C"/>
    <w:rsid w:val="00160C1F"/>
    <w:rsid w:val="001619B2"/>
    <w:rsid w:val="00171293"/>
    <w:rsid w:val="001714C4"/>
    <w:rsid w:val="00176DA0"/>
    <w:rsid w:val="0019085D"/>
    <w:rsid w:val="00191185"/>
    <w:rsid w:val="001A3E93"/>
    <w:rsid w:val="001D424E"/>
    <w:rsid w:val="001E16CE"/>
    <w:rsid w:val="001E2EB4"/>
    <w:rsid w:val="001E6E24"/>
    <w:rsid w:val="00202B9F"/>
    <w:rsid w:val="00204C67"/>
    <w:rsid w:val="00220975"/>
    <w:rsid w:val="00222393"/>
    <w:rsid w:val="00235829"/>
    <w:rsid w:val="00253784"/>
    <w:rsid w:val="00266B2F"/>
    <w:rsid w:val="00274850"/>
    <w:rsid w:val="002B4336"/>
    <w:rsid w:val="002D4DC3"/>
    <w:rsid w:val="002E1FA6"/>
    <w:rsid w:val="002E62AC"/>
    <w:rsid w:val="002E69C5"/>
    <w:rsid w:val="002E6DD3"/>
    <w:rsid w:val="002F2F5A"/>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E479C"/>
    <w:rsid w:val="003F43A2"/>
    <w:rsid w:val="00400B99"/>
    <w:rsid w:val="004277D8"/>
    <w:rsid w:val="00431557"/>
    <w:rsid w:val="0044377E"/>
    <w:rsid w:val="004673DA"/>
    <w:rsid w:val="0047119B"/>
    <w:rsid w:val="004730E0"/>
    <w:rsid w:val="00473D39"/>
    <w:rsid w:val="00475814"/>
    <w:rsid w:val="0049326F"/>
    <w:rsid w:val="004A6565"/>
    <w:rsid w:val="004B370E"/>
    <w:rsid w:val="004C1B2D"/>
    <w:rsid w:val="004D3D36"/>
    <w:rsid w:val="004E28E4"/>
    <w:rsid w:val="00501798"/>
    <w:rsid w:val="005059B4"/>
    <w:rsid w:val="00506A3D"/>
    <w:rsid w:val="005227C0"/>
    <w:rsid w:val="005456F5"/>
    <w:rsid w:val="00550313"/>
    <w:rsid w:val="00557604"/>
    <w:rsid w:val="005858EA"/>
    <w:rsid w:val="005871BE"/>
    <w:rsid w:val="00596F5B"/>
    <w:rsid w:val="005A1843"/>
    <w:rsid w:val="005E4A2F"/>
    <w:rsid w:val="00605CE1"/>
    <w:rsid w:val="0060692B"/>
    <w:rsid w:val="006354F3"/>
    <w:rsid w:val="00642646"/>
    <w:rsid w:val="0068352C"/>
    <w:rsid w:val="00684107"/>
    <w:rsid w:val="00684ECE"/>
    <w:rsid w:val="006908FA"/>
    <w:rsid w:val="006A552A"/>
    <w:rsid w:val="006A7E5E"/>
    <w:rsid w:val="006C2186"/>
    <w:rsid w:val="006D297F"/>
    <w:rsid w:val="006E029C"/>
    <w:rsid w:val="00700566"/>
    <w:rsid w:val="00702D47"/>
    <w:rsid w:val="0071797E"/>
    <w:rsid w:val="007303A4"/>
    <w:rsid w:val="00735C8F"/>
    <w:rsid w:val="00742E97"/>
    <w:rsid w:val="00766B8B"/>
    <w:rsid w:val="00772095"/>
    <w:rsid w:val="00785FCE"/>
    <w:rsid w:val="0079045F"/>
    <w:rsid w:val="007923B1"/>
    <w:rsid w:val="00797E58"/>
    <w:rsid w:val="00797FCC"/>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6D80"/>
    <w:rsid w:val="00875CE7"/>
    <w:rsid w:val="00884F6A"/>
    <w:rsid w:val="00891F6B"/>
    <w:rsid w:val="008A65F0"/>
    <w:rsid w:val="008A7B90"/>
    <w:rsid w:val="008B0187"/>
    <w:rsid w:val="008B5454"/>
    <w:rsid w:val="008D3F5B"/>
    <w:rsid w:val="008E7719"/>
    <w:rsid w:val="008F30F0"/>
    <w:rsid w:val="008F40D0"/>
    <w:rsid w:val="009048A3"/>
    <w:rsid w:val="0091544D"/>
    <w:rsid w:val="009157C1"/>
    <w:rsid w:val="00940A79"/>
    <w:rsid w:val="009742B0"/>
    <w:rsid w:val="009821D1"/>
    <w:rsid w:val="00984099"/>
    <w:rsid w:val="009E0BE7"/>
    <w:rsid w:val="009E7555"/>
    <w:rsid w:val="00A11D0B"/>
    <w:rsid w:val="00A24012"/>
    <w:rsid w:val="00A27CCB"/>
    <w:rsid w:val="00A43849"/>
    <w:rsid w:val="00A44E76"/>
    <w:rsid w:val="00A54DD0"/>
    <w:rsid w:val="00A57E02"/>
    <w:rsid w:val="00A62FD8"/>
    <w:rsid w:val="00A95142"/>
    <w:rsid w:val="00AB45BB"/>
    <w:rsid w:val="00AC7FD7"/>
    <w:rsid w:val="00AD05EA"/>
    <w:rsid w:val="00AE1FD3"/>
    <w:rsid w:val="00AE4383"/>
    <w:rsid w:val="00AE44CF"/>
    <w:rsid w:val="00B21168"/>
    <w:rsid w:val="00B23695"/>
    <w:rsid w:val="00B43BBC"/>
    <w:rsid w:val="00B45C76"/>
    <w:rsid w:val="00B46ABC"/>
    <w:rsid w:val="00B52476"/>
    <w:rsid w:val="00B57A56"/>
    <w:rsid w:val="00B728D7"/>
    <w:rsid w:val="00B80F7B"/>
    <w:rsid w:val="00B93150"/>
    <w:rsid w:val="00BA4DF7"/>
    <w:rsid w:val="00BD08F2"/>
    <w:rsid w:val="00BF044B"/>
    <w:rsid w:val="00C023B0"/>
    <w:rsid w:val="00C13D9D"/>
    <w:rsid w:val="00C1423C"/>
    <w:rsid w:val="00C41F71"/>
    <w:rsid w:val="00C667AF"/>
    <w:rsid w:val="00C73728"/>
    <w:rsid w:val="00C82CE2"/>
    <w:rsid w:val="00C87206"/>
    <w:rsid w:val="00C944CF"/>
    <w:rsid w:val="00CA549E"/>
    <w:rsid w:val="00CA6335"/>
    <w:rsid w:val="00CB3D78"/>
    <w:rsid w:val="00CB5781"/>
    <w:rsid w:val="00CC0947"/>
    <w:rsid w:val="00CD59A0"/>
    <w:rsid w:val="00CD62E0"/>
    <w:rsid w:val="00CE3657"/>
    <w:rsid w:val="00D13155"/>
    <w:rsid w:val="00D137D3"/>
    <w:rsid w:val="00D16C60"/>
    <w:rsid w:val="00D20E59"/>
    <w:rsid w:val="00D5029F"/>
    <w:rsid w:val="00D60BBD"/>
    <w:rsid w:val="00D740F8"/>
    <w:rsid w:val="00D7774F"/>
    <w:rsid w:val="00D82337"/>
    <w:rsid w:val="00D83118"/>
    <w:rsid w:val="00D8739D"/>
    <w:rsid w:val="00D92C8F"/>
    <w:rsid w:val="00DB02F9"/>
    <w:rsid w:val="00DB46A4"/>
    <w:rsid w:val="00DD6037"/>
    <w:rsid w:val="00DD657F"/>
    <w:rsid w:val="00DD6D1E"/>
    <w:rsid w:val="00DE0649"/>
    <w:rsid w:val="00DE6658"/>
    <w:rsid w:val="00DF6BC4"/>
    <w:rsid w:val="00E000B2"/>
    <w:rsid w:val="00E16D68"/>
    <w:rsid w:val="00E24AC1"/>
    <w:rsid w:val="00E3056E"/>
    <w:rsid w:val="00E374AE"/>
    <w:rsid w:val="00E62D96"/>
    <w:rsid w:val="00E776D5"/>
    <w:rsid w:val="00E8576C"/>
    <w:rsid w:val="00E94557"/>
    <w:rsid w:val="00EA26A1"/>
    <w:rsid w:val="00EB340F"/>
    <w:rsid w:val="00EE1E93"/>
    <w:rsid w:val="00EE5B6A"/>
    <w:rsid w:val="00F01A45"/>
    <w:rsid w:val="00F01B4D"/>
    <w:rsid w:val="00F032FA"/>
    <w:rsid w:val="00F05EFF"/>
    <w:rsid w:val="00F104E1"/>
    <w:rsid w:val="00F26D5A"/>
    <w:rsid w:val="00F33BFA"/>
    <w:rsid w:val="00F366B9"/>
    <w:rsid w:val="00F64D5F"/>
    <w:rsid w:val="00F71457"/>
    <w:rsid w:val="00F85924"/>
    <w:rsid w:val="00F97B87"/>
    <w:rsid w:val="00FA71C8"/>
    <w:rsid w:val="00FA747A"/>
    <w:rsid w:val="00FB1972"/>
    <w:rsid w:val="00FB2FCA"/>
    <w:rsid w:val="00FB36AF"/>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614</Words>
  <Characters>3330</Characters>
  <Application>Microsoft Office Word</Application>
  <DocSecurity>4</DocSecurity>
  <Lines>92</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2026-01-29T13:24:00Z</cp:lastPrinted>
  <dcterms:created xsi:type="dcterms:W3CDTF">2026-01-30T15:05:00Z</dcterms:created>
  <dcterms:modified xsi:type="dcterms:W3CDTF">2026-01-30T15:05:00Z</dcterms:modified>
</cp:coreProperties>
</file>