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0BA91" w14:textId="77777777" w:rsidR="00551B48" w:rsidRPr="008201CB" w:rsidRDefault="00EE2E93" w:rsidP="008201CB">
      <w:pPr>
        <w:suppressLineNumbers/>
        <w:spacing w:after="0" w:line="240" w:lineRule="auto"/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  <w:r w:rsidRPr="008201CB">
        <w:rPr>
          <w:rFonts w:ascii="Book Antiqua" w:eastAsia="Times New Roman" w:hAnsi="Book Antiqua"/>
          <w:iCs/>
          <w:sz w:val="28"/>
          <w:szCs w:val="28"/>
          <w:lang w:val="es-ES_tradnl"/>
        </w:rPr>
        <w:t>GOBIERNO</w:t>
      </w:r>
      <w:r w:rsidR="00551B48" w:rsidRPr="008201CB">
        <w:rPr>
          <w:rFonts w:ascii="Book Antiqua" w:eastAsia="Times New Roman" w:hAnsi="Book Antiqua"/>
          <w:sz w:val="28"/>
          <w:szCs w:val="28"/>
          <w:lang w:val="es-ES_tradnl"/>
        </w:rPr>
        <w:t xml:space="preserve"> DE PUERTO RICO</w:t>
      </w:r>
    </w:p>
    <w:p w14:paraId="1BE243E4" w14:textId="77777777" w:rsidR="00551B48" w:rsidRPr="00CC201F" w:rsidRDefault="00551B48" w:rsidP="008201CB">
      <w:pPr>
        <w:suppressLineNumbers/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525334EE" w14:textId="77777777" w:rsidR="00551B48" w:rsidRPr="00CC201F" w:rsidRDefault="00AF595E" w:rsidP="008201CB">
      <w:pPr>
        <w:suppressLineNumbers/>
        <w:tabs>
          <w:tab w:val="left" w:pos="648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es-ES_tradnl"/>
        </w:rPr>
      </w:pPr>
      <w:r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482C6A">
        <w:rPr>
          <w:rFonts w:ascii="Book Antiqua" w:eastAsia="Times New Roman" w:hAnsi="Book Antiqua"/>
          <w:sz w:val="24"/>
          <w:szCs w:val="20"/>
          <w:lang w:val="es-ES_tradnl"/>
        </w:rPr>
        <w:t>20</w:t>
      </w:r>
      <w:r w:rsidR="00551B48" w:rsidRPr="00AF595E">
        <w:rPr>
          <w:rFonts w:ascii="Book Antiqua" w:eastAsia="Times New Roman" w:hAnsi="Book Antiqua"/>
          <w:sz w:val="24"/>
          <w:szCs w:val="20"/>
          <w:vertAlign w:val="superscript"/>
          <w:lang w:val="es-ES_tradnl"/>
        </w:rPr>
        <w:t xml:space="preserve">na. </w:t>
      </w:r>
      <w:r w:rsidR="00551B48" w:rsidRPr="00CC201F">
        <w:rPr>
          <w:rFonts w:ascii="Book Antiqua" w:eastAsia="Times New Roman" w:hAnsi="Book Antiqua"/>
          <w:sz w:val="24"/>
          <w:szCs w:val="20"/>
          <w:lang w:val="es-ES_tradnl"/>
        </w:rPr>
        <w:t xml:space="preserve">Asamblea               </w:t>
      </w:r>
      <w:r w:rsidR="00551B48" w:rsidRPr="00CC201F">
        <w:rPr>
          <w:rFonts w:ascii="Book Antiqua" w:eastAsia="Times New Roman" w:hAnsi="Book Antiqua"/>
          <w:sz w:val="24"/>
          <w:szCs w:val="20"/>
          <w:lang w:val="es-ES_tradnl"/>
        </w:rPr>
        <w:tab/>
      </w:r>
      <w:r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482C6A">
        <w:rPr>
          <w:rFonts w:ascii="Book Antiqua" w:eastAsia="Times New Roman" w:hAnsi="Book Antiqua"/>
          <w:sz w:val="24"/>
          <w:szCs w:val="20"/>
          <w:lang w:val="es-ES_tradnl"/>
        </w:rPr>
        <w:t>1</w:t>
      </w:r>
      <w:r w:rsidR="00551B48" w:rsidRPr="00AF595E">
        <w:rPr>
          <w:rFonts w:ascii="Book Antiqua" w:eastAsia="Times New Roman" w:hAnsi="Book Antiqua"/>
          <w:sz w:val="24"/>
          <w:szCs w:val="20"/>
          <w:vertAlign w:val="superscript"/>
          <w:lang w:val="es-ES_tradnl"/>
        </w:rPr>
        <w:t>ra.</w:t>
      </w:r>
      <w:r>
        <w:rPr>
          <w:rFonts w:ascii="Book Antiqua" w:eastAsia="Times New Roman" w:hAnsi="Book Antiqua"/>
          <w:sz w:val="24"/>
          <w:szCs w:val="20"/>
          <w:vertAlign w:val="superscript"/>
          <w:lang w:val="es-ES_tradnl"/>
        </w:rPr>
        <w:t xml:space="preserve"> </w:t>
      </w:r>
      <w:r w:rsidR="00551B48" w:rsidRPr="00AF595E">
        <w:rPr>
          <w:rFonts w:ascii="Book Antiqua" w:eastAsia="Times New Roman" w:hAnsi="Book Antiqua"/>
          <w:sz w:val="24"/>
          <w:szCs w:val="20"/>
          <w:vertAlign w:val="superscript"/>
          <w:lang w:val="es-ES_tradnl"/>
        </w:rPr>
        <w:t xml:space="preserve"> </w:t>
      </w:r>
      <w:r w:rsidR="00551B48" w:rsidRPr="00CC201F">
        <w:rPr>
          <w:rFonts w:ascii="Book Antiqua" w:eastAsia="Times New Roman" w:hAnsi="Book Antiqua"/>
          <w:sz w:val="24"/>
          <w:szCs w:val="20"/>
          <w:lang w:val="es-ES_tradnl"/>
        </w:rPr>
        <w:t>Sesión</w:t>
      </w:r>
    </w:p>
    <w:p w14:paraId="5D2263A7" w14:textId="77777777" w:rsidR="00551B48" w:rsidRPr="00CC201F" w:rsidRDefault="00551B48" w:rsidP="008201CB">
      <w:pPr>
        <w:suppressLineNumbers/>
        <w:tabs>
          <w:tab w:val="left" w:pos="648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es-ES_tradnl"/>
        </w:rPr>
      </w:pPr>
      <w:r w:rsidRPr="00CC201F">
        <w:rPr>
          <w:rFonts w:ascii="Book Antiqua" w:eastAsia="Times New Roman" w:hAnsi="Book Antiqua"/>
          <w:sz w:val="24"/>
          <w:szCs w:val="20"/>
          <w:lang w:val="es-ES_tradnl"/>
        </w:rPr>
        <w:t xml:space="preserve">         Legislativa</w:t>
      </w:r>
      <w:r w:rsidRPr="00CC201F">
        <w:rPr>
          <w:rFonts w:ascii="Book Antiqua" w:eastAsia="Times New Roman" w:hAnsi="Book Antiqua"/>
          <w:sz w:val="24"/>
          <w:szCs w:val="20"/>
          <w:lang w:val="es-ES_tradnl"/>
        </w:rPr>
        <w:tab/>
        <w:t xml:space="preserve">       Ordinaria</w:t>
      </w:r>
    </w:p>
    <w:p w14:paraId="0B55EBAB" w14:textId="77777777" w:rsidR="00551B48" w:rsidRPr="00CC201F" w:rsidRDefault="00551B48" w:rsidP="008201CB">
      <w:pPr>
        <w:suppressLineNumbers/>
        <w:spacing w:after="0" w:line="240" w:lineRule="auto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7A3EA51B" w14:textId="236BA7E7" w:rsidR="00551B48" w:rsidRPr="00CC201F" w:rsidRDefault="008201CB" w:rsidP="008201CB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sz w:val="36"/>
          <w:szCs w:val="36"/>
          <w:lang w:val="es-ES_tradnl"/>
        </w:rPr>
      </w:pPr>
      <w:r>
        <w:rPr>
          <w:rFonts w:ascii="Book Antiqua" w:eastAsia="Times New Roman" w:hAnsi="Book Antiqua"/>
          <w:b/>
          <w:sz w:val="36"/>
          <w:szCs w:val="36"/>
          <w:lang w:val="es-ES_tradnl"/>
        </w:rPr>
        <w:t>CÁMARA DE REPRESENTANTES</w:t>
      </w:r>
    </w:p>
    <w:p w14:paraId="50510088" w14:textId="77777777" w:rsidR="00551B48" w:rsidRPr="00CC201F" w:rsidRDefault="00551B48" w:rsidP="008201CB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0"/>
          <w:lang w:val="es-ES_tradnl"/>
        </w:rPr>
      </w:pPr>
    </w:p>
    <w:p w14:paraId="4E8E47D5" w14:textId="77777777" w:rsidR="00551B48" w:rsidRDefault="00551B48" w:rsidP="008201CB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sz w:val="52"/>
          <w:szCs w:val="52"/>
          <w:lang w:val="es-ES_tradnl"/>
        </w:rPr>
      </w:pPr>
      <w:r w:rsidRPr="008201CB">
        <w:rPr>
          <w:rFonts w:ascii="Book Antiqua" w:eastAsia="Times New Roman" w:hAnsi="Book Antiqua"/>
          <w:b/>
          <w:sz w:val="52"/>
          <w:szCs w:val="52"/>
          <w:lang w:val="es-ES_tradnl"/>
        </w:rPr>
        <w:t>P. de</w:t>
      </w:r>
      <w:r w:rsidR="00482C6A" w:rsidRPr="008201CB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 la C</w:t>
      </w:r>
      <w:r w:rsidRPr="008201CB">
        <w:rPr>
          <w:rFonts w:ascii="Book Antiqua" w:eastAsia="Times New Roman" w:hAnsi="Book Antiqua"/>
          <w:b/>
          <w:sz w:val="52"/>
          <w:szCs w:val="52"/>
          <w:lang w:val="es-ES_tradnl"/>
        </w:rPr>
        <w:t>.</w:t>
      </w:r>
      <w:r w:rsidR="00166A67" w:rsidRPr="008201CB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 471</w:t>
      </w:r>
    </w:p>
    <w:p w14:paraId="19A46BD5" w14:textId="77777777" w:rsidR="008201CB" w:rsidRPr="008201CB" w:rsidRDefault="008201CB" w:rsidP="008201CB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ES_tradnl"/>
        </w:rPr>
      </w:pPr>
    </w:p>
    <w:p w14:paraId="43669BD5" w14:textId="3225956A" w:rsidR="00482C6A" w:rsidRDefault="008201CB" w:rsidP="008201CB">
      <w:pPr>
        <w:suppressLineNumbers/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  <w:r>
        <w:rPr>
          <w:rFonts w:ascii="Book Antiqua" w:eastAsia="Times New Roman" w:hAnsi="Book Antiqua"/>
          <w:sz w:val="24"/>
          <w:szCs w:val="20"/>
          <w:lang w:val="es-ES_tradnl"/>
        </w:rPr>
        <w:t xml:space="preserve">31 </w:t>
      </w:r>
      <w:r w:rsidRPr="00CC201F">
        <w:rPr>
          <w:rFonts w:ascii="Book Antiqua" w:eastAsia="Times New Roman" w:hAnsi="Book Antiqua"/>
          <w:sz w:val="24"/>
          <w:szCs w:val="20"/>
          <w:lang w:val="es-ES_tradnl"/>
        </w:rPr>
        <w:t xml:space="preserve">DE </w:t>
      </w:r>
      <w:r>
        <w:rPr>
          <w:rFonts w:ascii="Book Antiqua" w:eastAsia="Times New Roman" w:hAnsi="Book Antiqua"/>
          <w:sz w:val="24"/>
          <w:szCs w:val="20"/>
          <w:lang w:val="es-ES_tradnl"/>
        </w:rPr>
        <w:t xml:space="preserve">MARZO </w:t>
      </w:r>
      <w:r w:rsidRPr="00CC201F">
        <w:rPr>
          <w:rFonts w:ascii="Book Antiqua" w:eastAsia="Times New Roman" w:hAnsi="Book Antiqua"/>
          <w:sz w:val="24"/>
          <w:szCs w:val="20"/>
          <w:lang w:val="es-ES_tradnl"/>
        </w:rPr>
        <w:t>DE 20</w:t>
      </w:r>
      <w:r>
        <w:rPr>
          <w:rFonts w:ascii="Book Antiqua" w:eastAsia="Times New Roman" w:hAnsi="Book Antiqua"/>
          <w:sz w:val="24"/>
          <w:szCs w:val="20"/>
          <w:lang w:val="es-ES_tradnl"/>
        </w:rPr>
        <w:t>25</w:t>
      </w:r>
    </w:p>
    <w:p w14:paraId="72F1179C" w14:textId="77777777" w:rsidR="008201CB" w:rsidRDefault="008201CB" w:rsidP="008201CB">
      <w:pPr>
        <w:suppressLineNumbers/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527511F8" w14:textId="3FB51D1C" w:rsidR="00551B48" w:rsidRPr="008201CB" w:rsidRDefault="00551B48" w:rsidP="008201CB">
      <w:pPr>
        <w:suppressLineNumbers/>
        <w:spacing w:after="0" w:line="240" w:lineRule="auto"/>
        <w:jc w:val="center"/>
        <w:rPr>
          <w:rFonts w:ascii="Book Antiqua" w:eastAsia="Times New Roman" w:hAnsi="Book Antiqua"/>
          <w:i/>
          <w:iCs/>
          <w:sz w:val="24"/>
          <w:szCs w:val="20"/>
          <w:lang w:val="es-ES_tradnl"/>
        </w:rPr>
      </w:pPr>
      <w:r w:rsidRPr="00CC201F">
        <w:rPr>
          <w:rFonts w:ascii="Book Antiqua" w:eastAsia="Times New Roman" w:hAnsi="Book Antiqua"/>
          <w:sz w:val="24"/>
          <w:szCs w:val="20"/>
          <w:lang w:val="es-ES_tradnl"/>
        </w:rPr>
        <w:t>Presentad</w:t>
      </w:r>
      <w:r w:rsidR="003F73A3">
        <w:rPr>
          <w:rFonts w:ascii="Book Antiqua" w:eastAsia="Times New Roman" w:hAnsi="Book Antiqua"/>
          <w:sz w:val="24"/>
          <w:szCs w:val="20"/>
          <w:lang w:val="es-ES_tradnl"/>
        </w:rPr>
        <w:t>o</w:t>
      </w:r>
      <w:r w:rsidR="008201CB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Pr="00CC201F">
        <w:rPr>
          <w:rFonts w:ascii="Book Antiqua" w:eastAsia="Times New Roman" w:hAnsi="Book Antiqua"/>
          <w:sz w:val="24"/>
          <w:szCs w:val="20"/>
          <w:lang w:val="es-ES_tradnl"/>
        </w:rPr>
        <w:t>por</w:t>
      </w:r>
      <w:r w:rsidR="00694EBE">
        <w:rPr>
          <w:rFonts w:ascii="Book Antiqua" w:eastAsia="Times New Roman" w:hAnsi="Book Antiqua"/>
          <w:sz w:val="24"/>
          <w:szCs w:val="20"/>
          <w:lang w:val="es-ES_tradnl"/>
        </w:rPr>
        <w:t xml:space="preserve"> la</w:t>
      </w:r>
      <w:r w:rsidRPr="00CC201F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482C6A">
        <w:rPr>
          <w:rFonts w:ascii="Book Antiqua" w:eastAsia="Times New Roman" w:hAnsi="Book Antiqua"/>
          <w:sz w:val="24"/>
          <w:szCs w:val="20"/>
          <w:lang w:val="es-ES_tradnl"/>
        </w:rPr>
        <w:t xml:space="preserve">representante </w:t>
      </w:r>
      <w:r w:rsidR="00482C6A" w:rsidRPr="008201CB">
        <w:rPr>
          <w:rFonts w:ascii="Book Antiqua" w:eastAsia="Times New Roman" w:hAnsi="Book Antiqua"/>
          <w:i/>
          <w:iCs/>
          <w:sz w:val="24"/>
          <w:szCs w:val="20"/>
          <w:lang w:val="es-ES_tradnl"/>
        </w:rPr>
        <w:t xml:space="preserve">Pérez </w:t>
      </w:r>
      <w:r w:rsidR="00DB6D5C" w:rsidRPr="008201CB">
        <w:rPr>
          <w:rFonts w:ascii="Book Antiqua" w:eastAsia="Times New Roman" w:hAnsi="Book Antiqua"/>
          <w:i/>
          <w:iCs/>
          <w:sz w:val="24"/>
          <w:szCs w:val="20"/>
          <w:lang w:val="es-ES_tradnl"/>
        </w:rPr>
        <w:t>Ramírez</w:t>
      </w:r>
    </w:p>
    <w:p w14:paraId="0647B9F9" w14:textId="77777777" w:rsidR="008201CB" w:rsidRPr="00CC201F" w:rsidRDefault="008201CB" w:rsidP="008201CB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i/>
          <w:sz w:val="24"/>
          <w:szCs w:val="20"/>
          <w:lang w:val="es-ES_tradnl"/>
        </w:rPr>
      </w:pPr>
    </w:p>
    <w:p w14:paraId="703F3DE5" w14:textId="15B34091" w:rsidR="00551B48" w:rsidRPr="008201CB" w:rsidRDefault="00551B48" w:rsidP="008201CB">
      <w:pPr>
        <w:suppressLineNumbers/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  <w:r w:rsidRPr="008201CB">
        <w:rPr>
          <w:rFonts w:ascii="Book Antiqua" w:eastAsia="Times New Roman" w:hAnsi="Book Antiqua"/>
          <w:sz w:val="24"/>
          <w:szCs w:val="20"/>
          <w:lang w:val="es-ES_tradnl"/>
        </w:rPr>
        <w:t>Referid</w:t>
      </w:r>
      <w:r w:rsidR="003F73A3">
        <w:rPr>
          <w:rFonts w:ascii="Book Antiqua" w:eastAsia="Times New Roman" w:hAnsi="Book Antiqua"/>
          <w:sz w:val="24"/>
          <w:szCs w:val="20"/>
          <w:lang w:val="es-ES_tradnl"/>
        </w:rPr>
        <w:t>o</w:t>
      </w:r>
      <w:r w:rsidRPr="008201CB">
        <w:rPr>
          <w:rFonts w:ascii="Book Antiqua" w:eastAsia="Times New Roman" w:hAnsi="Book Antiqua"/>
          <w:sz w:val="24"/>
          <w:szCs w:val="20"/>
          <w:lang w:val="es-ES_tradnl"/>
        </w:rPr>
        <w:t xml:space="preserve"> a </w:t>
      </w:r>
      <w:r w:rsidR="00AF595E" w:rsidRPr="008201CB">
        <w:rPr>
          <w:rFonts w:ascii="Book Antiqua" w:eastAsia="Times New Roman" w:hAnsi="Book Antiqua"/>
          <w:sz w:val="24"/>
          <w:szCs w:val="20"/>
          <w:lang w:val="es-ES_tradnl"/>
        </w:rPr>
        <w:t xml:space="preserve">la </w:t>
      </w:r>
      <w:r w:rsidR="00BC6BE0">
        <w:rPr>
          <w:rFonts w:ascii="Book Antiqua" w:eastAsia="Times New Roman" w:hAnsi="Book Antiqua"/>
          <w:sz w:val="24"/>
          <w:szCs w:val="20"/>
          <w:lang w:val="es-ES_tradnl"/>
        </w:rPr>
        <w:t>Comisión de Salud</w:t>
      </w:r>
    </w:p>
    <w:p w14:paraId="45365C1F" w14:textId="77777777" w:rsidR="00551B48" w:rsidRPr="00CC201F" w:rsidRDefault="00551B48" w:rsidP="008201CB">
      <w:pPr>
        <w:suppressLineNumbers/>
        <w:spacing w:after="0" w:line="240" w:lineRule="auto"/>
        <w:jc w:val="both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5178FAAF" w14:textId="77777777" w:rsidR="00551B48" w:rsidRPr="008201CB" w:rsidRDefault="00551B48" w:rsidP="008201CB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sz w:val="28"/>
          <w:szCs w:val="28"/>
          <w:lang w:val="es-ES_tradnl"/>
        </w:rPr>
      </w:pPr>
      <w:r w:rsidRPr="008201CB">
        <w:rPr>
          <w:rFonts w:ascii="Book Antiqua" w:eastAsia="Times New Roman" w:hAnsi="Book Antiqua"/>
          <w:b/>
          <w:sz w:val="28"/>
          <w:szCs w:val="28"/>
          <w:lang w:val="es-ES_tradnl"/>
        </w:rPr>
        <w:t>LEY</w:t>
      </w:r>
    </w:p>
    <w:p w14:paraId="2935FB38" w14:textId="77777777" w:rsidR="00551B48" w:rsidRPr="008201CB" w:rsidRDefault="00551B48" w:rsidP="008201CB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ES_tradnl"/>
        </w:rPr>
      </w:pPr>
    </w:p>
    <w:p w14:paraId="16F35F8C" w14:textId="77777777" w:rsidR="00551B48" w:rsidRPr="00CC201F" w:rsidRDefault="00982296" w:rsidP="008201CB">
      <w:pPr>
        <w:suppressLineNumbers/>
        <w:spacing w:after="0" w:line="240" w:lineRule="auto"/>
        <w:ind w:left="360" w:hanging="360"/>
        <w:jc w:val="both"/>
        <w:rPr>
          <w:rFonts w:ascii="Book Antiqua" w:hAnsi="Book Antiqua"/>
          <w:color w:val="000000"/>
          <w:sz w:val="24"/>
          <w:szCs w:val="24"/>
          <w:shd w:val="clear" w:color="auto" w:fill="FFFFFF"/>
          <w:lang w:val="es-PR"/>
        </w:rPr>
      </w:pPr>
      <w:r w:rsidRPr="00CC201F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Para crear el Registro de Personas con </w:t>
      </w:r>
      <w:r w:rsidR="003F50D0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Trastornos Sanguíneos</w:t>
      </w:r>
      <w:r w:rsid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 y/o </w:t>
      </w:r>
      <w:r w:rsidR="003F50D0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Condiciones Sanguíneas </w:t>
      </w:r>
      <w:r w:rsidRPr="00CC201F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 adscrito al Departamento de Salud del </w:t>
      </w:r>
      <w:r w:rsidR="00334545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Gobierno</w:t>
      </w:r>
      <w:r w:rsidRPr="00CC201F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 de Puerto Rico; establecer la obligación de los médicos licenciados</w:t>
      </w:r>
      <w:r w:rsidR="00482C6A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 </w:t>
      </w:r>
      <w:r w:rsidRPr="00CC201F">
        <w:rPr>
          <w:rFonts w:ascii="Book Antiqua" w:hAnsi="Book Antiqua"/>
          <w:i/>
          <w:iCs/>
          <w:color w:val="000000"/>
          <w:spacing w:val="-3"/>
          <w:sz w:val="24"/>
          <w:szCs w:val="24"/>
          <w:shd w:val="clear" w:color="auto" w:fill="FFFFFF"/>
          <w:lang w:val="es-PR"/>
        </w:rPr>
        <w:t> </w:t>
      </w:r>
      <w:r w:rsidRPr="00CC201F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autorizados a ejercer en Puerto Rico </w:t>
      </w:r>
      <w:r w:rsidRPr="007D3F7B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y  </w:t>
      </w:r>
      <w:r w:rsidR="007D3F7B" w:rsidRPr="00482C6A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de las instalaciones de servicios</w:t>
      </w:r>
      <w:r w:rsidR="007D3F7B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 </w:t>
      </w:r>
      <w:r w:rsidRPr="007D3F7B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de salud </w:t>
      </w:r>
      <w:r w:rsidRPr="00CC201F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de informar los casos de </w:t>
      </w:r>
      <w:r w:rsid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personas con trastornos sanguíneos y/o condiciones sanguíneas </w:t>
      </w:r>
      <w:r w:rsidRPr="00CC201F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al Registro; autorizar al Departamento </w:t>
      </w:r>
      <w:r w:rsidR="00F2110C" w:rsidRPr="00482C6A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de Salud</w:t>
      </w:r>
      <w:r w:rsidR="00F2110C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 </w:t>
      </w:r>
      <w:r w:rsidRPr="00CC201F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a realizar acuerdos colaborativos con organizaciones </w:t>
      </w:r>
      <w:r w:rsidR="00F2110C" w:rsidRPr="00482C6A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que ofrecen servicios a personas con</w:t>
      </w:r>
      <w:r w:rsidR="00F2110C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 </w:t>
      </w:r>
      <w:r w:rsidRPr="00CC201F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 </w:t>
      </w:r>
      <w:r w:rsidR="003F50D0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trastornos sanguíneos y/o condiciones sanguíneas</w:t>
      </w:r>
      <w:r w:rsidRPr="00CC201F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 de Puerto Rico en donde se dispondrán las normas bajo las cuales se le dará la autoridad para implantar, operar y mantener el funcionamiento de dicho Registro; establecer la</w:t>
      </w:r>
      <w:r w:rsidRPr="00CC201F">
        <w:rPr>
          <w:rFonts w:ascii="Book Antiqua" w:hAnsi="Book Antiqua"/>
          <w:color w:val="000000"/>
          <w:sz w:val="24"/>
          <w:szCs w:val="24"/>
          <w:shd w:val="clear" w:color="auto" w:fill="FFFFFF"/>
          <w:lang w:val="es-PR"/>
        </w:rPr>
        <w:t xml:space="preserve"> responsabilidad de empleados, colaboradores e investigadores de firmar acuerdos de confidencialidad bajo los cuales serán legalmente responsables por cualquier brecha; establecer que los datos estadísticos oficiales sobre incidencia de </w:t>
      </w:r>
      <w:r w:rsidR="003F50D0" w:rsidRPr="003F50D0">
        <w:rPr>
          <w:rFonts w:ascii="Book Antiqua" w:hAnsi="Book Antiqua"/>
          <w:color w:val="000000"/>
          <w:sz w:val="24"/>
          <w:szCs w:val="24"/>
          <w:shd w:val="clear" w:color="auto" w:fill="FFFFFF"/>
          <w:lang w:val="es-PR"/>
        </w:rPr>
        <w:t>trastornos sanguíneos y/o condiciones sanguíneas</w:t>
      </w:r>
      <w:r w:rsidRPr="00CC201F">
        <w:rPr>
          <w:rFonts w:ascii="Book Antiqua" w:hAnsi="Book Antiqua"/>
          <w:color w:val="000000"/>
          <w:sz w:val="24"/>
          <w:szCs w:val="24"/>
          <w:shd w:val="clear" w:color="auto" w:fill="FFFFFF"/>
          <w:lang w:val="es-PR"/>
        </w:rPr>
        <w:t xml:space="preserve"> en Puerto Rico serán los publicados por el Registro creado al amparo de esta Ley;</w:t>
      </w:r>
      <w:r w:rsidRPr="00CC201F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 </w:t>
      </w:r>
      <w:r w:rsidRPr="00CC201F">
        <w:rPr>
          <w:rFonts w:ascii="Book Antiqua" w:hAnsi="Book Antiqua"/>
          <w:color w:val="000000"/>
          <w:sz w:val="24"/>
          <w:szCs w:val="24"/>
          <w:shd w:val="clear" w:color="auto" w:fill="FFFFFF"/>
          <w:lang w:val="es-PR"/>
        </w:rPr>
        <w:t>y para otros fines relacionados.</w:t>
      </w:r>
    </w:p>
    <w:p w14:paraId="11A54D49" w14:textId="77777777" w:rsidR="00982296" w:rsidRPr="008201CB" w:rsidRDefault="00982296" w:rsidP="008201CB">
      <w:pPr>
        <w:suppressLineNumbers/>
        <w:spacing w:after="0" w:line="240" w:lineRule="auto"/>
        <w:ind w:left="360" w:hanging="360"/>
        <w:jc w:val="both"/>
        <w:rPr>
          <w:rFonts w:ascii="Book Antiqua" w:eastAsia="Times New Roman" w:hAnsi="Book Antiqua"/>
          <w:sz w:val="24"/>
          <w:szCs w:val="18"/>
          <w:lang w:val="es-PR"/>
        </w:rPr>
      </w:pPr>
    </w:p>
    <w:p w14:paraId="0D92B1AE" w14:textId="77777777" w:rsidR="00551B48" w:rsidRPr="008201CB" w:rsidRDefault="00551B48" w:rsidP="008201CB">
      <w:pPr>
        <w:suppressLineNumbers/>
        <w:spacing w:after="0" w:line="240" w:lineRule="auto"/>
        <w:jc w:val="center"/>
        <w:rPr>
          <w:rFonts w:ascii="Book Antiqua" w:eastAsia="Times New Roman" w:hAnsi="Book Antiqua"/>
          <w:bCs/>
          <w:sz w:val="24"/>
          <w:szCs w:val="24"/>
          <w:lang w:val="es-ES_tradnl"/>
        </w:rPr>
      </w:pPr>
      <w:r w:rsidRPr="008201CB">
        <w:rPr>
          <w:rFonts w:ascii="Book Antiqua" w:eastAsia="Times New Roman" w:hAnsi="Book Antiqua"/>
          <w:bCs/>
          <w:sz w:val="24"/>
          <w:szCs w:val="24"/>
          <w:lang w:val="es-ES_tradnl"/>
        </w:rPr>
        <w:t>EXPOSICIÓN DE MOTIVOS</w:t>
      </w:r>
    </w:p>
    <w:p w14:paraId="4FB7109D" w14:textId="77777777" w:rsidR="00482C6A" w:rsidRDefault="00482C6A" w:rsidP="008201CB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ES_tradnl"/>
        </w:rPr>
      </w:pPr>
    </w:p>
    <w:p w14:paraId="3D053DEA" w14:textId="77777777" w:rsidR="00482C6A" w:rsidRPr="00482C6A" w:rsidRDefault="00482C6A" w:rsidP="008201CB">
      <w:pPr>
        <w:suppressLineNumbers/>
        <w:spacing w:after="0" w:line="240" w:lineRule="auto"/>
        <w:jc w:val="both"/>
        <w:rPr>
          <w:rFonts w:ascii="Book Antiqua" w:eastAsia="Times New Roman" w:hAnsi="Book Antiqua"/>
          <w:bCs/>
          <w:sz w:val="24"/>
          <w:szCs w:val="24"/>
          <w:lang w:val="es-ES_tradnl"/>
        </w:rPr>
      </w:pPr>
      <w:r>
        <w:rPr>
          <w:rFonts w:ascii="Book Antiqua" w:eastAsia="Times New Roman" w:hAnsi="Book Antiqua"/>
          <w:bCs/>
          <w:sz w:val="24"/>
          <w:szCs w:val="24"/>
          <w:lang w:val="es-ES_tradnl"/>
        </w:rPr>
        <w:t xml:space="preserve">              </w:t>
      </w:r>
      <w:r w:rsidRPr="00482C6A">
        <w:rPr>
          <w:rFonts w:ascii="Book Antiqua" w:eastAsia="Times New Roman" w:hAnsi="Book Antiqua"/>
          <w:bCs/>
          <w:sz w:val="24"/>
          <w:szCs w:val="24"/>
          <w:lang w:val="es-ES_tradnl"/>
        </w:rPr>
        <w:t>La</w:t>
      </w:r>
      <w:r w:rsidR="00EB449B">
        <w:rPr>
          <w:rFonts w:ascii="Book Antiqua" w:eastAsia="Times New Roman" w:hAnsi="Book Antiqua"/>
          <w:bCs/>
          <w:sz w:val="24"/>
          <w:szCs w:val="24"/>
          <w:lang w:val="es-ES_tradnl"/>
        </w:rPr>
        <w:t>s</w:t>
      </w:r>
      <w:r w:rsidRPr="00482C6A">
        <w:rPr>
          <w:rFonts w:ascii="Book Antiqua" w:eastAsia="Times New Roman" w:hAnsi="Book Antiqua"/>
          <w:bCs/>
          <w:sz w:val="24"/>
          <w:szCs w:val="24"/>
          <w:lang w:val="es-ES_tradnl"/>
        </w:rPr>
        <w:t xml:space="preserve"> condiciones sanguíneas representan un desafío significativo</w:t>
      </w:r>
      <w:r>
        <w:rPr>
          <w:rFonts w:ascii="Book Antiqua" w:eastAsia="Times New Roman" w:hAnsi="Book Antiqua"/>
          <w:bCs/>
          <w:sz w:val="24"/>
          <w:szCs w:val="24"/>
          <w:lang w:val="es-ES_tradnl"/>
        </w:rPr>
        <w:t xml:space="preserve"> </w:t>
      </w:r>
      <w:r w:rsidRPr="00482C6A">
        <w:rPr>
          <w:rFonts w:ascii="Book Antiqua" w:eastAsia="Times New Roman" w:hAnsi="Book Antiqua"/>
          <w:bCs/>
          <w:sz w:val="24"/>
          <w:szCs w:val="24"/>
          <w:lang w:val="es-ES_tradnl"/>
        </w:rPr>
        <w:t>para la salud pública en Puerto Rico. Estas condiciones, que afectan la coagulación</w:t>
      </w:r>
      <w:r>
        <w:rPr>
          <w:rFonts w:ascii="Book Antiqua" w:eastAsia="Times New Roman" w:hAnsi="Book Antiqua"/>
          <w:bCs/>
          <w:sz w:val="24"/>
          <w:szCs w:val="24"/>
          <w:lang w:val="es-ES_tradnl"/>
        </w:rPr>
        <w:t xml:space="preserve"> </w:t>
      </w:r>
      <w:r w:rsidRPr="00482C6A">
        <w:rPr>
          <w:rFonts w:ascii="Book Antiqua" w:eastAsia="Times New Roman" w:hAnsi="Book Antiqua"/>
          <w:bCs/>
          <w:sz w:val="24"/>
          <w:szCs w:val="24"/>
          <w:lang w:val="es-ES_tradnl"/>
        </w:rPr>
        <w:t>de la sangre, pueden resultar en complicaciones graves y, en ocasiones, mortales</w:t>
      </w:r>
      <w:r>
        <w:rPr>
          <w:rFonts w:ascii="Book Antiqua" w:eastAsia="Times New Roman" w:hAnsi="Book Antiqua"/>
          <w:bCs/>
          <w:sz w:val="24"/>
          <w:szCs w:val="24"/>
          <w:lang w:val="es-ES_tradnl"/>
        </w:rPr>
        <w:t xml:space="preserve"> </w:t>
      </w:r>
      <w:r w:rsidRPr="00482C6A">
        <w:rPr>
          <w:rFonts w:ascii="Book Antiqua" w:eastAsia="Times New Roman" w:hAnsi="Book Antiqua"/>
          <w:bCs/>
          <w:sz w:val="24"/>
          <w:szCs w:val="24"/>
          <w:lang w:val="es-ES_tradnl"/>
        </w:rPr>
        <w:t>si no son tratadas adecuadamente. A nivel mundial, se estima que millones de</w:t>
      </w:r>
      <w:r w:rsidR="00621042">
        <w:rPr>
          <w:rFonts w:ascii="Book Antiqua" w:eastAsia="Times New Roman" w:hAnsi="Book Antiqua"/>
          <w:bCs/>
          <w:sz w:val="24"/>
          <w:szCs w:val="24"/>
          <w:lang w:val="es-ES_tradnl"/>
        </w:rPr>
        <w:t xml:space="preserve"> </w:t>
      </w:r>
      <w:r w:rsidRPr="00482C6A">
        <w:rPr>
          <w:rFonts w:ascii="Book Antiqua" w:eastAsia="Times New Roman" w:hAnsi="Book Antiqua"/>
          <w:bCs/>
          <w:sz w:val="24"/>
          <w:szCs w:val="24"/>
          <w:lang w:val="es-ES_tradnl"/>
        </w:rPr>
        <w:t>personas viven con trastornos sanguíneos, y es esencial contar con un registro que</w:t>
      </w:r>
      <w:r>
        <w:rPr>
          <w:rFonts w:ascii="Book Antiqua" w:eastAsia="Times New Roman" w:hAnsi="Book Antiqua"/>
          <w:bCs/>
          <w:sz w:val="24"/>
          <w:szCs w:val="24"/>
          <w:lang w:val="es-ES_tradnl"/>
        </w:rPr>
        <w:t xml:space="preserve"> </w:t>
      </w:r>
      <w:r w:rsidRPr="00482C6A">
        <w:rPr>
          <w:rFonts w:ascii="Book Antiqua" w:eastAsia="Times New Roman" w:hAnsi="Book Antiqua"/>
          <w:bCs/>
          <w:sz w:val="24"/>
          <w:szCs w:val="24"/>
          <w:lang w:val="es-ES_tradnl"/>
        </w:rPr>
        <w:t>centralice la información sobre estos pacientes para mejorar su atención y</w:t>
      </w:r>
      <w:r>
        <w:rPr>
          <w:rFonts w:ascii="Book Antiqua" w:eastAsia="Times New Roman" w:hAnsi="Book Antiqua"/>
          <w:bCs/>
          <w:sz w:val="24"/>
          <w:szCs w:val="24"/>
          <w:lang w:val="es-ES_tradnl"/>
        </w:rPr>
        <w:t xml:space="preserve"> </w:t>
      </w:r>
      <w:r w:rsidRPr="00482C6A">
        <w:rPr>
          <w:rFonts w:ascii="Book Antiqua" w:eastAsia="Times New Roman" w:hAnsi="Book Antiqua"/>
          <w:bCs/>
          <w:sz w:val="24"/>
          <w:szCs w:val="24"/>
          <w:lang w:val="es-ES_tradnl"/>
        </w:rPr>
        <w:t>tratamiento.</w:t>
      </w:r>
    </w:p>
    <w:p w14:paraId="0D24FC8C" w14:textId="77777777" w:rsidR="00482C6A" w:rsidRPr="00482C6A" w:rsidRDefault="00482C6A" w:rsidP="008201CB">
      <w:pPr>
        <w:suppressLineNumbers/>
        <w:spacing w:after="0" w:line="240" w:lineRule="auto"/>
        <w:jc w:val="both"/>
        <w:rPr>
          <w:rFonts w:ascii="Book Antiqua" w:eastAsia="Times New Roman" w:hAnsi="Book Antiqua"/>
          <w:bCs/>
          <w:sz w:val="24"/>
          <w:szCs w:val="24"/>
          <w:lang w:val="es-ES_tradnl"/>
        </w:rPr>
      </w:pPr>
    </w:p>
    <w:p w14:paraId="5EF945B9" w14:textId="286A220F" w:rsidR="00482C6A" w:rsidRPr="00482C6A" w:rsidRDefault="00482C6A" w:rsidP="003008F5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/>
          <w:bCs/>
          <w:sz w:val="24"/>
          <w:szCs w:val="24"/>
          <w:lang w:val="es-ES_tradnl"/>
        </w:rPr>
      </w:pPr>
      <w:r w:rsidRPr="00482C6A">
        <w:rPr>
          <w:rFonts w:ascii="Book Antiqua" w:eastAsia="Times New Roman" w:hAnsi="Book Antiqua"/>
          <w:bCs/>
          <w:sz w:val="24"/>
          <w:szCs w:val="24"/>
          <w:lang w:val="es-ES_tradnl"/>
        </w:rPr>
        <w:lastRenderedPageBreak/>
        <w:t xml:space="preserve">Al observar la </w:t>
      </w:r>
      <w:r w:rsidR="00D65470" w:rsidRPr="00482C6A">
        <w:rPr>
          <w:rFonts w:ascii="Book Antiqua" w:eastAsia="Times New Roman" w:hAnsi="Book Antiqua"/>
          <w:bCs/>
          <w:sz w:val="24"/>
          <w:szCs w:val="24"/>
          <w:lang w:val="es-ES_tradnl"/>
        </w:rPr>
        <w:t>legislación</w:t>
      </w:r>
      <w:r w:rsidRPr="00482C6A">
        <w:rPr>
          <w:rFonts w:ascii="Book Antiqua" w:eastAsia="Times New Roman" w:hAnsi="Book Antiqua"/>
          <w:bCs/>
          <w:sz w:val="24"/>
          <w:szCs w:val="24"/>
          <w:lang w:val="es-ES_tradnl"/>
        </w:rPr>
        <w:t xml:space="preserve"> avanzada de otras jurisdicciones, </w:t>
      </w:r>
      <w:r w:rsidR="00EB449B">
        <w:rPr>
          <w:rFonts w:ascii="Book Antiqua" w:eastAsia="Times New Roman" w:hAnsi="Book Antiqua"/>
          <w:bCs/>
          <w:sz w:val="24"/>
          <w:szCs w:val="24"/>
          <w:lang w:val="es-ES_tradnl"/>
        </w:rPr>
        <w:t>existen diferentes registros tales como</w:t>
      </w:r>
      <w:r w:rsidRPr="00482C6A">
        <w:rPr>
          <w:rFonts w:ascii="Book Antiqua" w:eastAsia="Times New Roman" w:hAnsi="Book Antiqua"/>
          <w:bCs/>
          <w:sz w:val="24"/>
          <w:szCs w:val="24"/>
          <w:lang w:val="es-ES_tradnl"/>
        </w:rPr>
        <w:t xml:space="preserve"> el Registro</w:t>
      </w:r>
      <w:r>
        <w:rPr>
          <w:rFonts w:ascii="Book Antiqua" w:eastAsia="Times New Roman" w:hAnsi="Book Antiqua"/>
          <w:bCs/>
          <w:sz w:val="24"/>
          <w:szCs w:val="24"/>
          <w:lang w:val="es-ES_tradnl"/>
        </w:rPr>
        <w:t xml:space="preserve"> </w:t>
      </w:r>
      <w:r w:rsidRPr="00482C6A">
        <w:rPr>
          <w:rFonts w:ascii="Book Antiqua" w:eastAsia="Times New Roman" w:hAnsi="Book Antiqua"/>
          <w:bCs/>
          <w:sz w:val="24"/>
          <w:szCs w:val="24"/>
          <w:lang w:val="es-ES_tradnl"/>
        </w:rPr>
        <w:t>Nacional de Hemofilia en Estados Unidos y el Sistema de Registro de</w:t>
      </w:r>
      <w:r>
        <w:rPr>
          <w:rFonts w:ascii="Book Antiqua" w:eastAsia="Times New Roman" w:hAnsi="Book Antiqua"/>
          <w:bCs/>
          <w:sz w:val="24"/>
          <w:szCs w:val="24"/>
          <w:lang w:val="es-ES_tradnl"/>
        </w:rPr>
        <w:t xml:space="preserve"> </w:t>
      </w:r>
      <w:r w:rsidRPr="00482C6A">
        <w:rPr>
          <w:rFonts w:ascii="Book Antiqua" w:eastAsia="Times New Roman" w:hAnsi="Book Antiqua"/>
          <w:bCs/>
          <w:sz w:val="24"/>
          <w:szCs w:val="24"/>
          <w:lang w:val="es-ES_tradnl"/>
        </w:rPr>
        <w:t>Enfermedades Raras en España, se hace evidente que contar con un registro</w:t>
      </w:r>
      <w:r>
        <w:rPr>
          <w:rFonts w:ascii="Book Antiqua" w:eastAsia="Times New Roman" w:hAnsi="Book Antiqua"/>
          <w:bCs/>
          <w:sz w:val="24"/>
          <w:szCs w:val="24"/>
          <w:lang w:val="es-ES_tradnl"/>
        </w:rPr>
        <w:t xml:space="preserve"> </w:t>
      </w:r>
      <w:r w:rsidRPr="00482C6A">
        <w:rPr>
          <w:rFonts w:ascii="Book Antiqua" w:eastAsia="Times New Roman" w:hAnsi="Book Antiqua"/>
          <w:bCs/>
          <w:sz w:val="24"/>
          <w:szCs w:val="24"/>
          <w:lang w:val="es-ES_tradnl"/>
        </w:rPr>
        <w:t>exhaustivo de personas con trastornos sanguíneos no solo permitirá tener una</w:t>
      </w:r>
      <w:r>
        <w:rPr>
          <w:rFonts w:ascii="Book Antiqua" w:eastAsia="Times New Roman" w:hAnsi="Book Antiqua"/>
          <w:bCs/>
          <w:sz w:val="24"/>
          <w:szCs w:val="24"/>
          <w:lang w:val="es-ES_tradnl"/>
        </w:rPr>
        <w:t xml:space="preserve"> </w:t>
      </w:r>
      <w:r w:rsidRPr="00482C6A">
        <w:rPr>
          <w:rFonts w:ascii="Book Antiqua" w:eastAsia="Times New Roman" w:hAnsi="Book Antiqua"/>
          <w:bCs/>
          <w:sz w:val="24"/>
          <w:szCs w:val="24"/>
          <w:lang w:val="es-ES_tradnl"/>
        </w:rPr>
        <w:t>visión clara de la</w:t>
      </w:r>
      <w:r>
        <w:rPr>
          <w:rFonts w:ascii="Book Antiqua" w:eastAsia="Times New Roman" w:hAnsi="Book Antiqua"/>
          <w:bCs/>
          <w:sz w:val="24"/>
          <w:szCs w:val="24"/>
          <w:lang w:val="es-ES_tradnl"/>
        </w:rPr>
        <w:t xml:space="preserve"> </w:t>
      </w:r>
      <w:r w:rsidRPr="00482C6A">
        <w:rPr>
          <w:rFonts w:ascii="Book Antiqua" w:eastAsia="Times New Roman" w:hAnsi="Book Antiqua"/>
          <w:bCs/>
          <w:sz w:val="24"/>
          <w:szCs w:val="24"/>
          <w:lang w:val="es-ES_tradnl"/>
        </w:rPr>
        <w:t>prevalencia de estas condiciones en Puerto Rico, sino que también</w:t>
      </w:r>
      <w:r>
        <w:rPr>
          <w:rFonts w:ascii="Book Antiqua" w:eastAsia="Times New Roman" w:hAnsi="Book Antiqua"/>
          <w:bCs/>
          <w:sz w:val="24"/>
          <w:szCs w:val="24"/>
          <w:lang w:val="es-ES_tradnl"/>
        </w:rPr>
        <w:t xml:space="preserve"> </w:t>
      </w:r>
      <w:r w:rsidRPr="00482C6A">
        <w:rPr>
          <w:rFonts w:ascii="Book Antiqua" w:eastAsia="Times New Roman" w:hAnsi="Book Antiqua"/>
          <w:bCs/>
          <w:sz w:val="24"/>
          <w:szCs w:val="24"/>
          <w:lang w:val="es-ES_tradnl"/>
        </w:rPr>
        <w:t xml:space="preserve">facilitará la implementación de </w:t>
      </w:r>
      <w:r>
        <w:rPr>
          <w:rFonts w:ascii="Book Antiqua" w:eastAsia="Times New Roman" w:hAnsi="Book Antiqua"/>
          <w:bCs/>
          <w:sz w:val="24"/>
          <w:szCs w:val="24"/>
          <w:lang w:val="es-ES_tradnl"/>
        </w:rPr>
        <w:t xml:space="preserve">la </w:t>
      </w:r>
      <w:r w:rsidRPr="00482C6A">
        <w:rPr>
          <w:rFonts w:ascii="Book Antiqua" w:eastAsia="Times New Roman" w:hAnsi="Book Antiqua"/>
          <w:bCs/>
          <w:sz w:val="24"/>
          <w:szCs w:val="24"/>
          <w:lang w:val="es-ES_tradnl"/>
        </w:rPr>
        <w:t>política</w:t>
      </w:r>
      <w:r>
        <w:rPr>
          <w:rFonts w:ascii="Book Antiqua" w:eastAsia="Times New Roman" w:hAnsi="Book Antiqua"/>
          <w:bCs/>
          <w:sz w:val="24"/>
          <w:szCs w:val="24"/>
          <w:lang w:val="es-ES_tradnl"/>
        </w:rPr>
        <w:t xml:space="preserve"> </w:t>
      </w:r>
      <w:r w:rsidRPr="00482C6A">
        <w:rPr>
          <w:rFonts w:ascii="Book Antiqua" w:eastAsia="Times New Roman" w:hAnsi="Book Antiqua"/>
          <w:bCs/>
          <w:sz w:val="24"/>
          <w:szCs w:val="24"/>
          <w:lang w:val="es-ES_tradnl"/>
        </w:rPr>
        <w:t>pública que atienda las necesidades de</w:t>
      </w:r>
      <w:r>
        <w:rPr>
          <w:rFonts w:ascii="Book Antiqua" w:eastAsia="Times New Roman" w:hAnsi="Book Antiqua"/>
          <w:bCs/>
          <w:sz w:val="24"/>
          <w:szCs w:val="24"/>
          <w:lang w:val="es-ES_tradnl"/>
        </w:rPr>
        <w:t xml:space="preserve"> </w:t>
      </w:r>
      <w:r w:rsidRPr="00482C6A">
        <w:rPr>
          <w:rFonts w:ascii="Book Antiqua" w:eastAsia="Times New Roman" w:hAnsi="Book Antiqua"/>
          <w:bCs/>
          <w:sz w:val="24"/>
          <w:szCs w:val="24"/>
          <w:lang w:val="es-ES_tradnl"/>
        </w:rPr>
        <w:t>esta población.</w:t>
      </w:r>
    </w:p>
    <w:p w14:paraId="1BF4B342" w14:textId="77777777" w:rsidR="00551B48" w:rsidRPr="008201CB" w:rsidRDefault="00551B48" w:rsidP="008201CB">
      <w:pPr>
        <w:suppressLineNumbers/>
        <w:spacing w:after="0" w:line="240" w:lineRule="auto"/>
        <w:ind w:firstLine="360"/>
        <w:jc w:val="center"/>
        <w:rPr>
          <w:rFonts w:ascii="Book Antiqua" w:eastAsia="Times New Roman" w:hAnsi="Book Antiqua"/>
          <w:sz w:val="24"/>
          <w:szCs w:val="24"/>
          <w:lang w:val="es-ES_tradnl"/>
        </w:rPr>
      </w:pPr>
    </w:p>
    <w:p w14:paraId="158DB7C8" w14:textId="77777777" w:rsidR="00551B48" w:rsidRPr="00CC201F" w:rsidRDefault="00704EC4" w:rsidP="008201CB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lang w:val="es-PR"/>
        </w:rPr>
      </w:pPr>
      <w:r>
        <w:rPr>
          <w:rFonts w:ascii="Book Antiqua" w:hAnsi="Book Antiqua"/>
          <w:sz w:val="24"/>
          <w:lang w:val="es-PR"/>
        </w:rPr>
        <w:t xml:space="preserve">Dentro del grupo de las personas con trastornos sanguinarios podemos identificar la </w:t>
      </w:r>
      <w:r w:rsidR="00EB449B">
        <w:rPr>
          <w:rFonts w:ascii="Book Antiqua" w:hAnsi="Book Antiqua"/>
          <w:sz w:val="24"/>
          <w:lang w:val="es-PR"/>
        </w:rPr>
        <w:t>H</w:t>
      </w:r>
      <w:r w:rsidR="00551B48" w:rsidRPr="001F1F73">
        <w:rPr>
          <w:rFonts w:ascii="Book Antiqua" w:hAnsi="Book Antiqua"/>
          <w:sz w:val="24"/>
          <w:lang w:val="es-PR"/>
        </w:rPr>
        <w:t xml:space="preserve">emofilia </w:t>
      </w:r>
      <w:r>
        <w:rPr>
          <w:rFonts w:ascii="Book Antiqua" w:hAnsi="Book Antiqua"/>
          <w:sz w:val="24"/>
          <w:lang w:val="es-PR"/>
        </w:rPr>
        <w:t xml:space="preserve">que </w:t>
      </w:r>
      <w:r w:rsidR="00551B48" w:rsidRPr="001F1F73">
        <w:rPr>
          <w:rFonts w:ascii="Book Antiqua" w:hAnsi="Book Antiqua"/>
          <w:sz w:val="24"/>
          <w:lang w:val="es-PR"/>
        </w:rPr>
        <w:t>se determina por la cantidad de factor de coagulación en la sangre y se describe como: leve, moderada o severa. La hemofilia se clasifica en tres</w:t>
      </w:r>
      <w:r w:rsidR="00551B48" w:rsidRPr="00CC201F">
        <w:rPr>
          <w:rFonts w:ascii="Book Antiqua" w:hAnsi="Book Antiqua"/>
          <w:sz w:val="24"/>
          <w:lang w:val="es-PR"/>
        </w:rPr>
        <w:t xml:space="preserve"> niveles, según el porciento de factor en la sangre. En el caso de los Tipo A, la deficiencia es de factor VIII; en el caso de los Tipo B, la deficiencia es de factor IX; en el caso de los Tipo C, se trata de la deficiencia XI. </w:t>
      </w:r>
      <w:r w:rsidR="00EB449B">
        <w:rPr>
          <w:rFonts w:ascii="Book Antiqua" w:hAnsi="Book Antiqua"/>
          <w:sz w:val="24"/>
          <w:lang w:val="es-PR"/>
        </w:rPr>
        <w:t>La Hemofilia</w:t>
      </w:r>
      <w:r w:rsidR="00551B48" w:rsidRPr="00CC201F">
        <w:rPr>
          <w:rFonts w:ascii="Book Antiqua" w:hAnsi="Book Antiqua"/>
          <w:sz w:val="24"/>
          <w:lang w:val="es-PR"/>
        </w:rPr>
        <w:t xml:space="preserve"> puede provocar sangrado espontáneo en los músculos, órganos y mayormente en las articulaciones. Según el </w:t>
      </w:r>
      <w:r w:rsidR="00551B48" w:rsidRPr="00CC201F">
        <w:rPr>
          <w:rFonts w:ascii="Book Antiqua" w:hAnsi="Book Antiqua"/>
          <w:i/>
          <w:iCs/>
          <w:sz w:val="24"/>
          <w:lang w:val="es-PR"/>
        </w:rPr>
        <w:t xml:space="preserve">Centers </w:t>
      </w:r>
      <w:proofErr w:type="spellStart"/>
      <w:r w:rsidR="00551B48" w:rsidRPr="00CC201F">
        <w:rPr>
          <w:rFonts w:ascii="Book Antiqua" w:hAnsi="Book Antiqua"/>
          <w:i/>
          <w:iCs/>
          <w:sz w:val="24"/>
          <w:lang w:val="es-PR"/>
        </w:rPr>
        <w:t>for</w:t>
      </w:r>
      <w:proofErr w:type="spellEnd"/>
      <w:r w:rsidR="00551B48" w:rsidRPr="00CC201F">
        <w:rPr>
          <w:rFonts w:ascii="Book Antiqua" w:hAnsi="Book Antiqua"/>
          <w:i/>
          <w:iCs/>
          <w:sz w:val="24"/>
          <w:lang w:val="es-PR"/>
        </w:rPr>
        <w:t xml:space="preserve"> </w:t>
      </w:r>
      <w:proofErr w:type="spellStart"/>
      <w:r w:rsidR="00551B48" w:rsidRPr="00CC201F">
        <w:rPr>
          <w:rFonts w:ascii="Book Antiqua" w:hAnsi="Book Antiqua"/>
          <w:i/>
          <w:iCs/>
          <w:sz w:val="24"/>
          <w:lang w:val="es-PR"/>
        </w:rPr>
        <w:t>Disease</w:t>
      </w:r>
      <w:proofErr w:type="spellEnd"/>
      <w:r w:rsidR="00551B48" w:rsidRPr="00CC201F">
        <w:rPr>
          <w:rFonts w:ascii="Book Antiqua" w:hAnsi="Book Antiqua"/>
          <w:i/>
          <w:iCs/>
          <w:sz w:val="24"/>
          <w:lang w:val="es-PR"/>
        </w:rPr>
        <w:t xml:space="preserve"> Control and </w:t>
      </w:r>
      <w:proofErr w:type="spellStart"/>
      <w:r w:rsidR="00551B48" w:rsidRPr="00CC201F">
        <w:rPr>
          <w:rFonts w:ascii="Book Antiqua" w:hAnsi="Book Antiqua"/>
          <w:i/>
          <w:iCs/>
          <w:sz w:val="24"/>
          <w:lang w:val="es-PR"/>
        </w:rPr>
        <w:t>Prevention</w:t>
      </w:r>
      <w:proofErr w:type="spellEnd"/>
      <w:r w:rsidR="00551B48" w:rsidRPr="00CC201F">
        <w:rPr>
          <w:rFonts w:ascii="Book Antiqua" w:hAnsi="Book Antiqua"/>
          <w:i/>
          <w:iCs/>
          <w:sz w:val="24"/>
          <w:lang w:val="es-PR"/>
        </w:rPr>
        <w:t xml:space="preserve"> </w:t>
      </w:r>
      <w:r w:rsidR="00551B48" w:rsidRPr="00CC201F">
        <w:rPr>
          <w:rFonts w:ascii="Book Antiqua" w:hAnsi="Book Antiqua"/>
          <w:sz w:val="24"/>
          <w:lang w:val="es-PR"/>
        </w:rPr>
        <w:t>(</w:t>
      </w:r>
      <w:r>
        <w:rPr>
          <w:rFonts w:ascii="Book Antiqua" w:hAnsi="Book Antiqua"/>
          <w:sz w:val="24"/>
          <w:lang w:val="es-PR"/>
        </w:rPr>
        <w:t xml:space="preserve">en adelante, </w:t>
      </w:r>
      <w:r w:rsidR="00551B48" w:rsidRPr="00CC201F">
        <w:rPr>
          <w:rFonts w:ascii="Book Antiqua" w:hAnsi="Book Antiqua"/>
          <w:sz w:val="24"/>
          <w:lang w:val="es-PR"/>
        </w:rPr>
        <w:t>CDC), la mejor forma de tratar la hemofilia es reemplazar el factor de la coagulación faltante de manera intravenosa. Las modalidades de tratamiento existentes son: concentrados derivados del plasma sanguíneo; concentrados recombinados; acetato de desmopresina</w:t>
      </w:r>
      <w:r w:rsidR="00B65812">
        <w:rPr>
          <w:rFonts w:ascii="Book Antiqua" w:hAnsi="Book Antiqua"/>
          <w:sz w:val="24"/>
          <w:lang w:val="es-PR"/>
        </w:rPr>
        <w:t xml:space="preserve"> (en adelante DD</w:t>
      </w:r>
      <w:r w:rsidR="006B42D4">
        <w:rPr>
          <w:rFonts w:ascii="Book Antiqua" w:hAnsi="Book Antiqua"/>
          <w:sz w:val="24"/>
          <w:lang w:val="es-PR"/>
        </w:rPr>
        <w:t>AVP)</w:t>
      </w:r>
      <w:r w:rsidR="00551B48" w:rsidRPr="00CC201F">
        <w:rPr>
          <w:rFonts w:ascii="Book Antiqua" w:hAnsi="Book Antiqua"/>
          <w:sz w:val="24"/>
          <w:lang w:val="es-PR"/>
        </w:rPr>
        <w:t xml:space="preserve">; </w:t>
      </w:r>
      <w:proofErr w:type="spellStart"/>
      <w:r w:rsidR="00551B48" w:rsidRPr="00CC201F">
        <w:rPr>
          <w:rFonts w:ascii="Book Antiqua" w:hAnsi="Book Antiqua"/>
          <w:sz w:val="24"/>
          <w:lang w:val="es-PR"/>
        </w:rPr>
        <w:t>amicar</w:t>
      </w:r>
      <w:proofErr w:type="spellEnd"/>
      <w:r w:rsidR="00551B48" w:rsidRPr="00CC201F">
        <w:rPr>
          <w:rFonts w:ascii="Book Antiqua" w:hAnsi="Book Antiqua"/>
          <w:sz w:val="24"/>
          <w:lang w:val="es-PR"/>
        </w:rPr>
        <w:t xml:space="preserve"> (ácido épsilon </w:t>
      </w:r>
      <w:proofErr w:type="spellStart"/>
      <w:r w:rsidR="00551B48" w:rsidRPr="00CC201F">
        <w:rPr>
          <w:rFonts w:ascii="Book Antiqua" w:hAnsi="Book Antiqua"/>
          <w:sz w:val="24"/>
          <w:lang w:val="es-PR"/>
        </w:rPr>
        <w:t>aminocaproico</w:t>
      </w:r>
      <w:proofErr w:type="spellEnd"/>
      <w:r w:rsidR="00551B48" w:rsidRPr="00CC201F">
        <w:rPr>
          <w:rFonts w:ascii="Book Antiqua" w:hAnsi="Book Antiqua"/>
          <w:sz w:val="24"/>
          <w:lang w:val="es-PR"/>
        </w:rPr>
        <w:t xml:space="preserve">); y crioprecipitado. </w:t>
      </w:r>
    </w:p>
    <w:p w14:paraId="43209888" w14:textId="77777777" w:rsidR="008201CB" w:rsidRDefault="008201CB" w:rsidP="008201CB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lang w:val="es-PR"/>
        </w:rPr>
      </w:pPr>
    </w:p>
    <w:p w14:paraId="78D02E19" w14:textId="29692E43" w:rsidR="00551B48" w:rsidRPr="00CC201F" w:rsidRDefault="00EB449B" w:rsidP="008201CB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lang w:val="es-PR"/>
        </w:rPr>
      </w:pPr>
      <w:r>
        <w:rPr>
          <w:rFonts w:ascii="Book Antiqua" w:hAnsi="Book Antiqua"/>
          <w:sz w:val="24"/>
          <w:lang w:val="es-PR"/>
        </w:rPr>
        <w:t>En Puerto Rico</w:t>
      </w:r>
      <w:r w:rsidR="00704EC4">
        <w:rPr>
          <w:rFonts w:ascii="Book Antiqua" w:hAnsi="Book Antiqua"/>
          <w:sz w:val="24"/>
          <w:lang w:val="es-PR"/>
        </w:rPr>
        <w:t>,</w:t>
      </w:r>
      <w:r>
        <w:rPr>
          <w:rFonts w:ascii="Book Antiqua" w:hAnsi="Book Antiqua"/>
          <w:sz w:val="24"/>
          <w:lang w:val="es-PR"/>
        </w:rPr>
        <w:t xml:space="preserve"> </w:t>
      </w:r>
      <w:r w:rsidR="00704EC4">
        <w:rPr>
          <w:rFonts w:ascii="Book Antiqua" w:hAnsi="Book Antiqua"/>
          <w:sz w:val="24"/>
          <w:lang w:val="es-PR"/>
        </w:rPr>
        <w:t xml:space="preserve">también </w:t>
      </w:r>
      <w:r>
        <w:rPr>
          <w:rFonts w:ascii="Book Antiqua" w:hAnsi="Book Antiqua"/>
          <w:sz w:val="24"/>
          <w:lang w:val="es-PR"/>
        </w:rPr>
        <w:t>existe una organización</w:t>
      </w:r>
      <w:r w:rsidR="00704EC4">
        <w:rPr>
          <w:rFonts w:ascii="Book Antiqua" w:hAnsi="Book Antiqua"/>
          <w:sz w:val="24"/>
          <w:lang w:val="es-PR"/>
        </w:rPr>
        <w:t xml:space="preserve"> </w:t>
      </w:r>
      <w:r w:rsidR="00704EC4" w:rsidRPr="00704EC4">
        <w:rPr>
          <w:rFonts w:ascii="Book Antiqua" w:hAnsi="Book Antiqua"/>
          <w:sz w:val="24"/>
          <w:lang w:val="es-PR"/>
        </w:rPr>
        <w:t>la cual ha apoyado a cientos de pacientes con condiciones de sangrado y sus familias a través de los años</w:t>
      </w:r>
      <w:r w:rsidR="00704EC4">
        <w:rPr>
          <w:rFonts w:ascii="Book Antiqua" w:hAnsi="Book Antiqua"/>
          <w:sz w:val="24"/>
          <w:lang w:val="es-PR"/>
        </w:rPr>
        <w:t>, L</w:t>
      </w:r>
      <w:r w:rsidR="00F2110C" w:rsidRPr="00EB449B">
        <w:rPr>
          <w:rFonts w:ascii="Book Antiqua" w:hAnsi="Book Antiqua"/>
          <w:sz w:val="24"/>
          <w:lang w:val="es-PR"/>
        </w:rPr>
        <w:t>a</w:t>
      </w:r>
      <w:r w:rsidR="00360C32" w:rsidRPr="00EB449B">
        <w:rPr>
          <w:rFonts w:ascii="Book Antiqua" w:hAnsi="Book Antiqua"/>
          <w:sz w:val="24"/>
          <w:lang w:val="es-PR"/>
        </w:rPr>
        <w:t xml:space="preserve"> </w:t>
      </w:r>
      <w:r w:rsidR="00551B48" w:rsidRPr="00EB449B">
        <w:rPr>
          <w:rFonts w:ascii="Book Antiqua" w:hAnsi="Book Antiqua"/>
          <w:sz w:val="24"/>
          <w:lang w:val="es-PR"/>
        </w:rPr>
        <w:t>Asociación de Hemofilia y Condicione</w:t>
      </w:r>
      <w:r w:rsidR="00551B48" w:rsidRPr="00CD2370">
        <w:rPr>
          <w:rFonts w:ascii="Book Antiqua" w:hAnsi="Book Antiqua"/>
          <w:sz w:val="24"/>
          <w:lang w:val="es-PR"/>
        </w:rPr>
        <w:t>s de Sangrado</w:t>
      </w:r>
      <w:r w:rsidR="00704EC4">
        <w:rPr>
          <w:rFonts w:ascii="Book Antiqua" w:hAnsi="Book Antiqua"/>
          <w:sz w:val="24"/>
          <w:lang w:val="es-PR"/>
        </w:rPr>
        <w:t xml:space="preserve"> (en adelante, </w:t>
      </w:r>
      <w:r w:rsidR="00551B48" w:rsidRPr="00CD2370">
        <w:rPr>
          <w:rFonts w:ascii="Book Antiqua" w:hAnsi="Book Antiqua"/>
          <w:sz w:val="24"/>
          <w:lang w:val="es-PR"/>
        </w:rPr>
        <w:t>APH</w:t>
      </w:r>
      <w:r w:rsidR="00704EC4">
        <w:rPr>
          <w:rFonts w:ascii="Book Antiqua" w:hAnsi="Book Antiqua"/>
          <w:sz w:val="24"/>
          <w:lang w:val="es-PR"/>
        </w:rPr>
        <w:t>)</w:t>
      </w:r>
      <w:r w:rsidR="00551B48" w:rsidRPr="00CD2370">
        <w:rPr>
          <w:rFonts w:ascii="Book Antiqua" w:hAnsi="Book Antiqua"/>
          <w:sz w:val="24"/>
          <w:lang w:val="es-PR"/>
        </w:rPr>
        <w:t>. En medio del proceso de recuperación de la isla</w:t>
      </w:r>
      <w:r w:rsidR="00551B48" w:rsidRPr="00CC201F">
        <w:rPr>
          <w:rFonts w:ascii="Book Antiqua" w:hAnsi="Book Antiqua"/>
          <w:sz w:val="24"/>
          <w:lang w:val="es-PR"/>
        </w:rPr>
        <w:t xml:space="preserve">, tras el paso del huracán María, voluntarios de APH tomaron </w:t>
      </w:r>
      <w:r w:rsidR="00F2110C" w:rsidRPr="00360C32">
        <w:rPr>
          <w:rFonts w:ascii="Book Antiqua" w:hAnsi="Book Antiqua"/>
          <w:sz w:val="24"/>
          <w:lang w:val="es-PR"/>
        </w:rPr>
        <w:t>la</w:t>
      </w:r>
      <w:r w:rsidR="00F2110C">
        <w:rPr>
          <w:rFonts w:ascii="Book Antiqua" w:hAnsi="Book Antiqua"/>
          <w:sz w:val="24"/>
          <w:lang w:val="es-PR"/>
        </w:rPr>
        <w:t xml:space="preserve"> </w:t>
      </w:r>
      <w:r w:rsidR="00551B48" w:rsidRPr="00CC201F">
        <w:rPr>
          <w:rFonts w:ascii="Book Antiqua" w:hAnsi="Book Antiqua"/>
          <w:sz w:val="24"/>
          <w:lang w:val="es-PR"/>
        </w:rPr>
        <w:t xml:space="preserve">iniciativa </w:t>
      </w:r>
      <w:r w:rsidR="00CD2370" w:rsidRPr="00360C32">
        <w:rPr>
          <w:rFonts w:ascii="Book Antiqua" w:hAnsi="Book Antiqua"/>
          <w:sz w:val="24"/>
          <w:lang w:val="es-PR"/>
        </w:rPr>
        <w:t>en colaboración con varios</w:t>
      </w:r>
      <w:r w:rsidR="00CD2370">
        <w:rPr>
          <w:rFonts w:ascii="Book Antiqua" w:hAnsi="Book Antiqua"/>
          <w:sz w:val="24"/>
          <w:lang w:val="es-PR"/>
        </w:rPr>
        <w:t xml:space="preserve"> </w:t>
      </w:r>
      <w:r w:rsidR="00551B48" w:rsidRPr="00CC201F">
        <w:rPr>
          <w:rFonts w:ascii="Book Antiqua" w:hAnsi="Book Antiqua"/>
          <w:sz w:val="24"/>
          <w:lang w:val="es-PR"/>
        </w:rPr>
        <w:t>representantes de la industria para ayudar a la comunidad de condiciones de sangrado. Aun sin un programa de asistencia al paciente formalmente establecido, los voluntarios de la</w:t>
      </w:r>
      <w:r w:rsidR="006E68CE" w:rsidRPr="00360C32">
        <w:rPr>
          <w:rFonts w:ascii="Book Antiqua" w:hAnsi="Book Antiqua"/>
          <w:sz w:val="24"/>
          <w:lang w:val="es-PR"/>
        </w:rPr>
        <w:t xml:space="preserve"> APH</w:t>
      </w:r>
      <w:r w:rsidR="00551B48" w:rsidRPr="00CC201F">
        <w:rPr>
          <w:rFonts w:ascii="Book Antiqua" w:hAnsi="Book Antiqua"/>
          <w:sz w:val="24"/>
          <w:lang w:val="es-PR"/>
        </w:rPr>
        <w:t xml:space="preserve"> fueron capaces de proveer asistencia a varias familias en necesidad. La </w:t>
      </w:r>
      <w:r w:rsidR="006E68CE" w:rsidRPr="00360C32">
        <w:rPr>
          <w:rFonts w:ascii="Book Antiqua" w:hAnsi="Book Antiqua"/>
          <w:sz w:val="24"/>
          <w:lang w:val="es-PR"/>
        </w:rPr>
        <w:t xml:space="preserve">APH </w:t>
      </w:r>
      <w:r w:rsidR="00551B48" w:rsidRPr="00CC201F">
        <w:rPr>
          <w:rFonts w:ascii="Book Antiqua" w:hAnsi="Book Antiqua"/>
          <w:sz w:val="24"/>
          <w:lang w:val="es-PR"/>
        </w:rPr>
        <w:t xml:space="preserve">reconoció la necesidad de crear un programa formal y </w:t>
      </w:r>
      <w:r w:rsidR="006E68CE" w:rsidRPr="00360C32">
        <w:rPr>
          <w:rFonts w:ascii="Book Antiqua" w:hAnsi="Book Antiqua"/>
          <w:sz w:val="24"/>
          <w:lang w:val="es-PR"/>
        </w:rPr>
        <w:t>promovió</w:t>
      </w:r>
      <w:r w:rsidR="00551B48" w:rsidRPr="00360C32">
        <w:rPr>
          <w:rFonts w:ascii="Book Antiqua" w:hAnsi="Book Antiqua"/>
          <w:sz w:val="24"/>
          <w:lang w:val="es-PR"/>
        </w:rPr>
        <w:t xml:space="preserve"> </w:t>
      </w:r>
      <w:r w:rsidR="00551B48" w:rsidRPr="00CC201F">
        <w:rPr>
          <w:rFonts w:ascii="Book Antiqua" w:hAnsi="Book Antiqua"/>
          <w:sz w:val="24"/>
          <w:lang w:val="es-PR"/>
        </w:rPr>
        <w:t xml:space="preserve">la organización y a sus afiliados a crear un programa de asistencia al paciente en casos de emergencia. En </w:t>
      </w:r>
      <w:r>
        <w:rPr>
          <w:rFonts w:ascii="Book Antiqua" w:hAnsi="Book Antiqua"/>
          <w:sz w:val="24"/>
          <w:lang w:val="es-PR"/>
        </w:rPr>
        <w:t xml:space="preserve">el año </w:t>
      </w:r>
      <w:r w:rsidR="00551B48" w:rsidRPr="00CC201F">
        <w:rPr>
          <w:rFonts w:ascii="Book Antiqua" w:hAnsi="Book Antiqua"/>
          <w:sz w:val="24"/>
          <w:lang w:val="es-PR"/>
        </w:rPr>
        <w:t>2020, enfren</w:t>
      </w:r>
      <w:r w:rsidR="00704EC4">
        <w:rPr>
          <w:rFonts w:ascii="Book Antiqua" w:hAnsi="Book Antiqua"/>
          <w:sz w:val="24"/>
          <w:lang w:val="es-PR"/>
        </w:rPr>
        <w:t>tando</w:t>
      </w:r>
      <w:r w:rsidR="00551B48" w:rsidRPr="00CC201F">
        <w:rPr>
          <w:rFonts w:ascii="Book Antiqua" w:hAnsi="Book Antiqua"/>
          <w:sz w:val="24"/>
          <w:lang w:val="es-PR"/>
        </w:rPr>
        <w:t xml:space="preserve"> la pandemia del COVID-19, la</w:t>
      </w:r>
      <w:r w:rsidR="006E68CE" w:rsidRPr="006E68CE">
        <w:rPr>
          <w:rFonts w:ascii="Book Antiqua" w:hAnsi="Book Antiqua"/>
          <w:sz w:val="24"/>
          <w:lang w:val="es-PR"/>
        </w:rPr>
        <w:t xml:space="preserve"> </w:t>
      </w:r>
      <w:r w:rsidR="006E68CE" w:rsidRPr="00360C32">
        <w:rPr>
          <w:rFonts w:ascii="Book Antiqua" w:hAnsi="Book Antiqua"/>
          <w:sz w:val="24"/>
          <w:lang w:val="es-PR"/>
        </w:rPr>
        <w:t>APH</w:t>
      </w:r>
      <w:r w:rsidR="00551B48" w:rsidRPr="00CC201F">
        <w:rPr>
          <w:rFonts w:ascii="Book Antiqua" w:hAnsi="Book Antiqua"/>
          <w:sz w:val="24"/>
          <w:lang w:val="es-PR"/>
        </w:rPr>
        <w:t xml:space="preserve"> inició un programa de ayuda financiera de emergencia</w:t>
      </w:r>
      <w:r>
        <w:rPr>
          <w:rFonts w:ascii="Book Antiqua" w:hAnsi="Book Antiqua"/>
          <w:sz w:val="24"/>
          <w:lang w:val="es-PR"/>
        </w:rPr>
        <w:t xml:space="preserve"> en Puerto Rico</w:t>
      </w:r>
      <w:r w:rsidR="00551B48" w:rsidRPr="00CC201F">
        <w:rPr>
          <w:rFonts w:ascii="Book Antiqua" w:hAnsi="Book Antiqua"/>
          <w:sz w:val="24"/>
          <w:lang w:val="es-PR"/>
        </w:rPr>
        <w:t xml:space="preserve"> para aliviar el sufrimiento de familias durante esta crisis de salud.</w:t>
      </w:r>
    </w:p>
    <w:p w14:paraId="114CA548" w14:textId="77777777" w:rsidR="008201CB" w:rsidRDefault="008201CB" w:rsidP="008201CB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lang w:val="es-PR"/>
        </w:rPr>
      </w:pPr>
    </w:p>
    <w:p w14:paraId="658568FE" w14:textId="50E58C85" w:rsidR="00551B48" w:rsidRDefault="00551B48" w:rsidP="008201CB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lang w:val="es-PR"/>
        </w:rPr>
      </w:pPr>
      <w:r w:rsidRPr="00CC201F">
        <w:rPr>
          <w:rFonts w:ascii="Book Antiqua" w:hAnsi="Book Antiqua"/>
          <w:sz w:val="24"/>
          <w:lang w:val="es-PR"/>
        </w:rPr>
        <w:t xml:space="preserve">Su compromiso con Puerto Rico y los pacientes ciertamente es inigualable, son una red de apoyo que se encarga de educar </w:t>
      </w:r>
      <w:r w:rsidR="00360C32" w:rsidRPr="00CC201F">
        <w:rPr>
          <w:rFonts w:ascii="Book Antiqua" w:hAnsi="Book Antiqua"/>
          <w:sz w:val="24"/>
          <w:lang w:val="es-PR"/>
        </w:rPr>
        <w:t xml:space="preserve">y </w:t>
      </w:r>
      <w:r w:rsidR="00360C32">
        <w:rPr>
          <w:rFonts w:ascii="Book Antiqua" w:hAnsi="Book Antiqua"/>
          <w:sz w:val="24"/>
          <w:lang w:val="es-PR"/>
        </w:rPr>
        <w:t>promover</w:t>
      </w:r>
      <w:r w:rsidR="006E68CE" w:rsidRPr="00360C32">
        <w:rPr>
          <w:rFonts w:ascii="Book Antiqua" w:hAnsi="Book Antiqua"/>
          <w:sz w:val="24"/>
          <w:lang w:val="es-PR"/>
        </w:rPr>
        <w:t xml:space="preserve"> el apoderamiento</w:t>
      </w:r>
      <w:r w:rsidRPr="00360C32">
        <w:rPr>
          <w:rFonts w:ascii="Book Antiqua" w:hAnsi="Book Antiqua"/>
          <w:sz w:val="24"/>
          <w:lang w:val="es-PR"/>
        </w:rPr>
        <w:t xml:space="preserve"> </w:t>
      </w:r>
      <w:r w:rsidRPr="00CC201F">
        <w:rPr>
          <w:rFonts w:ascii="Book Antiqua" w:hAnsi="Book Antiqua"/>
          <w:sz w:val="24"/>
          <w:lang w:val="es-PR"/>
        </w:rPr>
        <w:t>a sus pacientes para que puedan abogar y exigir una atención médica de excelencia con el fin de proveer una mejor calidad de vida. La</w:t>
      </w:r>
      <w:r w:rsidR="006E68CE" w:rsidRPr="006E68CE">
        <w:rPr>
          <w:rFonts w:ascii="Book Antiqua" w:hAnsi="Book Antiqua"/>
          <w:sz w:val="24"/>
          <w:lang w:val="es-PR"/>
        </w:rPr>
        <w:t xml:space="preserve"> </w:t>
      </w:r>
      <w:r w:rsidR="006E68CE" w:rsidRPr="00360C32">
        <w:rPr>
          <w:rFonts w:ascii="Book Antiqua" w:hAnsi="Book Antiqua"/>
          <w:sz w:val="24"/>
          <w:lang w:val="es-PR"/>
        </w:rPr>
        <w:t>APH</w:t>
      </w:r>
      <w:r w:rsidRPr="00CC201F">
        <w:rPr>
          <w:rFonts w:ascii="Book Antiqua" w:hAnsi="Book Antiqua"/>
          <w:sz w:val="24"/>
          <w:lang w:val="es-PR"/>
        </w:rPr>
        <w:t xml:space="preserve"> ofrece asistencia con los aspectos administrativos del plan de salud; educación de pacientes acerca de su condición y medicamentos; proveen información de planes de asistencia financiera; y dan seguimiento a los pacientes y los médicos. </w:t>
      </w:r>
      <w:r w:rsidR="006B42D4">
        <w:rPr>
          <w:rFonts w:ascii="Book Antiqua" w:hAnsi="Book Antiqua"/>
          <w:sz w:val="24"/>
          <w:lang w:val="es-PR"/>
        </w:rPr>
        <w:t xml:space="preserve"> </w:t>
      </w:r>
    </w:p>
    <w:p w14:paraId="6B5C636C" w14:textId="77777777" w:rsidR="008201CB" w:rsidRPr="00CC201F" w:rsidRDefault="008201CB" w:rsidP="008201CB">
      <w:pPr>
        <w:suppressLineNumbers/>
        <w:spacing w:after="0" w:line="240" w:lineRule="auto"/>
        <w:ind w:firstLine="720"/>
        <w:jc w:val="both"/>
        <w:rPr>
          <w:rFonts w:ascii="Book Antiqua" w:hAnsi="Book Antiqua"/>
          <w:sz w:val="24"/>
          <w:lang w:val="es-PR"/>
        </w:rPr>
      </w:pPr>
    </w:p>
    <w:p w14:paraId="4A19D87A" w14:textId="7EF5A830" w:rsidR="00551B48" w:rsidRPr="008201CB" w:rsidRDefault="00551B48" w:rsidP="008201CB">
      <w:pPr>
        <w:keepNext/>
        <w:suppressLineNumbers/>
        <w:spacing w:after="0" w:line="480" w:lineRule="auto"/>
        <w:jc w:val="both"/>
        <w:outlineLvl w:val="0"/>
        <w:rPr>
          <w:rFonts w:ascii="Book Antiqua" w:eastAsia="Times New Roman" w:hAnsi="Book Antiqua"/>
          <w:bCs/>
          <w:i/>
          <w:iCs/>
          <w:sz w:val="24"/>
          <w:szCs w:val="20"/>
          <w:lang w:val="es-ES_tradnl"/>
        </w:rPr>
      </w:pPr>
      <w:r w:rsidRPr="008201CB">
        <w:rPr>
          <w:rFonts w:ascii="Book Antiqua" w:eastAsia="Times New Roman" w:hAnsi="Book Antiqua"/>
          <w:bCs/>
          <w:i/>
          <w:iCs/>
          <w:sz w:val="24"/>
          <w:szCs w:val="20"/>
          <w:lang w:val="es-ES_tradnl"/>
        </w:rPr>
        <w:lastRenderedPageBreak/>
        <w:t>DECRÉTASE POR LA ASAMBLEA LEGISLATIVA DE PUERTO RICO</w:t>
      </w:r>
      <w:r w:rsidR="008201CB">
        <w:rPr>
          <w:rFonts w:ascii="Book Antiqua" w:eastAsia="Times New Roman" w:hAnsi="Book Antiqua"/>
          <w:bCs/>
          <w:i/>
          <w:iCs/>
          <w:sz w:val="24"/>
          <w:szCs w:val="20"/>
          <w:lang w:val="es-ES_tradnl"/>
        </w:rPr>
        <w:t>:</w:t>
      </w:r>
    </w:p>
    <w:p w14:paraId="5C9291FE" w14:textId="77777777" w:rsidR="00360C32" w:rsidRPr="00360C32" w:rsidRDefault="004100C4" w:rsidP="00360C32">
      <w:pPr>
        <w:shd w:val="clear" w:color="auto" w:fill="FFFFFF"/>
        <w:spacing w:after="0" w:line="480" w:lineRule="auto"/>
        <w:ind w:firstLine="562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Artículo 1.- </w:t>
      </w:r>
      <w:r w:rsidR="00360C32"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>Se crea el Registro de Personas con Trastornos Sanguíneos y/o</w:t>
      </w:r>
    </w:p>
    <w:p w14:paraId="7DF796A9" w14:textId="77777777" w:rsidR="004100C4" w:rsidRPr="004B7F39" w:rsidRDefault="00360C32" w:rsidP="00360C32">
      <w:pPr>
        <w:shd w:val="clear" w:color="auto" w:fill="FFFFFF"/>
        <w:spacing w:after="0" w:line="48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Condiciones Sanguíneas, adscrito al Departamento de Salud del </w:t>
      </w:r>
      <w:r w:rsidR="00F438F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Gobierno </w:t>
      </w:r>
      <w:r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>de Puerto Rico (en adelante, “el Departamento”).</w:t>
      </w:r>
    </w:p>
    <w:p w14:paraId="1E5BC5FC" w14:textId="77777777" w:rsidR="00360C32" w:rsidRPr="00360C32" w:rsidRDefault="004100C4" w:rsidP="00360C32">
      <w:pPr>
        <w:shd w:val="clear" w:color="auto" w:fill="FFFFFF"/>
        <w:spacing w:after="0" w:line="480" w:lineRule="auto"/>
        <w:ind w:firstLine="562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Artículo 2.- </w:t>
      </w:r>
      <w:r w:rsidR="00360C32"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>Todos los médicos licenciados autorizados a ejercer en Puerto Rico que</w:t>
      </w:r>
    </w:p>
    <w:p w14:paraId="41C7204D" w14:textId="77777777" w:rsidR="004100C4" w:rsidRPr="00360C32" w:rsidRDefault="00360C32" w:rsidP="00360C32">
      <w:pPr>
        <w:shd w:val="clear" w:color="auto" w:fill="FFFFFF"/>
        <w:spacing w:after="0" w:line="48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>diagnostiquen un caso nuevo o en tratamiento por trastornos sanguíneos y/o</w:t>
      </w:r>
      <w:r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</w:t>
      </w:r>
      <w:r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>condiciones sanguíneas están obligados a notificar trimestralmente al Registro,</w:t>
      </w:r>
      <w:r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</w:t>
      </w:r>
      <w:r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>luego de obtener el consentimiento del paciente, conforme a la “</w:t>
      </w:r>
      <w:proofErr w:type="spellStart"/>
      <w:r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>Health</w:t>
      </w:r>
      <w:proofErr w:type="spellEnd"/>
      <w:r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</w:t>
      </w:r>
      <w:proofErr w:type="spellStart"/>
      <w:r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>Insurance</w:t>
      </w:r>
      <w:proofErr w:type="spellEnd"/>
      <w:r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</w:t>
      </w:r>
      <w:proofErr w:type="spellStart"/>
      <w:r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>Portability</w:t>
      </w:r>
      <w:proofErr w:type="spellEnd"/>
      <w:r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and </w:t>
      </w:r>
      <w:proofErr w:type="spellStart"/>
      <w:r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>Accountability</w:t>
      </w:r>
      <w:proofErr w:type="spellEnd"/>
      <w:r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</w:t>
      </w:r>
      <w:proofErr w:type="spellStart"/>
      <w:r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>Act</w:t>
      </w:r>
      <w:proofErr w:type="spellEnd"/>
      <w:r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(</w:t>
      </w:r>
      <w:r w:rsidR="006B42D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en adelante, </w:t>
      </w:r>
      <w:r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HIPAA) </w:t>
      </w:r>
      <w:proofErr w:type="spellStart"/>
      <w:r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>of</w:t>
      </w:r>
      <w:proofErr w:type="spellEnd"/>
      <w:r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1996” (</w:t>
      </w:r>
      <w:proofErr w:type="spellStart"/>
      <w:r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>Public</w:t>
      </w:r>
      <w:proofErr w:type="spellEnd"/>
      <w:r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</w:t>
      </w:r>
      <w:proofErr w:type="spellStart"/>
      <w:r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>Law</w:t>
      </w:r>
      <w:proofErr w:type="spellEnd"/>
      <w:r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104-191).</w:t>
      </w:r>
    </w:p>
    <w:p w14:paraId="0F2EF5F4" w14:textId="77777777" w:rsidR="00360C32" w:rsidRPr="00360C32" w:rsidRDefault="004100C4" w:rsidP="00360C32">
      <w:pPr>
        <w:shd w:val="clear" w:color="auto" w:fill="FFFFFF"/>
        <w:spacing w:after="0" w:line="480" w:lineRule="auto"/>
        <w:ind w:firstLine="562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>Artículo 3.-</w:t>
      </w:r>
      <w:r w:rsid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</w:t>
      </w:r>
      <w:r w:rsidR="00360C32"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>Las instalaciones de servicios de salud donde se realicen pruebas para</w:t>
      </w:r>
    </w:p>
    <w:p w14:paraId="179E4C2A" w14:textId="77777777" w:rsidR="004100C4" w:rsidRPr="004B7F39" w:rsidRDefault="00D65470" w:rsidP="00360C32">
      <w:pPr>
        <w:shd w:val="clear" w:color="auto" w:fill="FFFFFF"/>
        <w:spacing w:after="0" w:line="480" w:lineRule="auto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>el diagnóstico de trastornos sanguíneos deberá</w:t>
      </w:r>
      <w:r w:rsidR="00360C32"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notificar trimestralmente al</w:t>
      </w:r>
      <w:r w:rsid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</w:t>
      </w:r>
      <w:r w:rsidR="00360C32"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>Registro, a partir de la fecha de los resultados positivos, obteniendo también el</w:t>
      </w:r>
      <w:r w:rsid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</w:t>
      </w:r>
      <w:r w:rsidR="00360C32" w:rsidRPr="00360C32">
        <w:rPr>
          <w:rFonts w:ascii="Book Antiqua" w:eastAsia="Times New Roman" w:hAnsi="Book Antiqua"/>
          <w:color w:val="000000"/>
          <w:sz w:val="24"/>
          <w:szCs w:val="24"/>
          <w:lang w:val="es-PR"/>
        </w:rPr>
        <w:t>consentimiento del paciente.</w:t>
      </w:r>
    </w:p>
    <w:p w14:paraId="2EDC956A" w14:textId="77777777" w:rsidR="00D65470" w:rsidRDefault="00D65470" w:rsidP="00AF595E">
      <w:pPr>
        <w:shd w:val="clear" w:color="auto" w:fill="FFFFFF"/>
        <w:spacing w:after="0" w:line="480" w:lineRule="auto"/>
        <w:ind w:firstLine="562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D65470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Artículo </w:t>
      </w:r>
      <w:r>
        <w:rPr>
          <w:rFonts w:ascii="Book Antiqua" w:eastAsia="Times New Roman" w:hAnsi="Book Antiqua"/>
          <w:color w:val="000000"/>
          <w:sz w:val="24"/>
          <w:szCs w:val="24"/>
          <w:lang w:val="es-PR"/>
        </w:rPr>
        <w:t>4.</w:t>
      </w:r>
      <w:r w:rsidRPr="00D65470">
        <w:rPr>
          <w:rFonts w:ascii="Book Antiqua" w:eastAsia="Times New Roman" w:hAnsi="Book Antiqua"/>
          <w:color w:val="000000"/>
          <w:sz w:val="24"/>
          <w:szCs w:val="24"/>
          <w:lang w:val="es-PR"/>
        </w:rPr>
        <w:t>- Cualquier información personal que permita la identificación de los pacientes que se presente en los informes de los casos notificados al Registro de Personas con Trastornos Sanguíneos y/o Condiciones Sanguíneas del Departamento en virtud de esta Ley, serán confidenciales, según establecido en la (HIPPA)</w:t>
      </w:r>
      <w:r w:rsidR="006B42D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. </w:t>
      </w:r>
      <w:r w:rsidRPr="00D65470">
        <w:rPr>
          <w:rFonts w:ascii="Book Antiqua" w:eastAsia="Times New Roman" w:hAnsi="Book Antiqua"/>
          <w:color w:val="000000"/>
          <w:sz w:val="24"/>
          <w:szCs w:val="24"/>
          <w:lang w:val="es-PR"/>
        </w:rPr>
        <w:t>Disponiéndose que solo los datos que no posean información personal, según la (HIPPA)</w:t>
      </w:r>
      <w:r w:rsidR="006B42D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, </w:t>
      </w:r>
      <w:r w:rsidRPr="00D65470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podrán ser utilizados en estudios epidemiológicos, estadísticos, investigaciones científicas y fines educativos, siempre y cuando no se divulgue la identidad del paciente.  Todas las personas que tengan acceso a la información personal que permita la identificación de los pacientes que posea el Registro, ya sean empleados o colaboradores que laboren o aporten en el </w:t>
      </w:r>
      <w:r w:rsidRPr="00D65470">
        <w:rPr>
          <w:rFonts w:ascii="Book Antiqua" w:eastAsia="Times New Roman" w:hAnsi="Book Antiqua"/>
          <w:color w:val="000000"/>
          <w:sz w:val="24"/>
          <w:szCs w:val="24"/>
          <w:lang w:val="es-PR"/>
        </w:rPr>
        <w:lastRenderedPageBreak/>
        <w:t>funcionamiento del Registro creado al amparo de esta Ley, y todos los investigadores que tengan acceso a dichos datos, deberán firmar acuerdos de confidencialidad bajo los cuales serán legalmente responsables por cualquier brecha en la confidencialidad. Estos acuerdos continuarán vigentes, aun después de que el empleado, colaborador o investigador haya concluido su relación con el Registro.</w:t>
      </w:r>
    </w:p>
    <w:p w14:paraId="5F5CD926" w14:textId="77777777" w:rsidR="004100C4" w:rsidRPr="004B7F39" w:rsidRDefault="004100C4" w:rsidP="00AF595E">
      <w:pPr>
        <w:shd w:val="clear" w:color="auto" w:fill="FFFFFF"/>
        <w:spacing w:after="0" w:line="480" w:lineRule="auto"/>
        <w:ind w:firstLine="562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CC201F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Artículo </w:t>
      </w:r>
      <w:r w:rsidR="00D65470">
        <w:rPr>
          <w:rFonts w:ascii="Book Antiqua" w:eastAsia="Times New Roman" w:hAnsi="Book Antiqua"/>
          <w:color w:val="000000"/>
          <w:sz w:val="24"/>
          <w:szCs w:val="24"/>
          <w:lang w:val="es-PR"/>
        </w:rPr>
        <w:t>5</w:t>
      </w:r>
      <w:r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.- Los informes se notificarán al Registro de Personas con </w:t>
      </w:r>
      <w:r w:rsidR="003F50D0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Trastornos Sanguíneos y/o Condiciones Sanguíneas</w:t>
      </w:r>
      <w:r w:rsidRPr="00CC201F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 </w:t>
      </w:r>
      <w:r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>del Departamento, electrónica o manualmente, mediante reportes diseñados por el Departamento, los cuales contendrán aquella información necesaria para el estudio y seguimiento de estos casos.</w:t>
      </w:r>
    </w:p>
    <w:p w14:paraId="08037840" w14:textId="77777777" w:rsidR="004100C4" w:rsidRPr="004B7F39" w:rsidRDefault="00CC201F" w:rsidP="00AF595E">
      <w:pPr>
        <w:shd w:val="clear" w:color="auto" w:fill="FFFFFF"/>
        <w:spacing w:after="0" w:line="480" w:lineRule="auto"/>
        <w:ind w:firstLine="562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CC201F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Artículo </w:t>
      </w:r>
      <w:r w:rsidR="004100C4"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6.- El Registro de Personas con </w:t>
      </w:r>
      <w:r w:rsidR="003F50D0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Trastornos Sanguíneos y/o Condiciones Sanguíneas</w:t>
      </w:r>
      <w:r w:rsidR="004100C4" w:rsidRPr="00CC201F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 </w:t>
      </w:r>
      <w:r w:rsidR="004100C4"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del Departamento tendrá a su cargo establecer y continuar en el Registro los casos de </w:t>
      </w:r>
      <w:r w:rsid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t</w:t>
      </w:r>
      <w:r w:rsidR="003F50D0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rastornos </w:t>
      </w:r>
      <w:r w:rsid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s</w:t>
      </w:r>
      <w:r w:rsidR="003F50D0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anguíneos y/o </w:t>
      </w:r>
      <w:r w:rsid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c</w:t>
      </w:r>
      <w:r w:rsidR="003F50D0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ondiciones </w:t>
      </w:r>
      <w:r w:rsid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s</w:t>
      </w:r>
      <w:r w:rsidR="003F50D0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anguíneas</w:t>
      </w:r>
      <w:r w:rsidR="004100C4"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. El Registro de Personas con </w:t>
      </w:r>
      <w:r w:rsid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T</w:t>
      </w:r>
      <w:r w:rsidR="003F50D0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rastornos </w:t>
      </w:r>
      <w:r w:rsid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S</w:t>
      </w:r>
      <w:r w:rsidR="003F50D0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anguíneos y/o </w:t>
      </w:r>
      <w:r w:rsid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C</w:t>
      </w:r>
      <w:r w:rsidR="003F50D0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ondiciones </w:t>
      </w:r>
      <w:r w:rsid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S</w:t>
      </w:r>
      <w:r w:rsidR="003F50D0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anguíneas</w:t>
      </w:r>
      <w:r w:rsidR="004100C4" w:rsidRPr="00CC201F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 </w:t>
      </w:r>
      <w:r w:rsidR="004100C4"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>del Departamento podrá solicitar y obtener de los médicos, laboratorios o facilidades públicas o privadas cualquier información pertinente relacionada con el seguimiento de estos casos, siempre y cuando se obtenga el consentimiento del paciente, según la HIPPA</w:t>
      </w:r>
      <w:r w:rsidR="006B42D4">
        <w:rPr>
          <w:rFonts w:ascii="Book Antiqua" w:eastAsia="Times New Roman" w:hAnsi="Book Antiqua"/>
          <w:color w:val="000000"/>
          <w:sz w:val="24"/>
          <w:szCs w:val="24"/>
          <w:lang w:val="es-PR"/>
        </w:rPr>
        <w:t>.</w:t>
      </w:r>
    </w:p>
    <w:p w14:paraId="0828E2E1" w14:textId="77777777" w:rsidR="004100C4" w:rsidRPr="004B7F39" w:rsidRDefault="00CC201F" w:rsidP="00AF595E">
      <w:pPr>
        <w:shd w:val="clear" w:color="auto" w:fill="FFFFFF"/>
        <w:spacing w:after="0" w:line="480" w:lineRule="auto"/>
        <w:ind w:firstLine="562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CC201F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Artículo </w:t>
      </w:r>
      <w:r w:rsidR="004100C4" w:rsidRPr="004100C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7.- El Registro de </w:t>
      </w:r>
      <w:r w:rsidR="004100C4"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Personas con </w:t>
      </w:r>
      <w:r w:rsid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T</w:t>
      </w:r>
      <w:r w:rsidR="003F50D0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rastornos </w:t>
      </w:r>
      <w:r w:rsid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S</w:t>
      </w:r>
      <w:r w:rsidR="003F50D0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anguíneos y/o </w:t>
      </w:r>
      <w:r w:rsid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C</w:t>
      </w:r>
      <w:r w:rsidR="003F50D0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ondiciones </w:t>
      </w:r>
      <w:r w:rsid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S</w:t>
      </w:r>
      <w:r w:rsidR="003F50D0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anguíneas</w:t>
      </w:r>
      <w:r w:rsidR="004100C4" w:rsidRPr="00CC201F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 </w:t>
      </w:r>
      <w:r w:rsidR="004100C4"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>establecido al amparo de esta Ley</w:t>
      </w:r>
      <w:r w:rsidR="004100C4" w:rsidRPr="004100C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 </w:t>
      </w:r>
      <w:r w:rsidR="004100C4" w:rsidRPr="000A36F9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rendirá informes trimestrales </w:t>
      </w:r>
      <w:r w:rsidR="006511BF" w:rsidRPr="00D65470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de datos estadísticos</w:t>
      </w:r>
      <w:r w:rsidR="001553AF" w:rsidRPr="00D65470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 sobre</w:t>
      </w:r>
      <w:r w:rsidR="006511BF" w:rsidRPr="00D65470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 </w:t>
      </w:r>
      <w:r w:rsidR="004100C4" w:rsidRPr="00D65470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de </w:t>
      </w:r>
      <w:r w:rsidR="004100C4" w:rsidRPr="004100C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los casos de </w:t>
      </w:r>
      <w:r w:rsid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t</w:t>
      </w:r>
      <w:r w:rsidR="003F50D0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rastornos </w:t>
      </w:r>
      <w:r w:rsid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s</w:t>
      </w:r>
      <w:r w:rsidR="003F50D0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anguíneos y/o </w:t>
      </w:r>
      <w:r w:rsid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c</w:t>
      </w:r>
      <w:r w:rsidR="003F50D0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ondiciones </w:t>
      </w:r>
      <w:r w:rsid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s</w:t>
      </w:r>
      <w:r w:rsidR="003F50D0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anguíneas</w:t>
      </w:r>
      <w:r w:rsidR="004100C4" w:rsidRPr="00CC201F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 </w:t>
      </w:r>
      <w:r w:rsidR="004100C4" w:rsidRPr="004100C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registrad</w:t>
      </w:r>
      <w:r w:rsidR="003F50D0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a</w:t>
      </w:r>
      <w:r w:rsidR="004100C4" w:rsidRPr="004100C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s.</w:t>
      </w:r>
    </w:p>
    <w:p w14:paraId="23948AFC" w14:textId="77777777" w:rsidR="004100C4" w:rsidRPr="004B7F39" w:rsidRDefault="00CC201F" w:rsidP="00AF595E">
      <w:pPr>
        <w:shd w:val="clear" w:color="auto" w:fill="FFFFFF"/>
        <w:spacing w:after="0" w:line="480" w:lineRule="auto"/>
        <w:ind w:firstLine="567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CC201F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Artículo 8.- El</w:t>
      </w:r>
      <w:r w:rsidR="00D65470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 </w:t>
      </w:r>
      <w:proofErr w:type="gramStart"/>
      <w:r w:rsidR="004100C4" w:rsidRPr="004100C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Secretario</w:t>
      </w:r>
      <w:proofErr w:type="gramEnd"/>
      <w:r w:rsidR="00D65470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 </w:t>
      </w:r>
      <w:r w:rsidR="004100C4" w:rsidRPr="004100C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de Salud establecerá aquellas reglas y reglamentos que sean necesarios para el cumplimiento efectivo de esta Ley.  </w:t>
      </w:r>
      <w:r w:rsidR="004100C4"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Para esto, el Departamento </w:t>
      </w:r>
      <w:r w:rsidR="004100C4"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lastRenderedPageBreak/>
        <w:t>realizará</w:t>
      </w:r>
      <w:r w:rsidR="004100C4" w:rsidRPr="004100C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 acuerdos colaborativos con </w:t>
      </w:r>
      <w:r w:rsidRPr="00CC201F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organizaciones pertinentes</w:t>
      </w:r>
      <w:r w:rsidR="004100C4" w:rsidRPr="004100C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 de </w:t>
      </w:r>
      <w:r w:rsidR="004100C4" w:rsidRPr="00CC201F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Hemofilia </w:t>
      </w:r>
      <w:r w:rsidR="004100C4" w:rsidRPr="004100C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de Puerto Rico</w:t>
      </w:r>
      <w:r w:rsidR="006B42D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,</w:t>
      </w:r>
      <w:r w:rsidR="004100C4" w:rsidRPr="004100C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 para establecer las reglas en las cuales se le dará la autoridad para impl</w:t>
      </w:r>
      <w:r w:rsidR="006B42D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ementar</w:t>
      </w:r>
      <w:r w:rsidR="004100C4" w:rsidRPr="004100C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, operar y mantener con el Departamento del funcionamiento de dicho Registro.</w:t>
      </w:r>
    </w:p>
    <w:p w14:paraId="14A4B6B2" w14:textId="77777777" w:rsidR="00526D3E" w:rsidRDefault="00CC201F" w:rsidP="00AF595E">
      <w:pPr>
        <w:shd w:val="clear" w:color="auto" w:fill="FFFFFF"/>
        <w:spacing w:after="0" w:line="480" w:lineRule="auto"/>
        <w:ind w:firstLine="562"/>
        <w:jc w:val="both"/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</w:pPr>
      <w:r w:rsidRPr="00CC201F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Artículo 9.-</w:t>
      </w:r>
      <w:r w:rsidR="007D3F7B" w:rsidRPr="007D3F7B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 </w:t>
      </w:r>
      <w:r w:rsidR="00526D3E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Violaciones y Penalidades </w:t>
      </w:r>
    </w:p>
    <w:p w14:paraId="0E0199A4" w14:textId="77777777" w:rsidR="004100C4" w:rsidRPr="004B7F39" w:rsidRDefault="00526D3E" w:rsidP="00AF595E">
      <w:pPr>
        <w:shd w:val="clear" w:color="auto" w:fill="FFFFFF"/>
        <w:spacing w:after="0" w:line="480" w:lineRule="auto"/>
        <w:ind w:firstLine="562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 </w:t>
      </w:r>
      <w:r w:rsidR="007D3F7B" w:rsidRPr="00CC201F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El</w:t>
      </w:r>
      <w:r w:rsidR="00D65470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 </w:t>
      </w:r>
      <w:proofErr w:type="gramStart"/>
      <w:r w:rsidR="007D3F7B" w:rsidRPr="004100C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Secretario</w:t>
      </w:r>
      <w:proofErr w:type="gramEnd"/>
      <w:r w:rsidR="00D65470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 </w:t>
      </w:r>
      <w:r w:rsidR="007D3F7B" w:rsidRPr="004100C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de Salud </w:t>
      </w:r>
      <w:r w:rsidR="004100C4" w:rsidRPr="004100C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podrá imponer una multa, que no excederá de quinientos dólares ($500.00) por cada violación, a toda persona</w:t>
      </w:r>
      <w:r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 natural o jurídica,</w:t>
      </w:r>
      <w:r w:rsidR="004100C4" w:rsidRPr="004100C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 o institución que viole las disposiciones de esta Ley </w:t>
      </w:r>
      <w:r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y/</w:t>
      </w:r>
      <w:r w:rsidR="004100C4" w:rsidRPr="004100C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o sus reglamentos</w:t>
      </w:r>
      <w:r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 con conocimiento o temerariamente.</w:t>
      </w:r>
      <w:r w:rsidR="004100C4" w:rsidRPr="004100C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 </w:t>
      </w:r>
      <w:r w:rsidR="00723BD5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De igual forma, el tribunal podrá</w:t>
      </w:r>
      <w:r w:rsidR="006B42D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 </w:t>
      </w:r>
      <w:r w:rsidR="00723BD5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sancionar a</w:t>
      </w:r>
      <w:r w:rsidR="004100C4" w:rsidRPr="004100C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 </w:t>
      </w:r>
      <w:r w:rsidR="00723BD5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t</w:t>
      </w:r>
      <w:r w:rsidR="004100C4"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oda persona </w:t>
      </w:r>
      <w:r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natural o jurídica </w:t>
      </w:r>
      <w:r w:rsidR="004100C4"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que brinde información falsa </w:t>
      </w:r>
      <w:r w:rsidR="00F438F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o manipule </w:t>
      </w:r>
      <w:r w:rsidR="004100C4"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al Registro con pena de reclusión </w:t>
      </w:r>
      <w:r>
        <w:rPr>
          <w:rFonts w:ascii="Book Antiqua" w:eastAsia="Times New Roman" w:hAnsi="Book Antiqua"/>
          <w:color w:val="000000"/>
          <w:sz w:val="24"/>
          <w:szCs w:val="24"/>
          <w:lang w:val="es-PR"/>
        </w:rPr>
        <w:t>que no excederá de seis</w:t>
      </w:r>
      <w:r w:rsidR="004100C4"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(</w:t>
      </w:r>
      <w:r>
        <w:rPr>
          <w:rFonts w:ascii="Book Antiqua" w:eastAsia="Times New Roman" w:hAnsi="Book Antiqua"/>
          <w:color w:val="000000"/>
          <w:sz w:val="24"/>
          <w:szCs w:val="24"/>
          <w:lang w:val="es-PR"/>
        </w:rPr>
        <w:t>6</w:t>
      </w:r>
      <w:r w:rsidR="004100C4"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) </w:t>
      </w:r>
      <w:r>
        <w:rPr>
          <w:rFonts w:ascii="Book Antiqua" w:eastAsia="Times New Roman" w:hAnsi="Book Antiqua"/>
          <w:color w:val="000000"/>
          <w:sz w:val="24"/>
          <w:szCs w:val="24"/>
          <w:lang w:val="es-PR"/>
        </w:rPr>
        <w:t>mese</w:t>
      </w:r>
      <w:r w:rsidR="004100C4"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>s</w:t>
      </w:r>
      <w:r>
        <w:rPr>
          <w:rFonts w:ascii="Book Antiqua" w:eastAsia="Times New Roman" w:hAnsi="Book Antiqua"/>
          <w:color w:val="000000"/>
          <w:sz w:val="24"/>
          <w:szCs w:val="24"/>
          <w:lang w:val="es-PR"/>
        </w:rPr>
        <w:t>,</w:t>
      </w:r>
      <w:r w:rsidR="00F438F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una multa de hasta </w:t>
      </w:r>
      <w:r>
        <w:rPr>
          <w:rFonts w:ascii="Book Antiqua" w:eastAsia="Times New Roman" w:hAnsi="Book Antiqua"/>
          <w:color w:val="000000"/>
          <w:sz w:val="24"/>
          <w:szCs w:val="24"/>
          <w:lang w:val="es-PR"/>
        </w:rPr>
        <w:t>cinco</w:t>
      </w:r>
      <w:r w:rsidR="00F438F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mil dólares ($</w:t>
      </w:r>
      <w:r>
        <w:rPr>
          <w:rFonts w:ascii="Book Antiqua" w:eastAsia="Times New Roman" w:hAnsi="Book Antiqua"/>
          <w:color w:val="000000"/>
          <w:sz w:val="24"/>
          <w:szCs w:val="24"/>
          <w:lang w:val="es-PR"/>
        </w:rPr>
        <w:t>5</w:t>
      </w:r>
      <w:r w:rsidR="00F438F4">
        <w:rPr>
          <w:rFonts w:ascii="Book Antiqua" w:eastAsia="Times New Roman" w:hAnsi="Book Antiqua"/>
          <w:color w:val="000000"/>
          <w:sz w:val="24"/>
          <w:szCs w:val="24"/>
          <w:lang w:val="es-PR"/>
        </w:rPr>
        <w:t>,000)</w:t>
      </w:r>
      <w:r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o ambas penas a discreción </w:t>
      </w:r>
      <w:r w:rsidR="00621042">
        <w:rPr>
          <w:rFonts w:ascii="Book Antiqua" w:eastAsia="Times New Roman" w:hAnsi="Book Antiqua"/>
          <w:color w:val="000000"/>
          <w:sz w:val="24"/>
          <w:szCs w:val="24"/>
          <w:lang w:val="es-PR"/>
        </w:rPr>
        <w:t>de</w:t>
      </w:r>
      <w:r w:rsidR="006B42D4">
        <w:rPr>
          <w:rFonts w:ascii="Book Antiqua" w:eastAsia="Times New Roman" w:hAnsi="Book Antiqua"/>
          <w:color w:val="000000"/>
          <w:sz w:val="24"/>
          <w:szCs w:val="24"/>
          <w:lang w:val="es-PR"/>
        </w:rPr>
        <w:t>l tribunal.</w:t>
      </w:r>
    </w:p>
    <w:p w14:paraId="6E6FED49" w14:textId="77777777" w:rsidR="004100C4" w:rsidRPr="004B7F39" w:rsidRDefault="00CC201F" w:rsidP="00AF595E">
      <w:pPr>
        <w:shd w:val="clear" w:color="auto" w:fill="FFFFFF"/>
        <w:spacing w:after="0" w:line="480" w:lineRule="auto"/>
        <w:ind w:firstLine="562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CC201F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Artículo 10</w:t>
      </w:r>
      <w:r w:rsidR="004100C4" w:rsidRPr="004100C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.- </w:t>
      </w:r>
      <w:r w:rsidR="007D3F7B" w:rsidRPr="00CC201F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El</w:t>
      </w:r>
      <w:r w:rsidR="00D65470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 </w:t>
      </w:r>
      <w:proofErr w:type="gramStart"/>
      <w:r w:rsidR="007D3F7B" w:rsidRPr="004100C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Secretario</w:t>
      </w:r>
      <w:proofErr w:type="gramEnd"/>
      <w:r w:rsidR="007D3F7B" w:rsidRPr="004100C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 de Salud </w:t>
      </w:r>
      <w:r w:rsidR="004100C4" w:rsidRPr="004100C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deberá realizar gestiones afirmativas, descansando en los datos recopilados en el Registro </w:t>
      </w:r>
      <w:r w:rsidR="004100C4"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de Personas con </w:t>
      </w:r>
      <w:r w:rsid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T</w:t>
      </w:r>
      <w:r w:rsidR="003F50D0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rastornos </w:t>
      </w:r>
      <w:r w:rsid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S</w:t>
      </w:r>
      <w:r w:rsidR="003F50D0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anguíneos y/o </w:t>
      </w:r>
      <w:r w:rsid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C</w:t>
      </w:r>
      <w:r w:rsidR="003F50D0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ondiciones </w:t>
      </w:r>
      <w:r w:rsid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S</w:t>
      </w:r>
      <w:r w:rsidR="003F50D0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anguíneas</w:t>
      </w:r>
      <w:r w:rsidR="004100C4"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del Departamento de Salud,</w:t>
      </w:r>
      <w:r w:rsidR="004100C4" w:rsidRPr="004100C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 para asegurar la obtención de fondos federales que brinden alternativas de tratamiento, educación, estudios e investigación o propósitos afines a los casos de</w:t>
      </w:r>
      <w:r w:rsidR="006B42D4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 los </w:t>
      </w:r>
      <w:r w:rsidR="00A30F12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trastornos sanguíneos y/o condiciones sanguíneas.</w:t>
      </w:r>
    </w:p>
    <w:p w14:paraId="56EEF903" w14:textId="77777777" w:rsidR="004100C4" w:rsidRPr="004B7F39" w:rsidRDefault="00CC201F" w:rsidP="00AF595E">
      <w:pPr>
        <w:shd w:val="clear" w:color="auto" w:fill="FFFFFF"/>
        <w:spacing w:after="0" w:line="480" w:lineRule="auto"/>
        <w:ind w:firstLine="720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CC201F">
        <w:rPr>
          <w:rFonts w:ascii="Book Antiqua" w:eastAsia="Times New Roman" w:hAnsi="Book Antiqua"/>
          <w:color w:val="000000"/>
          <w:sz w:val="24"/>
          <w:szCs w:val="24"/>
          <w:lang w:val="es-PR"/>
        </w:rPr>
        <w:t>Artículo 11</w:t>
      </w:r>
      <w:r w:rsidR="004100C4"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>.-</w:t>
      </w:r>
      <w:r w:rsidR="00E24E6C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</w:t>
      </w:r>
      <w:r w:rsidR="004100C4"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Los datos estadísticos oficiales sobre incidencia de </w:t>
      </w:r>
      <w:r w:rsidR="00BC6411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t</w:t>
      </w:r>
      <w:r w:rsidR="00BC6411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rastornos </w:t>
      </w:r>
      <w:r w:rsidR="00BC6411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s</w:t>
      </w:r>
      <w:r w:rsidR="00BC6411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anguíneos y/o </w:t>
      </w:r>
      <w:r w:rsidR="00BC6411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c</w:t>
      </w:r>
      <w:r w:rsidR="00BC6411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 xml:space="preserve">ondiciones </w:t>
      </w:r>
      <w:r w:rsidR="00BC6411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s</w:t>
      </w:r>
      <w:r w:rsidR="00BC6411" w:rsidRPr="003F50D0">
        <w:rPr>
          <w:rFonts w:ascii="Book Antiqua" w:hAnsi="Book Antiqua"/>
          <w:color w:val="000000"/>
          <w:spacing w:val="-3"/>
          <w:sz w:val="24"/>
          <w:szCs w:val="24"/>
          <w:shd w:val="clear" w:color="auto" w:fill="FFFFFF"/>
          <w:lang w:val="es-PR"/>
        </w:rPr>
        <w:t>anguíneas</w:t>
      </w:r>
      <w:r w:rsidR="004100C4"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en Puerto Rico serán los publicados por el Registro creado al amparo de esta Ley.  Por tales razones, será responsabilidad </w:t>
      </w:r>
      <w:r w:rsidR="00923214" w:rsidRPr="00D65470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del Departamento de Salud, en coordinación con </w:t>
      </w:r>
      <w:r w:rsidR="006B42D4">
        <w:rPr>
          <w:rFonts w:ascii="Book Antiqua" w:eastAsia="Times New Roman" w:hAnsi="Book Antiqua"/>
          <w:color w:val="000000"/>
          <w:sz w:val="24"/>
          <w:szCs w:val="24"/>
          <w:lang w:val="es-PR"/>
        </w:rPr>
        <w:t>de</w:t>
      </w:r>
      <w:r w:rsidR="004100C4"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 </w:t>
      </w:r>
      <w:proofErr w:type="gramStart"/>
      <w:r w:rsidR="004100C4"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>la </w:t>
      </w:r>
      <w:r w:rsidR="00BC6411" w:rsidRPr="00BC6411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 xml:space="preserve"> </w:t>
      </w:r>
      <w:r w:rsidR="007D3F7B" w:rsidRPr="00D65470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APH</w:t>
      </w:r>
      <w:proofErr w:type="gramEnd"/>
      <w:r w:rsidR="00923214" w:rsidRPr="00D65470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,</w:t>
      </w:r>
      <w:r w:rsidR="004100C4" w:rsidRPr="00D65470">
        <w:rPr>
          <w:rFonts w:ascii="Book Antiqua" w:eastAsia="Times New Roman" w:hAnsi="Book Antiqua"/>
          <w:color w:val="000000"/>
          <w:spacing w:val="-3"/>
          <w:sz w:val="24"/>
          <w:szCs w:val="24"/>
          <w:lang w:val="es-PR"/>
        </w:rPr>
        <w:t> </w:t>
      </w:r>
      <w:r w:rsidR="004100C4"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>el desarrollar una campaña de orientación y divulgación</w:t>
      </w:r>
      <w:r w:rsidR="00D65470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, </w:t>
      </w:r>
      <w:r w:rsidR="004100C4"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 xml:space="preserve">sobre la importancia del cumplimiento completo, fiel y </w:t>
      </w:r>
      <w:r w:rsidR="004100C4"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lastRenderedPageBreak/>
        <w:t>oportuno del reportaje de los casos al Registro y de la necesidad de cumplir con los requerimientos establecidos en esta Ley y sus reglamentos.</w:t>
      </w:r>
    </w:p>
    <w:p w14:paraId="28D3CCB8" w14:textId="77777777" w:rsidR="004264E0" w:rsidRPr="004B7F39" w:rsidRDefault="00CC201F" w:rsidP="00AF595E">
      <w:pPr>
        <w:shd w:val="clear" w:color="auto" w:fill="FFFFFF"/>
        <w:spacing w:after="0" w:line="480" w:lineRule="auto"/>
        <w:ind w:firstLine="562"/>
        <w:jc w:val="both"/>
        <w:rPr>
          <w:rFonts w:ascii="Book Antiqua" w:eastAsia="Times New Roman" w:hAnsi="Book Antiqua"/>
          <w:color w:val="000000"/>
          <w:sz w:val="24"/>
          <w:szCs w:val="24"/>
          <w:lang w:val="es-PR"/>
        </w:rPr>
      </w:pPr>
      <w:r w:rsidRPr="00CC201F">
        <w:rPr>
          <w:rFonts w:ascii="Book Antiqua" w:eastAsia="Times New Roman" w:hAnsi="Book Antiqua"/>
          <w:color w:val="000000"/>
          <w:sz w:val="24"/>
          <w:szCs w:val="24"/>
          <w:lang w:val="es-PR"/>
        </w:rPr>
        <w:t>Artículo 12</w:t>
      </w:r>
      <w:r w:rsidR="00E24E6C">
        <w:rPr>
          <w:rFonts w:ascii="Book Antiqua" w:eastAsia="Times New Roman" w:hAnsi="Book Antiqua"/>
          <w:color w:val="000000"/>
          <w:sz w:val="24"/>
          <w:szCs w:val="24"/>
          <w:lang w:val="es-PR"/>
        </w:rPr>
        <w:t>.</w:t>
      </w:r>
      <w:r w:rsidR="004100C4" w:rsidRPr="004100C4">
        <w:rPr>
          <w:rFonts w:ascii="Book Antiqua" w:eastAsia="Times New Roman" w:hAnsi="Book Antiqua"/>
          <w:color w:val="000000"/>
          <w:sz w:val="24"/>
          <w:szCs w:val="24"/>
          <w:lang w:val="es-PR"/>
        </w:rPr>
        <w:t>- Esta Ley comenzará a regir inmediatamente después de su aprobación.</w:t>
      </w:r>
    </w:p>
    <w:sectPr w:rsidR="004264E0" w:rsidRPr="004B7F39" w:rsidSect="00551B48">
      <w:headerReference w:type="default" r:id="rId12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41E32" w14:textId="77777777" w:rsidR="008201CB" w:rsidRDefault="008201CB" w:rsidP="00551B48">
      <w:pPr>
        <w:spacing w:after="0" w:line="240" w:lineRule="auto"/>
      </w:pPr>
      <w:r>
        <w:separator/>
      </w:r>
    </w:p>
  </w:endnote>
  <w:endnote w:type="continuationSeparator" w:id="0">
    <w:p w14:paraId="392B133F" w14:textId="77777777" w:rsidR="008201CB" w:rsidRDefault="008201CB" w:rsidP="0055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58923" w14:textId="77777777" w:rsidR="008201CB" w:rsidRDefault="008201CB" w:rsidP="00551B48">
      <w:pPr>
        <w:spacing w:after="0" w:line="240" w:lineRule="auto"/>
      </w:pPr>
      <w:r>
        <w:separator/>
      </w:r>
    </w:p>
  </w:footnote>
  <w:footnote w:type="continuationSeparator" w:id="0">
    <w:p w14:paraId="5A674E99" w14:textId="77777777" w:rsidR="008201CB" w:rsidRDefault="008201CB" w:rsidP="00551B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1D85E" w14:textId="77777777" w:rsidR="004264E0" w:rsidRDefault="00CC201F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5C665BFF" w14:textId="77777777" w:rsidR="004264E0" w:rsidRDefault="00426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B306D"/>
    <w:multiLevelType w:val="hybridMultilevel"/>
    <w:tmpl w:val="5704BBFA"/>
    <w:lvl w:ilvl="0" w:tplc="2A6259EE">
      <w:start w:val="1"/>
      <w:numFmt w:val="lowerLetter"/>
      <w:lvlText w:val="%1)"/>
      <w:lvlJc w:val="left"/>
      <w:pPr>
        <w:ind w:left="10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3" w:hanging="360"/>
      </w:pPr>
    </w:lvl>
    <w:lvl w:ilvl="2" w:tplc="0409001B" w:tentative="1">
      <w:start w:val="1"/>
      <w:numFmt w:val="lowerRoman"/>
      <w:lvlText w:val="%3."/>
      <w:lvlJc w:val="right"/>
      <w:pPr>
        <w:ind w:left="2533" w:hanging="180"/>
      </w:pPr>
    </w:lvl>
    <w:lvl w:ilvl="3" w:tplc="0409000F" w:tentative="1">
      <w:start w:val="1"/>
      <w:numFmt w:val="decimal"/>
      <w:lvlText w:val="%4."/>
      <w:lvlJc w:val="left"/>
      <w:pPr>
        <w:ind w:left="3253" w:hanging="360"/>
      </w:pPr>
    </w:lvl>
    <w:lvl w:ilvl="4" w:tplc="04090019" w:tentative="1">
      <w:start w:val="1"/>
      <w:numFmt w:val="lowerLetter"/>
      <w:lvlText w:val="%5."/>
      <w:lvlJc w:val="left"/>
      <w:pPr>
        <w:ind w:left="3973" w:hanging="360"/>
      </w:pPr>
    </w:lvl>
    <w:lvl w:ilvl="5" w:tplc="0409001B" w:tentative="1">
      <w:start w:val="1"/>
      <w:numFmt w:val="lowerRoman"/>
      <w:lvlText w:val="%6."/>
      <w:lvlJc w:val="right"/>
      <w:pPr>
        <w:ind w:left="4693" w:hanging="180"/>
      </w:pPr>
    </w:lvl>
    <w:lvl w:ilvl="6" w:tplc="0409000F" w:tentative="1">
      <w:start w:val="1"/>
      <w:numFmt w:val="decimal"/>
      <w:lvlText w:val="%7."/>
      <w:lvlJc w:val="left"/>
      <w:pPr>
        <w:ind w:left="5413" w:hanging="360"/>
      </w:pPr>
    </w:lvl>
    <w:lvl w:ilvl="7" w:tplc="04090019" w:tentative="1">
      <w:start w:val="1"/>
      <w:numFmt w:val="lowerLetter"/>
      <w:lvlText w:val="%8."/>
      <w:lvlJc w:val="left"/>
      <w:pPr>
        <w:ind w:left="6133" w:hanging="360"/>
      </w:pPr>
    </w:lvl>
    <w:lvl w:ilvl="8" w:tplc="0409001B" w:tentative="1">
      <w:start w:val="1"/>
      <w:numFmt w:val="lowerRoman"/>
      <w:lvlText w:val="%9."/>
      <w:lvlJc w:val="right"/>
      <w:pPr>
        <w:ind w:left="6853" w:hanging="180"/>
      </w:pPr>
    </w:lvl>
  </w:abstractNum>
  <w:abstractNum w:abstractNumId="1" w15:restartNumberingAfterBreak="0">
    <w:nsid w:val="33FF04AF"/>
    <w:multiLevelType w:val="hybridMultilevel"/>
    <w:tmpl w:val="2F94C9A4"/>
    <w:lvl w:ilvl="0" w:tplc="7598B6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BB47472"/>
    <w:multiLevelType w:val="hybridMultilevel"/>
    <w:tmpl w:val="CF744D56"/>
    <w:lvl w:ilvl="0" w:tplc="E43686BE">
      <w:start w:val="1"/>
      <w:numFmt w:val="lowerLetter"/>
      <w:lvlText w:val="%1)"/>
      <w:lvlJc w:val="left"/>
      <w:pPr>
        <w:ind w:left="1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3" w:hanging="360"/>
      </w:pPr>
    </w:lvl>
    <w:lvl w:ilvl="2" w:tplc="0409001B" w:tentative="1">
      <w:start w:val="1"/>
      <w:numFmt w:val="lowerRoman"/>
      <w:lvlText w:val="%3."/>
      <w:lvlJc w:val="right"/>
      <w:pPr>
        <w:ind w:left="2953" w:hanging="180"/>
      </w:pPr>
    </w:lvl>
    <w:lvl w:ilvl="3" w:tplc="0409000F" w:tentative="1">
      <w:start w:val="1"/>
      <w:numFmt w:val="decimal"/>
      <w:lvlText w:val="%4."/>
      <w:lvlJc w:val="left"/>
      <w:pPr>
        <w:ind w:left="3673" w:hanging="360"/>
      </w:pPr>
    </w:lvl>
    <w:lvl w:ilvl="4" w:tplc="04090019" w:tentative="1">
      <w:start w:val="1"/>
      <w:numFmt w:val="lowerLetter"/>
      <w:lvlText w:val="%5."/>
      <w:lvlJc w:val="left"/>
      <w:pPr>
        <w:ind w:left="4393" w:hanging="360"/>
      </w:pPr>
    </w:lvl>
    <w:lvl w:ilvl="5" w:tplc="0409001B" w:tentative="1">
      <w:start w:val="1"/>
      <w:numFmt w:val="lowerRoman"/>
      <w:lvlText w:val="%6."/>
      <w:lvlJc w:val="right"/>
      <w:pPr>
        <w:ind w:left="5113" w:hanging="180"/>
      </w:pPr>
    </w:lvl>
    <w:lvl w:ilvl="6" w:tplc="0409000F" w:tentative="1">
      <w:start w:val="1"/>
      <w:numFmt w:val="decimal"/>
      <w:lvlText w:val="%7."/>
      <w:lvlJc w:val="left"/>
      <w:pPr>
        <w:ind w:left="5833" w:hanging="360"/>
      </w:pPr>
    </w:lvl>
    <w:lvl w:ilvl="7" w:tplc="04090019" w:tentative="1">
      <w:start w:val="1"/>
      <w:numFmt w:val="lowerLetter"/>
      <w:lvlText w:val="%8."/>
      <w:lvlJc w:val="left"/>
      <w:pPr>
        <w:ind w:left="6553" w:hanging="360"/>
      </w:pPr>
    </w:lvl>
    <w:lvl w:ilvl="8" w:tplc="0409001B" w:tentative="1">
      <w:start w:val="1"/>
      <w:numFmt w:val="lowerRoman"/>
      <w:lvlText w:val="%9."/>
      <w:lvlJc w:val="right"/>
      <w:pPr>
        <w:ind w:left="7273" w:hanging="180"/>
      </w:pPr>
    </w:lvl>
  </w:abstractNum>
  <w:num w:numId="1" w16cid:durableId="855969647">
    <w:abstractNumId w:val="0"/>
  </w:num>
  <w:num w:numId="2" w16cid:durableId="1222904726">
    <w:abstractNumId w:val="2"/>
  </w:num>
  <w:num w:numId="3" w16cid:durableId="701562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1CB"/>
    <w:rsid w:val="000552C0"/>
    <w:rsid w:val="000A36F9"/>
    <w:rsid w:val="000A6C46"/>
    <w:rsid w:val="000E742B"/>
    <w:rsid w:val="001553AF"/>
    <w:rsid w:val="00166A67"/>
    <w:rsid w:val="00195A0A"/>
    <w:rsid w:val="001F1F73"/>
    <w:rsid w:val="00200FFC"/>
    <w:rsid w:val="0028270D"/>
    <w:rsid w:val="003008F5"/>
    <w:rsid w:val="00334545"/>
    <w:rsid w:val="00345AA2"/>
    <w:rsid w:val="00360C32"/>
    <w:rsid w:val="00373271"/>
    <w:rsid w:val="003B1D87"/>
    <w:rsid w:val="003F50D0"/>
    <w:rsid w:val="003F73A3"/>
    <w:rsid w:val="00406DF6"/>
    <w:rsid w:val="004100C4"/>
    <w:rsid w:val="00422B28"/>
    <w:rsid w:val="004264E0"/>
    <w:rsid w:val="00435601"/>
    <w:rsid w:val="00470519"/>
    <w:rsid w:val="00482C6A"/>
    <w:rsid w:val="004B7F39"/>
    <w:rsid w:val="004F67CF"/>
    <w:rsid w:val="00526D3E"/>
    <w:rsid w:val="00551B48"/>
    <w:rsid w:val="005D7738"/>
    <w:rsid w:val="005F67B6"/>
    <w:rsid w:val="00621042"/>
    <w:rsid w:val="006511BF"/>
    <w:rsid w:val="0065459F"/>
    <w:rsid w:val="00657898"/>
    <w:rsid w:val="00672930"/>
    <w:rsid w:val="00672984"/>
    <w:rsid w:val="00694EBE"/>
    <w:rsid w:val="006B42D4"/>
    <w:rsid w:val="006E68CE"/>
    <w:rsid w:val="006F1D9A"/>
    <w:rsid w:val="00704EC4"/>
    <w:rsid w:val="00723BD5"/>
    <w:rsid w:val="007C484E"/>
    <w:rsid w:val="007C5DB4"/>
    <w:rsid w:val="007D3F7B"/>
    <w:rsid w:val="00802F64"/>
    <w:rsid w:val="008201CB"/>
    <w:rsid w:val="00882B36"/>
    <w:rsid w:val="008F6A6F"/>
    <w:rsid w:val="00923214"/>
    <w:rsid w:val="00982296"/>
    <w:rsid w:val="00A30F12"/>
    <w:rsid w:val="00AF595E"/>
    <w:rsid w:val="00B64B2D"/>
    <w:rsid w:val="00B65812"/>
    <w:rsid w:val="00BA1947"/>
    <w:rsid w:val="00BB7269"/>
    <w:rsid w:val="00BC6411"/>
    <w:rsid w:val="00BC6BE0"/>
    <w:rsid w:val="00C013F3"/>
    <w:rsid w:val="00CC201F"/>
    <w:rsid w:val="00CD2370"/>
    <w:rsid w:val="00D03833"/>
    <w:rsid w:val="00D65470"/>
    <w:rsid w:val="00D92C7C"/>
    <w:rsid w:val="00DB6D5C"/>
    <w:rsid w:val="00DB7A05"/>
    <w:rsid w:val="00E24E6C"/>
    <w:rsid w:val="00EB449B"/>
    <w:rsid w:val="00EB630B"/>
    <w:rsid w:val="00EE2E93"/>
    <w:rsid w:val="00F2110C"/>
    <w:rsid w:val="00F438F4"/>
    <w:rsid w:val="00FB2E3E"/>
    <w:rsid w:val="00FE4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9A73E"/>
  <w15:chartTrackingRefBased/>
  <w15:docId w15:val="{CC03F007-F598-43DF-A827-64C855D0C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1B48"/>
    <w:pPr>
      <w:spacing w:after="160" w:line="25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551B4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551B48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551B48"/>
    <w:rPr>
      <w:vertAlign w:val="superscript"/>
    </w:rPr>
  </w:style>
  <w:style w:type="character" w:styleId="Hyperlink">
    <w:name w:val="Hyperlink"/>
    <w:uiPriority w:val="99"/>
    <w:unhideWhenUsed/>
    <w:rsid w:val="00551B48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551B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51B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551B48"/>
    <w:rPr>
      <w:rFonts w:ascii="Calibri" w:eastAsia="Calibri" w:hAnsi="Calibri" w:cs="Times New Roman"/>
    </w:rPr>
  </w:style>
  <w:style w:type="character" w:styleId="LineNumber">
    <w:name w:val="line number"/>
    <w:basedOn w:val="DefaultParagraphFont"/>
    <w:uiPriority w:val="99"/>
    <w:semiHidden/>
    <w:unhideWhenUsed/>
    <w:rsid w:val="00551B48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100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IndentChar">
    <w:name w:val="Body Text Indent Char"/>
    <w:link w:val="BodyTextIndent"/>
    <w:uiPriority w:val="99"/>
    <w:semiHidden/>
    <w:rsid w:val="004100C4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6729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729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672930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293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72930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12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a9e464653cf2bcbd18e0b128148b6119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bc604c804a76b73b22017f1fbce5ece3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D6FDA4F-7C98-474A-A261-E38B96388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360D4E-C6CF-42EA-A079-DF8A8D806B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735F01-05AE-44DC-8C89-2091F25F4528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AEE54E4-CBF5-4CED-97E5-2EDCB87F172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5.xml><?xml version="1.0" encoding="utf-8"?>
<ds:datastoreItem xmlns:ds="http://schemas.openxmlformats.org/officeDocument/2006/customXml" ds:itemID="{EE662D60-37A9-48C6-8B5A-377EDFCB340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1528</Words>
  <Characters>8711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Gladys J. Burgos Torres</dc:creator>
  <cp:keywords/>
  <dc:description/>
  <cp:lastModifiedBy>Gladys J. Burgos Torres</cp:lastModifiedBy>
  <cp:revision>4</cp:revision>
  <cp:lastPrinted>2025-04-02T16:54:00Z</cp:lastPrinted>
  <dcterms:created xsi:type="dcterms:W3CDTF">2025-04-01T15:39:00Z</dcterms:created>
  <dcterms:modified xsi:type="dcterms:W3CDTF">2025-04-02T16:54:00Z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4SQX5P7U7WPY-958212181-792055</vt:lpwstr>
  </property>
  <property fmtid="{D5CDD505-2E9C-101B-9397-08002B2CF9AE}" pid="3" name="_dlc_DocIdItemGuid">
    <vt:lpwstr>c6f1e692-352d-4dca-b9f3-6033eef602e8</vt:lpwstr>
  </property>
  <property fmtid="{D5CDD505-2E9C-101B-9397-08002B2CF9AE}" pid="4" name="_dlc_DocIdUrl">
    <vt:lpwstr>https://senpr.sharepoint.com/sites/obralegislativa/_layouts/15/DocIdRedir.aspx?ID=4SQX5P7U7WPY-958212181-792055, 4SQX5P7U7WPY-958212181-792055</vt:lpwstr>
  </property>
  <property fmtid="{D5CDD505-2E9C-101B-9397-08002B2CF9AE}" pid="5" name="_ip_UnifiedCompliancePolicyUIAction">
    <vt:lpwstr/>
  </property>
  <property fmtid="{D5CDD505-2E9C-101B-9397-08002B2CF9AE}" pid="6" name="TaxCatchAll">
    <vt:lpwstr/>
  </property>
  <property fmtid="{D5CDD505-2E9C-101B-9397-08002B2CF9AE}" pid="7" name="_ip_UnifiedCompliancePolicyProperties">
    <vt:lpwstr/>
  </property>
  <property fmtid="{D5CDD505-2E9C-101B-9397-08002B2CF9AE}" pid="8" name="lcf76f155ced4ddcb4097134ff3c332f">
    <vt:lpwstr/>
  </property>
</Properties>
</file>