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5019A4CE"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D80BF5">
        <w:rPr>
          <w:rFonts w:ascii="Book Antiqua" w:eastAsia="Book Antiqua" w:hAnsi="Book Antiqua" w:cs="Book Antiqua"/>
        </w:rPr>
        <w:t>3</w:t>
      </w:r>
      <w:r w:rsidR="00D80BF5">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154536CA" w:rsidR="00EE1E93" w:rsidRPr="00700566" w:rsidRDefault="002F0C30"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xml:space="preserve">. de la </w:t>
      </w:r>
      <w:r w:rsidR="009B6911">
        <w:rPr>
          <w:rFonts w:ascii="Book Antiqua" w:eastAsia="Book Antiqua" w:hAnsi="Book Antiqua" w:cs="Book Antiqua"/>
          <w:b/>
          <w:sz w:val="52"/>
          <w:szCs w:val="52"/>
        </w:rPr>
        <w:t>C</w:t>
      </w:r>
      <w:r w:rsidR="00EE1E93" w:rsidRPr="00700566">
        <w:rPr>
          <w:rFonts w:ascii="Book Antiqua" w:eastAsia="Book Antiqua" w:hAnsi="Book Antiqua" w:cs="Book Antiqua"/>
          <w:b/>
          <w:sz w:val="52"/>
          <w:szCs w:val="52"/>
        </w:rPr>
        <w:t xml:space="preserve">. </w:t>
      </w:r>
      <w:r w:rsidR="001F728C">
        <w:rPr>
          <w:rFonts w:ascii="Book Antiqua" w:eastAsia="Book Antiqua" w:hAnsi="Book Antiqua" w:cs="Book Antiqua"/>
          <w:b/>
          <w:sz w:val="52"/>
          <w:szCs w:val="52"/>
        </w:rPr>
        <w:t>474</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0F65BF3B" w:rsidR="00EE1E93" w:rsidRPr="00700566" w:rsidRDefault="00D77036" w:rsidP="00EE1E93">
      <w:pPr>
        <w:spacing w:line="360" w:lineRule="auto"/>
        <w:jc w:val="center"/>
        <w:rPr>
          <w:rFonts w:ascii="Book Antiqua" w:eastAsia="Book Antiqua" w:hAnsi="Book Antiqua" w:cs="Book Antiqua"/>
          <w:b/>
        </w:rPr>
      </w:pPr>
      <w:r>
        <w:rPr>
          <w:rFonts w:ascii="Book Antiqua" w:eastAsia="Book Antiqua" w:hAnsi="Book Antiqua" w:cs="Book Antiqua"/>
        </w:rPr>
        <w:t xml:space="preserve">8 </w:t>
      </w:r>
      <w:r w:rsidR="00EE1E93" w:rsidRPr="00700566">
        <w:rPr>
          <w:rFonts w:ascii="Book Antiqua" w:eastAsia="Book Antiqua" w:hAnsi="Book Antiqua" w:cs="Book Antiqua"/>
        </w:rPr>
        <w:t xml:space="preserve"> de </w:t>
      </w:r>
      <w:r w:rsidR="00D80BF5">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D80BF5">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7CC04875"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 xml:space="preserve">La Comisión de Transportación e Infraestructura de la Cámara de Representantes del Gobierno de Puerto Rico, previo estudio y consideración del P. de la </w:t>
      </w:r>
      <w:r w:rsidR="009B6911">
        <w:rPr>
          <w:rFonts w:ascii="Book Antiqua" w:eastAsia="Book Antiqua" w:hAnsi="Book Antiqua" w:cs="Book Antiqua"/>
        </w:rPr>
        <w:t>C</w:t>
      </w:r>
      <w:r w:rsidRPr="00634A11">
        <w:rPr>
          <w:rFonts w:ascii="Book Antiqua" w:eastAsia="Book Antiqua" w:hAnsi="Book Antiqua" w:cs="Book Antiqua"/>
        </w:rPr>
        <w:t xml:space="preserve">. Núm. </w:t>
      </w:r>
      <w:r w:rsidR="001F728C">
        <w:rPr>
          <w:rFonts w:ascii="Book Antiqua" w:eastAsia="Book Antiqua" w:hAnsi="Book Antiqua" w:cs="Book Antiqua"/>
        </w:rPr>
        <w:t>474</w:t>
      </w:r>
      <w:r w:rsidRPr="00634A11">
        <w:rPr>
          <w:rFonts w:ascii="Book Antiqua" w:eastAsia="Book Antiqua" w:hAnsi="Book Antiqua" w:cs="Book Antiqua"/>
        </w:rPr>
        <w:t>, tiene a bien recomendar a este Alto Cuerpo la aprobación</w:t>
      </w:r>
      <w:r w:rsidR="009B6911">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sidR="009B6911">
        <w:rPr>
          <w:rFonts w:ascii="Book Antiqua" w:eastAsia="Book Antiqua" w:hAnsi="Book Antiqua" w:cs="Book Antiqua"/>
        </w:rPr>
        <w:t xml:space="preserve">con las enmiendas contenidas en el </w:t>
      </w:r>
      <w:proofErr w:type="spellStart"/>
      <w:r w:rsidR="009B6911">
        <w:rPr>
          <w:rFonts w:ascii="Book Antiqua" w:eastAsia="Book Antiqua" w:hAnsi="Book Antiqua" w:cs="Book Antiqua"/>
        </w:rPr>
        <w:t>entirillado</w:t>
      </w:r>
      <w:proofErr w:type="spellEnd"/>
      <w:r w:rsidR="009B6911">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207349FD" w14:textId="77777777" w:rsidR="00811E0B" w:rsidRPr="00811E0B" w:rsidRDefault="00811E0B" w:rsidP="00811E0B">
      <w:pPr>
        <w:jc w:val="both"/>
        <w:rPr>
          <w:rFonts w:ascii="Book Antiqua" w:eastAsia="Book Antiqua" w:hAnsi="Book Antiqua" w:cs="Book Antiqua"/>
          <w:lang w:val="es-PR"/>
        </w:rPr>
      </w:pPr>
      <w:r>
        <w:rPr>
          <w:rFonts w:ascii="Book Antiqua" w:eastAsia="Book Antiqua" w:hAnsi="Book Antiqua" w:cs="Book Antiqua"/>
          <w:lang w:val="es-PR"/>
        </w:rPr>
        <w:tab/>
      </w:r>
      <w:r w:rsidRPr="00811E0B">
        <w:rPr>
          <w:rFonts w:ascii="Book Antiqua" w:eastAsia="Book Antiqua" w:hAnsi="Book Antiqua" w:cs="Book Antiqua"/>
          <w:lang w:val="es-PR"/>
        </w:rPr>
        <w:t>El Proyecto de la Cámara Núm. 474 propone enmendar el Artículo 2.48 de la Ley 22-2000, según enmendada, conocida como “Ley de Vehículos y Tránsito de Puerto Rico”, a los fines de excluir a los gestores debidamente autorizados de la clasificación de “entidades comerciales” establecida por la Ley 55-2024.</w:t>
      </w:r>
    </w:p>
    <w:p w14:paraId="01EA3C9D" w14:textId="77777777" w:rsidR="00811E0B" w:rsidRPr="00811E0B" w:rsidRDefault="00811E0B" w:rsidP="00811E0B">
      <w:pPr>
        <w:jc w:val="both"/>
        <w:rPr>
          <w:rFonts w:ascii="Book Antiqua" w:eastAsia="Book Antiqua" w:hAnsi="Book Antiqua" w:cs="Book Antiqua"/>
          <w:lang w:val="es-PR"/>
        </w:rPr>
      </w:pPr>
    </w:p>
    <w:p w14:paraId="12241460" w14:textId="77777777" w:rsidR="00811E0B" w:rsidRDefault="00811E0B" w:rsidP="00811E0B">
      <w:pPr>
        <w:ind w:firstLine="720"/>
        <w:jc w:val="both"/>
        <w:rPr>
          <w:rFonts w:ascii="Book Antiqua" w:eastAsia="Book Antiqua" w:hAnsi="Book Antiqua" w:cs="Book Antiqua"/>
          <w:lang w:val="es-PR"/>
        </w:rPr>
      </w:pPr>
      <w:r w:rsidRPr="00811E0B">
        <w:rPr>
          <w:rFonts w:ascii="Book Antiqua" w:eastAsia="Book Antiqua" w:hAnsi="Book Antiqua" w:cs="Book Antiqua"/>
          <w:lang w:val="es-PR"/>
        </w:rPr>
        <w:t>La medida surge ante la necesidad de corregir un error técnico que, al incorporar a los gestores dentro de la categoría de entidades comerciales, les impuso obligaciones y cargas que no corresponden a su función principal de representación de ciudadanos ante el Departamento de Transportación y Obras Públicas (DTOP). Con esta enmienda se pretende devolver a los gestores su rol original, garantizando que no se les impongan requisitos propios de entidades comerciales y que puedan continuar brindando sus servicios de manera eficiente, accesible y regulada.</w:t>
      </w:r>
    </w:p>
    <w:p w14:paraId="230495A0" w14:textId="77777777" w:rsidR="00811E0B" w:rsidRDefault="00811E0B" w:rsidP="00811E0B">
      <w:pPr>
        <w:ind w:firstLine="720"/>
        <w:jc w:val="both"/>
        <w:rPr>
          <w:rFonts w:ascii="Book Antiqua" w:eastAsia="Book Antiqua" w:hAnsi="Book Antiqua" w:cs="Book Antiqua"/>
          <w:lang w:val="es-PR"/>
        </w:rPr>
      </w:pPr>
    </w:p>
    <w:p w14:paraId="79CF214A" w14:textId="77777777" w:rsidR="00811E0B" w:rsidRDefault="00811E0B" w:rsidP="00811E0B">
      <w:pPr>
        <w:ind w:firstLine="720"/>
        <w:jc w:val="both"/>
        <w:rPr>
          <w:rFonts w:ascii="Book Antiqua" w:eastAsia="Book Antiqua" w:hAnsi="Book Antiqua" w:cs="Book Antiqua"/>
          <w:lang w:val="es-PR"/>
        </w:rPr>
      </w:pPr>
    </w:p>
    <w:p w14:paraId="1DD03CD3" w14:textId="77777777" w:rsidR="00237952" w:rsidRPr="00811E0B" w:rsidRDefault="00237952" w:rsidP="00811E0B">
      <w:pPr>
        <w:ind w:firstLine="720"/>
        <w:jc w:val="both"/>
        <w:rPr>
          <w:rFonts w:ascii="Book Antiqua" w:eastAsia="Book Antiqua" w:hAnsi="Book Antiqua" w:cs="Book Antiqua"/>
          <w:lang w:val="es-PR"/>
        </w:rPr>
      </w:pPr>
    </w:p>
    <w:p w14:paraId="3BC9B27E" w14:textId="0D2E6958" w:rsidR="00500BFE" w:rsidRPr="00E43AB8" w:rsidRDefault="00500BFE" w:rsidP="00500BFE">
      <w:pPr>
        <w:jc w:val="both"/>
        <w:rPr>
          <w:rFonts w:ascii="Book Antiqua" w:eastAsia="Book Antiqua" w:hAnsi="Book Antiqua" w:cs="Book Antiqua"/>
          <w:lang w:val="es-PR"/>
        </w:rPr>
      </w:pPr>
    </w:p>
    <w:p w14:paraId="43D15222" w14:textId="77777777" w:rsidR="00500BFE" w:rsidRPr="00500BFE" w:rsidRDefault="00500BFE" w:rsidP="00500BFE">
      <w:pPr>
        <w:jc w:val="both"/>
        <w:rPr>
          <w:rFonts w:ascii="Book Antiqua" w:eastAsia="Book Antiqua" w:hAnsi="Book Antiqua" w:cs="Book Antiqua"/>
          <w:b/>
        </w:rPr>
      </w:pPr>
    </w:p>
    <w:p w14:paraId="5048AB55"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43E2293F"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del Proyecto de</w:t>
      </w:r>
      <w:r w:rsidR="009B6911">
        <w:rPr>
          <w:rFonts w:ascii="Book Antiqua" w:eastAsia="Book Antiqua" w:hAnsi="Book Antiqua" w:cs="Book Antiqua"/>
        </w:rPr>
        <w:t xml:space="preserve"> </w:t>
      </w:r>
      <w:r w:rsidRPr="00523B9F">
        <w:rPr>
          <w:rFonts w:ascii="Book Antiqua" w:eastAsia="Book Antiqua" w:hAnsi="Book Antiqua" w:cs="Book Antiqua"/>
        </w:rPr>
        <w:t>l</w:t>
      </w:r>
      <w:r w:rsidR="009B6911">
        <w:rPr>
          <w:rFonts w:ascii="Book Antiqua" w:eastAsia="Book Antiqua" w:hAnsi="Book Antiqua" w:cs="Book Antiqua"/>
        </w:rPr>
        <w:t>a</w:t>
      </w:r>
      <w:r w:rsidRPr="00523B9F">
        <w:rPr>
          <w:rFonts w:ascii="Book Antiqua" w:eastAsia="Book Antiqua" w:hAnsi="Book Antiqua" w:cs="Book Antiqua"/>
        </w:rPr>
        <w:t xml:space="preserve"> </w:t>
      </w:r>
      <w:r w:rsidR="009B6911">
        <w:rPr>
          <w:rFonts w:ascii="Book Antiqua" w:eastAsia="Book Antiqua" w:hAnsi="Book Antiqua" w:cs="Book Antiqua"/>
        </w:rPr>
        <w:t>Cámara</w:t>
      </w:r>
      <w:r w:rsidRPr="00523B9F">
        <w:rPr>
          <w:rFonts w:ascii="Book Antiqua" w:eastAsia="Book Antiqua" w:hAnsi="Book Antiqua" w:cs="Book Antiqua"/>
        </w:rPr>
        <w:t xml:space="preserve"> Núm. </w:t>
      </w:r>
      <w:r w:rsidR="00922BDA">
        <w:rPr>
          <w:rFonts w:ascii="Book Antiqua" w:eastAsia="Book Antiqua" w:hAnsi="Book Antiqua" w:cs="Book Antiqua"/>
        </w:rPr>
        <w:t>474</w:t>
      </w:r>
      <w:r w:rsidR="009B6911">
        <w:rPr>
          <w:rFonts w:ascii="Book Antiqua" w:eastAsia="Book Antiqua" w:hAnsi="Book Antiqua" w:cs="Book Antiqua"/>
        </w:rPr>
        <w:t xml:space="preserve"> solicitó memoriales explicativos al Departamento de Transportación y Obras Públicas (DTOP)</w:t>
      </w:r>
      <w:r w:rsidR="00922BDA">
        <w:rPr>
          <w:rFonts w:ascii="Book Antiqua" w:eastAsia="Book Antiqua" w:hAnsi="Book Antiqua" w:cs="Book Antiqua"/>
        </w:rPr>
        <w:t xml:space="preserve">, </w:t>
      </w:r>
      <w:r w:rsidR="00237952">
        <w:rPr>
          <w:rFonts w:ascii="Book Antiqua" w:eastAsia="Book Antiqua" w:hAnsi="Book Antiqua" w:cs="Book Antiqua"/>
        </w:rPr>
        <w:t>Federación de Gestores</w:t>
      </w:r>
      <w:r w:rsidR="00922BDA">
        <w:rPr>
          <w:rFonts w:ascii="Book Antiqua" w:eastAsia="Book Antiqua" w:hAnsi="Book Antiqua" w:cs="Book Antiqua"/>
        </w:rPr>
        <w:t xml:space="preserve"> y la Oficina de Servicios Legislativos (OSL)</w:t>
      </w:r>
      <w:r w:rsidR="009B6911">
        <w:rPr>
          <w:rFonts w:ascii="Book Antiqua" w:eastAsia="Book Antiqua" w:hAnsi="Book Antiqua" w:cs="Book Antiqua"/>
        </w:rPr>
        <w:t>.</w:t>
      </w:r>
    </w:p>
    <w:p w14:paraId="11FB48BA" w14:textId="77777777" w:rsidR="00DF212A" w:rsidRPr="00500BFE" w:rsidRDefault="00DF212A" w:rsidP="00DF212A">
      <w:pPr>
        <w:ind w:firstLine="720"/>
        <w:jc w:val="both"/>
        <w:rPr>
          <w:rFonts w:ascii="Book Antiqua" w:eastAsia="Book Antiqua" w:hAnsi="Book Antiqua" w:cs="Book Antiqua"/>
        </w:rPr>
      </w:pPr>
    </w:p>
    <w:p w14:paraId="7B80789A" w14:textId="77777777" w:rsidR="00F3553E" w:rsidRDefault="00F3553E" w:rsidP="00D80BF5">
      <w:pPr>
        <w:jc w:val="center"/>
        <w:rPr>
          <w:rFonts w:ascii="Book Antiqua" w:eastAsia="Book Antiqua" w:hAnsi="Book Antiqua" w:cs="Book Antiqua"/>
          <w:b/>
          <w:bCs/>
          <w:u w:val="single"/>
          <w:lang w:val="es-PR"/>
        </w:rPr>
      </w:pPr>
      <w:r w:rsidRPr="00F3553E">
        <w:rPr>
          <w:rFonts w:ascii="Book Antiqua" w:eastAsia="Book Antiqua" w:hAnsi="Book Antiqua" w:cs="Book Antiqua"/>
          <w:b/>
          <w:bCs/>
          <w:u w:val="single"/>
          <w:lang w:val="es-PR"/>
        </w:rPr>
        <w:t>Federación de Gestores de Puerto Rico</w:t>
      </w:r>
    </w:p>
    <w:p w14:paraId="6384DF9E" w14:textId="77777777" w:rsidR="00F3553E" w:rsidRDefault="00F3553E" w:rsidP="00F3553E">
      <w:pPr>
        <w:jc w:val="both"/>
        <w:rPr>
          <w:rFonts w:ascii="Book Antiqua" w:eastAsia="Book Antiqua" w:hAnsi="Book Antiqua" w:cs="Book Antiqua"/>
          <w:b/>
          <w:bCs/>
          <w:u w:val="single"/>
          <w:lang w:val="es-PR"/>
        </w:rPr>
      </w:pPr>
    </w:p>
    <w:p w14:paraId="5550CA55" w14:textId="34128FB8" w:rsidR="00EC1B23" w:rsidRPr="00EC1B23" w:rsidRDefault="00EC1B23" w:rsidP="00B4557A">
      <w:pPr>
        <w:ind w:firstLine="720"/>
        <w:jc w:val="both"/>
        <w:rPr>
          <w:rFonts w:ascii="Book Antiqua" w:eastAsia="Book Antiqua" w:hAnsi="Book Antiqua" w:cs="Book Antiqua"/>
          <w:lang w:val="es-PR"/>
        </w:rPr>
      </w:pPr>
      <w:r w:rsidRPr="00EC1B23">
        <w:rPr>
          <w:rFonts w:ascii="Book Antiqua" w:eastAsia="Book Antiqua" w:hAnsi="Book Antiqua" w:cs="Book Antiqua"/>
          <w:lang w:val="es-PR"/>
        </w:rPr>
        <w:t>La Federación de Gestores de Puerto Rico, Inc. presentó sus comentarios en torno a la Ley</w:t>
      </w:r>
      <w:r w:rsidR="00922BDA">
        <w:rPr>
          <w:rFonts w:ascii="Book Antiqua" w:eastAsia="Book Antiqua" w:hAnsi="Book Antiqua" w:cs="Book Antiqua"/>
          <w:lang w:val="es-PR"/>
        </w:rPr>
        <w:t xml:space="preserve"> Núm.</w:t>
      </w:r>
      <w:r w:rsidRPr="00EC1B23">
        <w:rPr>
          <w:rFonts w:ascii="Book Antiqua" w:eastAsia="Book Antiqua" w:hAnsi="Book Antiqua" w:cs="Book Antiqua"/>
          <w:lang w:val="es-PR"/>
        </w:rPr>
        <w:t xml:space="preserve"> 55-2024, la cual enmendó la Ley Núm. 22-2000, conocida como Ley de Vehículos y Tránsito de Puerto Rico, para disponer que toda transacción relacionada con vehículos de motor se realizara exclusivamente mediante la plataforma digital </w:t>
      </w:r>
      <w:proofErr w:type="spellStart"/>
      <w:r w:rsidRPr="00EC1B23">
        <w:rPr>
          <w:rFonts w:ascii="Book Antiqua" w:eastAsia="Book Antiqua" w:hAnsi="Book Antiqua" w:cs="Book Antiqua"/>
          <w:lang w:val="es-PR"/>
        </w:rPr>
        <w:t>Autoreg</w:t>
      </w:r>
      <w:proofErr w:type="spellEnd"/>
      <w:r w:rsidRPr="00EC1B23">
        <w:rPr>
          <w:rFonts w:ascii="Book Antiqua" w:eastAsia="Book Antiqua" w:hAnsi="Book Antiqua" w:cs="Book Antiqua"/>
          <w:lang w:val="es-PR"/>
        </w:rPr>
        <w:t>, autorizada por el Departamento de Transportación y Obras Públicas (DTOP).</w:t>
      </w:r>
    </w:p>
    <w:p w14:paraId="176EFF8A" w14:textId="77777777" w:rsidR="00EC1B23" w:rsidRPr="00EC1B23" w:rsidRDefault="00EC1B23" w:rsidP="00EC1B23">
      <w:pPr>
        <w:jc w:val="both"/>
        <w:rPr>
          <w:rFonts w:ascii="Book Antiqua" w:eastAsia="Book Antiqua" w:hAnsi="Book Antiqua" w:cs="Book Antiqua"/>
          <w:lang w:val="es-PR"/>
        </w:rPr>
      </w:pPr>
    </w:p>
    <w:p w14:paraId="184E10C0" w14:textId="77777777" w:rsidR="00EC1B23" w:rsidRPr="00EC1B23" w:rsidRDefault="00EC1B23" w:rsidP="00B4557A">
      <w:pPr>
        <w:ind w:firstLine="720"/>
        <w:jc w:val="both"/>
        <w:rPr>
          <w:rFonts w:ascii="Book Antiqua" w:eastAsia="Book Antiqua" w:hAnsi="Book Antiqua" w:cs="Book Antiqua"/>
          <w:lang w:val="es-PR"/>
        </w:rPr>
      </w:pPr>
      <w:r w:rsidRPr="00EC1B23">
        <w:rPr>
          <w:rFonts w:ascii="Book Antiqua" w:eastAsia="Book Antiqua" w:hAnsi="Book Antiqua" w:cs="Book Antiqua"/>
          <w:lang w:val="es-PR"/>
        </w:rPr>
        <w:t>La Federación planteó que la aplicación de dicha ley ha generado adversidades significativas para los gestores, concesionarios y contribuyentes, destacando como principales preocupaciones:</w:t>
      </w:r>
    </w:p>
    <w:p w14:paraId="05E55166" w14:textId="77777777" w:rsidR="00EC1B23" w:rsidRPr="00EC1B23" w:rsidRDefault="00EC1B23" w:rsidP="00EC1B23">
      <w:pPr>
        <w:jc w:val="both"/>
        <w:rPr>
          <w:rFonts w:ascii="Book Antiqua" w:eastAsia="Book Antiqua" w:hAnsi="Book Antiqua" w:cs="Book Antiqua"/>
          <w:lang w:val="es-PR"/>
        </w:rPr>
      </w:pPr>
    </w:p>
    <w:p w14:paraId="497059A5" w14:textId="77777777" w:rsidR="00EC1B23" w:rsidRPr="00B4557A" w:rsidRDefault="00EC1B23" w:rsidP="00B4557A">
      <w:pPr>
        <w:pStyle w:val="ListParagraph"/>
        <w:numPr>
          <w:ilvl w:val="0"/>
          <w:numId w:val="3"/>
        </w:numPr>
        <w:jc w:val="both"/>
        <w:rPr>
          <w:rFonts w:ascii="Book Antiqua" w:eastAsia="Book Antiqua" w:hAnsi="Book Antiqua" w:cs="Book Antiqua"/>
          <w:lang w:val="es-PR"/>
        </w:rPr>
      </w:pPr>
      <w:r w:rsidRPr="00B4557A">
        <w:rPr>
          <w:rFonts w:ascii="Book Antiqua" w:eastAsia="Book Antiqua" w:hAnsi="Book Antiqua" w:cs="Book Antiqua"/>
          <w:lang w:val="es-PR"/>
        </w:rPr>
        <w:t>La vulnerabilidad y privacidad de la información transmitida mediante intermediarios.</w:t>
      </w:r>
    </w:p>
    <w:p w14:paraId="762BF37E" w14:textId="77777777" w:rsidR="00EC1B23" w:rsidRPr="00EC1B23" w:rsidRDefault="00EC1B23" w:rsidP="00EC1B23">
      <w:pPr>
        <w:jc w:val="both"/>
        <w:rPr>
          <w:rFonts w:ascii="Book Antiqua" w:eastAsia="Book Antiqua" w:hAnsi="Book Antiqua" w:cs="Book Antiqua"/>
          <w:lang w:val="es-PR"/>
        </w:rPr>
      </w:pPr>
    </w:p>
    <w:p w14:paraId="0F291FD6" w14:textId="77777777" w:rsidR="00EC1B23" w:rsidRPr="00B4557A" w:rsidRDefault="00EC1B23" w:rsidP="00B4557A">
      <w:pPr>
        <w:pStyle w:val="ListParagraph"/>
        <w:numPr>
          <w:ilvl w:val="0"/>
          <w:numId w:val="3"/>
        </w:numPr>
        <w:jc w:val="both"/>
        <w:rPr>
          <w:rFonts w:ascii="Book Antiqua" w:eastAsia="Book Antiqua" w:hAnsi="Book Antiqua" w:cs="Book Antiqua"/>
          <w:lang w:val="es-PR"/>
        </w:rPr>
      </w:pPr>
      <w:r w:rsidRPr="00B4557A">
        <w:rPr>
          <w:rFonts w:ascii="Book Antiqua" w:eastAsia="Book Antiqua" w:hAnsi="Book Antiqua" w:cs="Book Antiqua"/>
          <w:lang w:val="es-PR"/>
        </w:rPr>
        <w:t>El aumento en los costos y mayor tiempo de procesamiento de las gestiones, que puede extenderse de 60 a 120 días.</w:t>
      </w:r>
    </w:p>
    <w:p w14:paraId="37B72058" w14:textId="77777777" w:rsidR="00EC1B23" w:rsidRPr="00EC1B23" w:rsidRDefault="00EC1B23" w:rsidP="00EC1B23">
      <w:pPr>
        <w:jc w:val="both"/>
        <w:rPr>
          <w:rFonts w:ascii="Book Antiqua" w:eastAsia="Book Antiqua" w:hAnsi="Book Antiqua" w:cs="Book Antiqua"/>
          <w:lang w:val="es-PR"/>
        </w:rPr>
      </w:pPr>
    </w:p>
    <w:p w14:paraId="0760B460" w14:textId="77777777" w:rsidR="00EC1B23" w:rsidRPr="00B4557A" w:rsidRDefault="00EC1B23" w:rsidP="00B4557A">
      <w:pPr>
        <w:pStyle w:val="ListParagraph"/>
        <w:numPr>
          <w:ilvl w:val="0"/>
          <w:numId w:val="3"/>
        </w:numPr>
        <w:jc w:val="both"/>
        <w:rPr>
          <w:rFonts w:ascii="Book Antiqua" w:eastAsia="Book Antiqua" w:hAnsi="Book Antiqua" w:cs="Book Antiqua"/>
          <w:lang w:val="es-PR"/>
        </w:rPr>
      </w:pPr>
      <w:r w:rsidRPr="00B4557A">
        <w:rPr>
          <w:rFonts w:ascii="Book Antiqua" w:eastAsia="Book Antiqua" w:hAnsi="Book Antiqua" w:cs="Book Antiqua"/>
          <w:lang w:val="es-PR"/>
        </w:rPr>
        <w:t>La pérdida de control directo del contribuyente sobre sus documentos, al ser procesados por terceros sin responsabilidad directa del DTOP o del portal.</w:t>
      </w:r>
    </w:p>
    <w:p w14:paraId="23F489A3" w14:textId="77777777" w:rsidR="00EC1B23" w:rsidRPr="00EC1B23" w:rsidRDefault="00EC1B23" w:rsidP="00EC1B23">
      <w:pPr>
        <w:jc w:val="both"/>
        <w:rPr>
          <w:rFonts w:ascii="Book Antiqua" w:eastAsia="Book Antiqua" w:hAnsi="Book Antiqua" w:cs="Book Antiqua"/>
          <w:lang w:val="es-PR"/>
        </w:rPr>
      </w:pPr>
    </w:p>
    <w:p w14:paraId="775105FB" w14:textId="77777777" w:rsidR="00EC1B23" w:rsidRPr="00B4557A" w:rsidRDefault="00EC1B23" w:rsidP="00B4557A">
      <w:pPr>
        <w:pStyle w:val="ListParagraph"/>
        <w:numPr>
          <w:ilvl w:val="0"/>
          <w:numId w:val="3"/>
        </w:numPr>
        <w:jc w:val="both"/>
        <w:rPr>
          <w:rFonts w:ascii="Book Antiqua" w:eastAsia="Book Antiqua" w:hAnsi="Book Antiqua" w:cs="Book Antiqua"/>
          <w:lang w:val="es-PR"/>
        </w:rPr>
      </w:pPr>
      <w:r w:rsidRPr="00B4557A">
        <w:rPr>
          <w:rFonts w:ascii="Book Antiqua" w:eastAsia="Book Antiqua" w:hAnsi="Book Antiqua" w:cs="Book Antiqua"/>
          <w:lang w:val="es-PR"/>
        </w:rPr>
        <w:t>La afectación del servicio en los centros CESCO y el impacto negativo en la población de edad avanzada y en los pequeños comercios que dependen de estos trámites presenciales.</w:t>
      </w:r>
    </w:p>
    <w:p w14:paraId="7A5F713B" w14:textId="77777777" w:rsidR="00EC1B23" w:rsidRPr="00EC1B23" w:rsidRDefault="00EC1B23" w:rsidP="00EC1B23">
      <w:pPr>
        <w:jc w:val="both"/>
        <w:rPr>
          <w:rFonts w:ascii="Book Antiqua" w:eastAsia="Book Antiqua" w:hAnsi="Book Antiqua" w:cs="Book Antiqua"/>
          <w:lang w:val="es-PR"/>
        </w:rPr>
      </w:pPr>
    </w:p>
    <w:p w14:paraId="3A87D8CC" w14:textId="77777777" w:rsidR="00EC1B23" w:rsidRPr="00EC1B23" w:rsidRDefault="00EC1B23" w:rsidP="00EC1B23">
      <w:pPr>
        <w:jc w:val="both"/>
        <w:rPr>
          <w:rFonts w:ascii="Book Antiqua" w:eastAsia="Book Antiqua" w:hAnsi="Book Antiqua" w:cs="Book Antiqua"/>
          <w:lang w:val="es-PR"/>
        </w:rPr>
      </w:pPr>
    </w:p>
    <w:p w14:paraId="0894E766" w14:textId="0F661787" w:rsidR="00EC1B23" w:rsidRPr="00EC1B23" w:rsidRDefault="00EC1B23" w:rsidP="00922BDA">
      <w:pPr>
        <w:ind w:firstLine="720"/>
        <w:jc w:val="both"/>
        <w:rPr>
          <w:rFonts w:ascii="Book Antiqua" w:eastAsia="Book Antiqua" w:hAnsi="Book Antiqua" w:cs="Book Antiqua"/>
          <w:lang w:val="es-PR"/>
        </w:rPr>
      </w:pPr>
      <w:r w:rsidRPr="00EC1B23">
        <w:rPr>
          <w:rFonts w:ascii="Book Antiqua" w:eastAsia="Book Antiqua" w:hAnsi="Book Antiqua" w:cs="Book Antiqua"/>
          <w:lang w:val="es-PR"/>
        </w:rPr>
        <w:t xml:space="preserve">Asimismo, la Federación explicó que la operación del portal </w:t>
      </w:r>
      <w:proofErr w:type="spellStart"/>
      <w:r w:rsidRPr="00EC1B23">
        <w:rPr>
          <w:rFonts w:ascii="Book Antiqua" w:eastAsia="Book Antiqua" w:hAnsi="Book Antiqua" w:cs="Book Antiqua"/>
          <w:lang w:val="es-PR"/>
        </w:rPr>
        <w:t>Autoreg</w:t>
      </w:r>
      <w:proofErr w:type="spellEnd"/>
      <w:r w:rsidRPr="00EC1B23">
        <w:rPr>
          <w:rFonts w:ascii="Book Antiqua" w:eastAsia="Book Antiqua" w:hAnsi="Book Antiqua" w:cs="Book Antiqua"/>
          <w:lang w:val="es-PR"/>
        </w:rPr>
        <w:t xml:space="preserve"> añade pasos adicionales que ralentizan los procesos, y que su implementación obligatoria ha limitado injustamente a los gestores autorizados bajo la Ley</w:t>
      </w:r>
      <w:r w:rsidR="00B829B4">
        <w:rPr>
          <w:rFonts w:ascii="Book Antiqua" w:eastAsia="Book Antiqua" w:hAnsi="Book Antiqua" w:cs="Book Antiqua"/>
          <w:lang w:val="es-PR"/>
        </w:rPr>
        <w:t xml:space="preserve"> Núm.</w:t>
      </w:r>
      <w:r w:rsidRPr="00EC1B23">
        <w:rPr>
          <w:rFonts w:ascii="Book Antiqua" w:eastAsia="Book Antiqua" w:hAnsi="Book Antiqua" w:cs="Book Antiqua"/>
          <w:lang w:val="es-PR"/>
        </w:rPr>
        <w:t xml:space="preserve"> 22-2000, afectando la libre gestión de los ciudadanos en los centros CESCO.</w:t>
      </w:r>
    </w:p>
    <w:p w14:paraId="537DED00" w14:textId="77777777" w:rsidR="00EC1B23" w:rsidRPr="00EC1B23" w:rsidRDefault="00EC1B23" w:rsidP="00EC1B23">
      <w:pPr>
        <w:jc w:val="both"/>
        <w:rPr>
          <w:rFonts w:ascii="Book Antiqua" w:eastAsia="Book Antiqua" w:hAnsi="Book Antiqua" w:cs="Book Antiqua"/>
          <w:lang w:val="es-PR"/>
        </w:rPr>
      </w:pPr>
    </w:p>
    <w:p w14:paraId="20F9F4A4" w14:textId="589E0896" w:rsidR="00EC1B23" w:rsidRPr="00EC1B23" w:rsidRDefault="00EC1B23" w:rsidP="00922BDA">
      <w:pPr>
        <w:ind w:firstLine="720"/>
        <w:jc w:val="both"/>
        <w:rPr>
          <w:rFonts w:ascii="Book Antiqua" w:eastAsia="Book Antiqua" w:hAnsi="Book Antiqua" w:cs="Book Antiqua"/>
          <w:lang w:val="es-PR"/>
        </w:rPr>
      </w:pPr>
      <w:r w:rsidRPr="00EC1B23">
        <w:rPr>
          <w:rFonts w:ascii="Book Antiqua" w:eastAsia="Book Antiqua" w:hAnsi="Book Antiqua" w:cs="Book Antiqua"/>
          <w:lang w:val="es-PR"/>
        </w:rPr>
        <w:t>Ante estos señalamientos, la Federación manifestó su disposición de colaborar con el DTOP y la Asamblea Legislativa para desarrollar un proyecto de ley que enmiende la Ley</w:t>
      </w:r>
      <w:r w:rsidR="00A71874">
        <w:rPr>
          <w:rFonts w:ascii="Book Antiqua" w:eastAsia="Book Antiqua" w:hAnsi="Book Antiqua" w:cs="Book Antiqua"/>
          <w:lang w:val="es-PR"/>
        </w:rPr>
        <w:t xml:space="preserve"> Núm.</w:t>
      </w:r>
      <w:r w:rsidRPr="00EC1B23">
        <w:rPr>
          <w:rFonts w:ascii="Book Antiqua" w:eastAsia="Book Antiqua" w:hAnsi="Book Antiqua" w:cs="Book Antiqua"/>
          <w:lang w:val="es-PR"/>
        </w:rPr>
        <w:t xml:space="preserve"> 55-2024, con el fin de que tanto los contribuyentes como el gobierno se beneficien de un sistema más ágil, seguro y equitativo.</w:t>
      </w:r>
    </w:p>
    <w:p w14:paraId="302AF0AD" w14:textId="77777777" w:rsidR="00EC1B23" w:rsidRPr="00EC1B23" w:rsidRDefault="00EC1B23" w:rsidP="00EC1B23">
      <w:pPr>
        <w:jc w:val="both"/>
        <w:rPr>
          <w:rFonts w:ascii="Book Antiqua" w:eastAsia="Book Antiqua" w:hAnsi="Book Antiqua" w:cs="Book Antiqua"/>
          <w:lang w:val="es-PR"/>
        </w:rPr>
      </w:pPr>
    </w:p>
    <w:p w14:paraId="13A9D0F1" w14:textId="1F2983FB" w:rsidR="00B4557A" w:rsidRPr="00F3553E" w:rsidRDefault="00EC1B23" w:rsidP="00922BDA">
      <w:pPr>
        <w:ind w:firstLine="720"/>
        <w:jc w:val="both"/>
        <w:rPr>
          <w:rFonts w:ascii="Book Antiqua" w:eastAsia="Book Antiqua" w:hAnsi="Book Antiqua" w:cs="Book Antiqua"/>
          <w:lang w:val="es-PR"/>
        </w:rPr>
      </w:pPr>
      <w:r w:rsidRPr="00EC1B23">
        <w:rPr>
          <w:rFonts w:ascii="Book Antiqua" w:eastAsia="Book Antiqua" w:hAnsi="Book Antiqua" w:cs="Book Antiqua"/>
          <w:lang w:val="es-PR"/>
        </w:rPr>
        <w:t>En conclusión, la Federación de Gestores de Puerto Rico se expresó a favor de enmendar lo dispuesto en la Ley</w:t>
      </w:r>
      <w:r w:rsidR="00922BDA">
        <w:rPr>
          <w:rFonts w:ascii="Book Antiqua" w:eastAsia="Book Antiqua" w:hAnsi="Book Antiqua" w:cs="Book Antiqua"/>
          <w:lang w:val="es-PR"/>
        </w:rPr>
        <w:t xml:space="preserve"> Núm.</w:t>
      </w:r>
      <w:r w:rsidRPr="00EC1B23">
        <w:rPr>
          <w:rFonts w:ascii="Book Antiqua" w:eastAsia="Book Antiqua" w:hAnsi="Book Antiqua" w:cs="Book Antiqua"/>
          <w:lang w:val="es-PR"/>
        </w:rPr>
        <w:t xml:space="preserve"> 55-2024, de modo que se revisen los procesos y se restablezca la flexibilidad en la radicación de documentos sin limitar la intervención de los gestores debidamente autorizados.</w:t>
      </w:r>
    </w:p>
    <w:p w14:paraId="5C77F3C0" w14:textId="77777777" w:rsidR="00017B44" w:rsidRDefault="00500BFE" w:rsidP="00500BFE">
      <w:pPr>
        <w:jc w:val="both"/>
        <w:rPr>
          <w:rFonts w:ascii="Book Antiqua" w:eastAsia="Book Antiqua" w:hAnsi="Book Antiqua" w:cs="Book Antiqua"/>
          <w:b/>
          <w:bCs/>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p>
    <w:p w14:paraId="53535C6B" w14:textId="63D6E6E6" w:rsidR="00500BFE" w:rsidRPr="00500BFE" w:rsidRDefault="00500BFE" w:rsidP="00B4557A">
      <w:pPr>
        <w:jc w:val="center"/>
        <w:rPr>
          <w:rFonts w:ascii="Book Antiqua" w:eastAsia="Book Antiqua" w:hAnsi="Book Antiqua" w:cs="Book Antiqua"/>
        </w:rPr>
      </w:pPr>
      <w:bookmarkStart w:id="0" w:name="_Hlk212019694"/>
      <w:r w:rsidRPr="00500BFE">
        <w:rPr>
          <w:rFonts w:ascii="Book Antiqua" w:eastAsia="Book Antiqua" w:hAnsi="Book Antiqua" w:cs="Book Antiqua"/>
          <w:b/>
          <w:bCs/>
          <w:u w:val="single"/>
        </w:rPr>
        <w:t>Departamento de Transportación y Obras Públicas (DTOP)</w:t>
      </w:r>
      <w:bookmarkEnd w:id="0"/>
    </w:p>
    <w:p w14:paraId="400D5647" w14:textId="77777777" w:rsidR="00500BFE" w:rsidRPr="00500BFE" w:rsidRDefault="00500BFE" w:rsidP="00500BFE">
      <w:pPr>
        <w:jc w:val="both"/>
        <w:rPr>
          <w:rFonts w:ascii="Book Antiqua" w:eastAsia="Book Antiqua" w:hAnsi="Book Antiqua" w:cs="Book Antiqua"/>
        </w:rPr>
      </w:pPr>
    </w:p>
    <w:p w14:paraId="55D6F894" w14:textId="77777777" w:rsidR="00017B44" w:rsidRPr="00017B44" w:rsidRDefault="00017B44" w:rsidP="00017B44">
      <w:pPr>
        <w:ind w:firstLine="720"/>
        <w:jc w:val="both"/>
        <w:rPr>
          <w:rFonts w:ascii="Book Antiqua" w:eastAsia="Book Antiqua" w:hAnsi="Book Antiqua" w:cs="Book Antiqua"/>
          <w:lang w:val="es-PR"/>
        </w:rPr>
      </w:pPr>
      <w:r w:rsidRPr="00017B44">
        <w:rPr>
          <w:rFonts w:ascii="Book Antiqua" w:eastAsia="Book Antiqua" w:hAnsi="Book Antiqua" w:cs="Book Antiqua"/>
          <w:lang w:val="es-PR"/>
        </w:rPr>
        <w:t>El DTOP reconoce la función esencial de los gestores dentro del sistema de servicios públicos y su rol como intermediarios que facilitan la gestión ciudadana. Sin embargo, la agencia no favorece la aprobación del proyecto en su forma original.</w:t>
      </w:r>
    </w:p>
    <w:p w14:paraId="330B26E0" w14:textId="77777777" w:rsidR="00017B44" w:rsidRPr="00017B44" w:rsidRDefault="00017B44" w:rsidP="00017B44">
      <w:pPr>
        <w:jc w:val="both"/>
        <w:rPr>
          <w:rFonts w:ascii="Book Antiqua" w:eastAsia="Book Antiqua" w:hAnsi="Book Antiqua" w:cs="Book Antiqua"/>
          <w:lang w:val="es-PR"/>
        </w:rPr>
      </w:pPr>
    </w:p>
    <w:p w14:paraId="4DDF226F" w14:textId="35FEE79F" w:rsidR="00017B44" w:rsidRDefault="00017B44" w:rsidP="00017B44">
      <w:pPr>
        <w:ind w:firstLine="720"/>
        <w:jc w:val="both"/>
        <w:rPr>
          <w:rFonts w:ascii="Book Antiqua" w:eastAsia="Book Antiqua" w:hAnsi="Book Antiqua" w:cs="Book Antiqua"/>
          <w:lang w:val="es-PR"/>
        </w:rPr>
      </w:pPr>
      <w:r w:rsidRPr="00017B44">
        <w:rPr>
          <w:rFonts w:ascii="Book Antiqua" w:eastAsia="Book Antiqua" w:hAnsi="Book Antiqua" w:cs="Book Antiqua"/>
          <w:lang w:val="es-PR"/>
        </w:rPr>
        <w:t>En su memorial, el DTOP explica que la Ley</w:t>
      </w:r>
      <w:r w:rsidR="00B829B4">
        <w:rPr>
          <w:rFonts w:ascii="Book Antiqua" w:eastAsia="Book Antiqua" w:hAnsi="Book Antiqua" w:cs="Book Antiqua"/>
          <w:lang w:val="es-PR"/>
        </w:rPr>
        <w:t xml:space="preserve"> Núm.</w:t>
      </w:r>
      <w:r w:rsidRPr="00017B44">
        <w:rPr>
          <w:rFonts w:ascii="Book Antiqua" w:eastAsia="Book Antiqua" w:hAnsi="Book Antiqua" w:cs="Book Antiqua"/>
          <w:lang w:val="es-PR"/>
        </w:rPr>
        <w:t xml:space="preserve"> 55-2024 incorporó el Artículo 2.48 para obligar a las “entidades comerciales” a realizar todos los trámites mediante las plataformas digitales. Aunque los gestores fueron incluidos en esta categoría, la agencia aclara que su intención nunca fue considerarlos representantes legales, sino proveedores de un servicio limitado a la gestión de licencias y documentos vehiculares.</w:t>
      </w:r>
    </w:p>
    <w:p w14:paraId="3805742B" w14:textId="77777777" w:rsidR="00922BDA" w:rsidRDefault="00922BDA" w:rsidP="00922BDA">
      <w:pPr>
        <w:rPr>
          <w:rFonts w:ascii="Book Antiqua" w:eastAsia="Book Antiqua" w:hAnsi="Book Antiqua" w:cs="Book Antiqua"/>
          <w:lang w:val="es-PR"/>
        </w:rPr>
      </w:pPr>
    </w:p>
    <w:p w14:paraId="6B8E2008" w14:textId="47E1AF0D" w:rsidR="00922BDA" w:rsidRDefault="00922BDA" w:rsidP="00922BDA">
      <w:pPr>
        <w:jc w:val="center"/>
        <w:rPr>
          <w:rFonts w:ascii="Book Antiqua" w:eastAsia="Book Antiqua" w:hAnsi="Book Antiqua" w:cs="Book Antiqua"/>
          <w:b/>
          <w:bCs/>
          <w:u w:val="single"/>
        </w:rPr>
      </w:pPr>
      <w:r w:rsidRPr="00922BDA">
        <w:rPr>
          <w:rFonts w:ascii="Book Antiqua" w:eastAsia="Book Antiqua" w:hAnsi="Book Antiqua" w:cs="Book Antiqua"/>
          <w:b/>
          <w:bCs/>
          <w:u w:val="single"/>
        </w:rPr>
        <w:t>Oficina de Servicios Legislativos (OSL)</w:t>
      </w:r>
    </w:p>
    <w:p w14:paraId="5BADA4DE" w14:textId="77777777" w:rsidR="00922BDA" w:rsidRDefault="00922BDA" w:rsidP="00922BDA">
      <w:pPr>
        <w:jc w:val="center"/>
        <w:rPr>
          <w:rFonts w:ascii="Book Antiqua" w:eastAsia="Book Antiqua" w:hAnsi="Book Antiqua" w:cs="Book Antiqua"/>
          <w:b/>
          <w:bCs/>
          <w:u w:val="single"/>
        </w:rPr>
      </w:pPr>
    </w:p>
    <w:p w14:paraId="412DE22A" w14:textId="1BB3919F" w:rsidR="00871B4B" w:rsidRPr="00871B4B" w:rsidRDefault="00871B4B" w:rsidP="00A04609">
      <w:pPr>
        <w:ind w:firstLine="720"/>
        <w:jc w:val="both"/>
        <w:rPr>
          <w:rFonts w:ascii="Book Antiqua" w:eastAsia="Book Antiqua" w:hAnsi="Book Antiqua" w:cs="Book Antiqua"/>
          <w:lang w:val="es-PR"/>
        </w:rPr>
      </w:pPr>
      <w:r w:rsidRPr="00871B4B">
        <w:rPr>
          <w:rFonts w:ascii="Book Antiqua" w:eastAsia="Book Antiqua" w:hAnsi="Book Antiqua" w:cs="Book Antiqua"/>
          <w:lang w:val="es-PR"/>
        </w:rPr>
        <w:t>La Oficina de Servicios Legislativos (OSL) presentó un memorial sobre el Proyecto de la Cámara 474, el cual propone enmendar el Artículo 2.48 de la Ley Núm. 22-2000, conocida como la Ley de Vehículos y Tránsito de Puerto Rico, a los fines de excluir a los gestores debidamente autorizados de la clasificación de “entidades comerciales” establecida mediante la Ley</w:t>
      </w:r>
      <w:r w:rsidR="006312ED">
        <w:rPr>
          <w:rFonts w:ascii="Book Antiqua" w:eastAsia="Book Antiqua" w:hAnsi="Book Antiqua" w:cs="Book Antiqua"/>
          <w:lang w:val="es-PR"/>
        </w:rPr>
        <w:t xml:space="preserve"> Núm.</w:t>
      </w:r>
      <w:r w:rsidRPr="00871B4B">
        <w:rPr>
          <w:rFonts w:ascii="Book Antiqua" w:eastAsia="Book Antiqua" w:hAnsi="Book Antiqua" w:cs="Book Antiqua"/>
          <w:lang w:val="es-PR"/>
        </w:rPr>
        <w:t xml:space="preserve"> 55-2024.</w:t>
      </w:r>
    </w:p>
    <w:p w14:paraId="184A3E80" w14:textId="77777777" w:rsidR="00871B4B" w:rsidRPr="00871B4B" w:rsidRDefault="00871B4B" w:rsidP="00A04609">
      <w:pPr>
        <w:jc w:val="both"/>
        <w:rPr>
          <w:rFonts w:ascii="Book Antiqua" w:eastAsia="Book Antiqua" w:hAnsi="Book Antiqua" w:cs="Book Antiqua"/>
          <w:lang w:val="es-PR"/>
        </w:rPr>
      </w:pPr>
    </w:p>
    <w:p w14:paraId="734C74C9" w14:textId="49A4047F" w:rsidR="00871B4B" w:rsidRPr="00871B4B" w:rsidRDefault="00871B4B" w:rsidP="00A04609">
      <w:pPr>
        <w:ind w:firstLine="720"/>
        <w:jc w:val="both"/>
        <w:rPr>
          <w:rFonts w:ascii="Book Antiqua" w:eastAsia="Book Antiqua" w:hAnsi="Book Antiqua" w:cs="Book Antiqua"/>
          <w:lang w:val="es-PR"/>
        </w:rPr>
      </w:pPr>
      <w:r w:rsidRPr="00871B4B">
        <w:rPr>
          <w:rFonts w:ascii="Book Antiqua" w:eastAsia="Book Antiqua" w:hAnsi="Book Antiqua" w:cs="Book Antiqua"/>
          <w:lang w:val="es-PR"/>
        </w:rPr>
        <w:t>OSL reconoció que la medida es cónsona con la política pública vigente de facilitar al ciudadano la opción de delegar sus trámites vehiculares a gestores autorizados y registrados, lo que promueve un sistema más ágil, seguro y accesible. Señaló que el gestor cumple una función pública importante al asistir a personas que enfrentan limitaciones para realizar sus gestiones como adultos mayores, personas con discapacidades o ciudadanos sin acceso digital confiable, y que su exclusión de las plataformas digitales del DTOP ha afectado su rol como facilitador del servicio público.</w:t>
      </w:r>
    </w:p>
    <w:p w14:paraId="57293D60" w14:textId="77777777" w:rsidR="00871B4B" w:rsidRPr="00871B4B" w:rsidRDefault="00871B4B" w:rsidP="00A04609">
      <w:pPr>
        <w:jc w:val="both"/>
        <w:rPr>
          <w:rFonts w:ascii="Book Antiqua" w:eastAsia="Book Antiqua" w:hAnsi="Book Antiqua" w:cs="Book Antiqua"/>
          <w:lang w:val="es-PR"/>
        </w:rPr>
      </w:pPr>
    </w:p>
    <w:p w14:paraId="64247D8A" w14:textId="17CE49EA" w:rsidR="00871B4B" w:rsidRPr="00871B4B" w:rsidRDefault="00871B4B" w:rsidP="00A04609">
      <w:pPr>
        <w:ind w:firstLine="720"/>
        <w:jc w:val="both"/>
        <w:rPr>
          <w:rFonts w:ascii="Book Antiqua" w:eastAsia="Book Antiqua" w:hAnsi="Book Antiqua" w:cs="Book Antiqua"/>
          <w:lang w:val="es-PR"/>
        </w:rPr>
      </w:pPr>
      <w:r w:rsidRPr="00871B4B">
        <w:rPr>
          <w:rFonts w:ascii="Book Antiqua" w:eastAsia="Book Antiqua" w:hAnsi="Book Antiqua" w:cs="Book Antiqua"/>
          <w:lang w:val="es-PR"/>
        </w:rPr>
        <w:t>El análisis de OSL expone que la inclusión de los gestores en la clasificación de “entidades comerciales” por la Ley</w:t>
      </w:r>
      <w:r w:rsidR="00EE3837">
        <w:rPr>
          <w:rFonts w:ascii="Book Antiqua" w:eastAsia="Book Antiqua" w:hAnsi="Book Antiqua" w:cs="Book Antiqua"/>
          <w:lang w:val="es-PR"/>
        </w:rPr>
        <w:t xml:space="preserve"> Núm.</w:t>
      </w:r>
      <w:r w:rsidRPr="00871B4B">
        <w:rPr>
          <w:rFonts w:ascii="Book Antiqua" w:eastAsia="Book Antiqua" w:hAnsi="Book Antiqua" w:cs="Book Antiqua"/>
          <w:lang w:val="es-PR"/>
        </w:rPr>
        <w:t xml:space="preserve"> 55-2024 no fue un acto deliberado de la Asamblea Legislativa, sino una consecuencia de un ajuste técnico dentro del texto aprobado. Por tanto, el P. de la C. 474 busca corregir ese error técnico, reafirmando el rol legítimo del gestor como representante autorizado y garantizando que no se le impongan costos ni restricciones adicionales ajenas al servicio que presta a la ciudadanía.</w:t>
      </w:r>
    </w:p>
    <w:p w14:paraId="66F10606" w14:textId="77777777" w:rsidR="00871B4B" w:rsidRPr="00871B4B" w:rsidRDefault="00871B4B" w:rsidP="00871B4B">
      <w:pPr>
        <w:rPr>
          <w:rFonts w:ascii="Book Antiqua" w:eastAsia="Book Antiqua" w:hAnsi="Book Antiqua" w:cs="Book Antiqua"/>
          <w:lang w:val="es-PR"/>
        </w:rPr>
      </w:pPr>
    </w:p>
    <w:p w14:paraId="3CFAD0A8" w14:textId="77777777" w:rsidR="00871B4B" w:rsidRPr="00871B4B" w:rsidRDefault="00871B4B" w:rsidP="00871B4B">
      <w:pPr>
        <w:rPr>
          <w:rFonts w:ascii="Book Antiqua" w:eastAsia="Book Antiqua" w:hAnsi="Book Antiqua" w:cs="Book Antiqua"/>
          <w:lang w:val="es-PR"/>
        </w:rPr>
      </w:pPr>
    </w:p>
    <w:p w14:paraId="2511C38E" w14:textId="55001E9C" w:rsidR="00500BFE" w:rsidRPr="00500BFE" w:rsidRDefault="00871B4B" w:rsidP="00EE3837">
      <w:pPr>
        <w:ind w:firstLine="720"/>
        <w:jc w:val="both"/>
        <w:rPr>
          <w:rFonts w:ascii="Book Antiqua" w:eastAsia="Book Antiqua" w:hAnsi="Book Antiqua" w:cs="Book Antiqua"/>
          <w:lang w:val="es-PR"/>
        </w:rPr>
      </w:pPr>
      <w:r w:rsidRPr="00871B4B">
        <w:rPr>
          <w:rFonts w:ascii="Book Antiqua" w:eastAsia="Book Antiqua" w:hAnsi="Book Antiqua" w:cs="Book Antiqua"/>
          <w:lang w:val="es-PR"/>
        </w:rPr>
        <w:lastRenderedPageBreak/>
        <w:t>Finalmente, la OSL concluyó que no existe impedimento legal para la aprobación del P. de la C. 474, y que la medida resulta consistente con la política pública de reconocer la figura del gestor y los servicios que ofrece a la ciudadanía dentro del marco regulatorio del DTOP.</w:t>
      </w:r>
    </w:p>
    <w:p w14:paraId="37BFA859" w14:textId="77777777" w:rsidR="00BE2F13" w:rsidRDefault="00BE2F13" w:rsidP="00BE2F13">
      <w:pPr>
        <w:jc w:val="center"/>
        <w:rPr>
          <w:rFonts w:ascii="Book Antiqua" w:eastAsia="Book Antiqua" w:hAnsi="Book Antiqua" w:cs="Book Antiqua"/>
          <w:b/>
          <w:bCs/>
          <w:lang w:val="es-ES"/>
        </w:rPr>
      </w:pPr>
    </w:p>
    <w:p w14:paraId="3587E10C" w14:textId="713FCD9B" w:rsidR="00500BFE" w:rsidRPr="00500BFE" w:rsidRDefault="00BE2F13" w:rsidP="00BE2F1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85C985B" w14:textId="77777777" w:rsidR="00BE2F13" w:rsidRDefault="00BE2F13"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4785D10E" w14:textId="3245BA1C" w:rsidR="00A72543" w:rsidRDefault="00A72543" w:rsidP="00A72543">
      <w:pPr>
        <w:ind w:firstLine="720"/>
        <w:jc w:val="both"/>
        <w:rPr>
          <w:rFonts w:ascii="Book Antiqua" w:eastAsia="Book Antiqua" w:hAnsi="Book Antiqua" w:cs="Book Antiqua"/>
          <w:lang w:val="es-PR"/>
        </w:rPr>
      </w:pPr>
      <w:r w:rsidRPr="00A72543">
        <w:rPr>
          <w:rFonts w:ascii="Book Antiqua" w:eastAsia="Book Antiqua" w:hAnsi="Book Antiqua" w:cs="Book Antiqua"/>
          <w:lang w:val="es-PR"/>
        </w:rPr>
        <w:t>Luego de un análisis exhaustivo de la medida, esta Comisión concluye que el Proyecto de la Cámara</w:t>
      </w:r>
      <w:r w:rsidR="00753414">
        <w:rPr>
          <w:rFonts w:ascii="Book Antiqua" w:eastAsia="Book Antiqua" w:hAnsi="Book Antiqua" w:cs="Book Antiqua"/>
          <w:lang w:val="es-PR"/>
        </w:rPr>
        <w:t xml:space="preserve"> Núm.</w:t>
      </w:r>
      <w:r w:rsidRPr="00A72543">
        <w:rPr>
          <w:rFonts w:ascii="Book Antiqua" w:eastAsia="Book Antiqua" w:hAnsi="Book Antiqua" w:cs="Book Antiqua"/>
          <w:lang w:val="es-PR"/>
        </w:rPr>
        <w:t xml:space="preserve"> 474 atiende una necesidad legítima de política pública al corregir un error técnico que ha afectado adversamente a los gestores debidamente autorizados por el Departamento de Transportación y Obras Públicas (DTOP). </w:t>
      </w:r>
    </w:p>
    <w:p w14:paraId="406CBA92" w14:textId="77777777" w:rsidR="00A72543" w:rsidRPr="00A72543" w:rsidRDefault="00A72543" w:rsidP="00A72543">
      <w:pPr>
        <w:ind w:firstLine="720"/>
        <w:jc w:val="both"/>
        <w:rPr>
          <w:rFonts w:ascii="Book Antiqua" w:eastAsia="Book Antiqua" w:hAnsi="Book Antiqua" w:cs="Book Antiqua"/>
          <w:lang w:val="es-PR"/>
        </w:rPr>
      </w:pPr>
    </w:p>
    <w:p w14:paraId="73B1D848" w14:textId="16AC2560" w:rsidR="00A72543" w:rsidRPr="00A72543" w:rsidRDefault="00A72543" w:rsidP="00B5359D">
      <w:pPr>
        <w:ind w:firstLine="720"/>
        <w:jc w:val="both"/>
        <w:rPr>
          <w:rFonts w:ascii="Book Antiqua" w:eastAsia="Book Antiqua" w:hAnsi="Book Antiqua" w:cs="Book Antiqua"/>
          <w:lang w:val="es-PR"/>
        </w:rPr>
      </w:pPr>
      <w:r w:rsidRPr="00A72543">
        <w:rPr>
          <w:rFonts w:ascii="Book Antiqua" w:eastAsia="Book Antiqua" w:hAnsi="Book Antiqua" w:cs="Book Antiqua"/>
          <w:lang w:val="es-PR"/>
        </w:rPr>
        <w:t>La evidencia presentada por la Federación de Gestores de Puerto Rico</w:t>
      </w:r>
      <w:r w:rsidR="00B5359D">
        <w:rPr>
          <w:rFonts w:ascii="Book Antiqua" w:eastAsia="Book Antiqua" w:hAnsi="Book Antiqua" w:cs="Book Antiqua"/>
          <w:lang w:val="es-PR"/>
        </w:rPr>
        <w:t xml:space="preserve"> </w:t>
      </w:r>
      <w:r w:rsidRPr="00A72543">
        <w:rPr>
          <w:rFonts w:ascii="Book Antiqua" w:eastAsia="Book Antiqua" w:hAnsi="Book Antiqua" w:cs="Book Antiqua"/>
          <w:lang w:val="es-PR"/>
        </w:rPr>
        <w:t xml:space="preserve">sostiene que la medida es necesaria para restablecer el balance adecuado entre el uso de herramientas tecnológicas como el portal </w:t>
      </w:r>
      <w:proofErr w:type="spellStart"/>
      <w:r w:rsidRPr="00A72543">
        <w:rPr>
          <w:rFonts w:ascii="Book Antiqua" w:eastAsia="Book Antiqua" w:hAnsi="Book Antiqua" w:cs="Book Antiqua"/>
          <w:lang w:val="es-PR"/>
        </w:rPr>
        <w:t>Autoreg</w:t>
      </w:r>
      <w:proofErr w:type="spellEnd"/>
      <w:r w:rsidRPr="00A72543">
        <w:rPr>
          <w:rFonts w:ascii="Book Antiqua" w:eastAsia="Book Antiqua" w:hAnsi="Book Antiqua" w:cs="Book Antiqua"/>
          <w:lang w:val="es-PR"/>
        </w:rPr>
        <w:t xml:space="preserve"> y la preservación de alternativas accesibles para los ciudadanos que dependen del servicio de los gestores.</w:t>
      </w:r>
    </w:p>
    <w:p w14:paraId="7BA91718" w14:textId="77777777" w:rsidR="00B5359D" w:rsidRDefault="00B5359D" w:rsidP="00B5359D">
      <w:pPr>
        <w:ind w:firstLine="720"/>
        <w:jc w:val="both"/>
        <w:rPr>
          <w:rFonts w:ascii="Book Antiqua" w:eastAsia="Book Antiqua" w:hAnsi="Book Antiqua" w:cs="Book Antiqua"/>
          <w:lang w:val="es-PR"/>
        </w:rPr>
      </w:pPr>
    </w:p>
    <w:p w14:paraId="08C325F7" w14:textId="7E4A8E22" w:rsidR="00A72543" w:rsidRPr="00A72543" w:rsidRDefault="00A72543" w:rsidP="00B5359D">
      <w:pPr>
        <w:ind w:firstLine="720"/>
        <w:jc w:val="both"/>
        <w:rPr>
          <w:rFonts w:ascii="Book Antiqua" w:eastAsia="Book Antiqua" w:hAnsi="Book Antiqua" w:cs="Book Antiqua"/>
          <w:lang w:val="es-PR"/>
        </w:rPr>
      </w:pPr>
      <w:r w:rsidRPr="00A72543">
        <w:rPr>
          <w:rFonts w:ascii="Book Antiqua" w:eastAsia="Book Antiqua" w:hAnsi="Book Antiqua" w:cs="Book Antiqua"/>
          <w:lang w:val="es-PR"/>
        </w:rPr>
        <w:t>Por tanto, esta Comisión entiende que el P. de la C.</w:t>
      </w:r>
      <w:r w:rsidR="00753414">
        <w:rPr>
          <w:rFonts w:ascii="Book Antiqua" w:eastAsia="Book Antiqua" w:hAnsi="Book Antiqua" w:cs="Book Antiqua"/>
          <w:lang w:val="es-PR"/>
        </w:rPr>
        <w:t xml:space="preserve"> Núm.</w:t>
      </w:r>
      <w:r w:rsidRPr="00A72543">
        <w:rPr>
          <w:rFonts w:ascii="Book Antiqua" w:eastAsia="Book Antiqua" w:hAnsi="Book Antiqua" w:cs="Book Antiqua"/>
          <w:lang w:val="es-PR"/>
        </w:rPr>
        <w:t xml:space="preserve"> 474 el compromiso del Gobierno de Puerto Rico con una política pública inclusiva, equitativa y sensible a las necesidades de la ciudadanía, especialmente aquellos sectores con mayor vulnerabilidad digital o social.</w:t>
      </w:r>
    </w:p>
    <w:p w14:paraId="3102F88F" w14:textId="77777777" w:rsidR="005240C0" w:rsidRPr="005240C0" w:rsidRDefault="005240C0" w:rsidP="009479FD">
      <w:pPr>
        <w:jc w:val="both"/>
        <w:rPr>
          <w:rFonts w:ascii="Book Antiqua" w:eastAsia="Book Antiqua" w:hAnsi="Book Antiqua" w:cs="Book Antiqua"/>
          <w:lang w:val="es-PR"/>
        </w:rPr>
      </w:pPr>
    </w:p>
    <w:p w14:paraId="56D08392" w14:textId="229BC282" w:rsidR="005240C0" w:rsidRPr="005240C0" w:rsidRDefault="005240C0" w:rsidP="005240C0">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 xml:space="preserve">Por lo antes expuesto, esta Comisión recomienda al Honorable Pleno de la Cámara de Representantes la aprobación del Proyecto de la Cámara Núm. </w:t>
      </w:r>
      <w:r w:rsidR="00EE3837">
        <w:rPr>
          <w:rFonts w:ascii="Book Antiqua" w:eastAsia="Book Antiqua" w:hAnsi="Book Antiqua" w:cs="Book Antiqua"/>
          <w:lang w:val="es-PR"/>
        </w:rPr>
        <w:t>474</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763807AF" w14:textId="77777777" w:rsidR="00500BFE" w:rsidRDefault="00500BFE" w:rsidP="00500BFE">
      <w:pPr>
        <w:jc w:val="both"/>
        <w:rPr>
          <w:rFonts w:ascii="Book Antiqua" w:eastAsia="Book Antiqua" w:hAnsi="Book Antiqua" w:cs="Book Antiqua"/>
        </w:rPr>
      </w:pPr>
    </w:p>
    <w:p w14:paraId="3F3CD516" w14:textId="77777777" w:rsidR="005240C0" w:rsidRPr="00500BFE" w:rsidRDefault="005240C0"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50242EB5" w14:textId="77777777" w:rsidR="00A52329" w:rsidRDefault="00A52329" w:rsidP="00A52329">
      <w:pPr>
        <w:jc w:val="both"/>
        <w:rPr>
          <w:rFonts w:ascii="Book Antiqua" w:eastAsia="Book Antiqua" w:hAnsi="Book Antiqua" w:cs="Book Antiqua"/>
        </w:rPr>
      </w:pPr>
    </w:p>
    <w:p w14:paraId="5CAC8400" w14:textId="77777777" w:rsidR="00A52329" w:rsidRDefault="00A52329" w:rsidP="00A52329">
      <w:pPr>
        <w:jc w:val="both"/>
        <w:rPr>
          <w:rFonts w:ascii="Book Antiqua" w:eastAsia="Book Antiqua" w:hAnsi="Book Antiqua" w:cs="Book Antiqua"/>
        </w:rPr>
      </w:pP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63B25" w14:textId="77777777" w:rsidR="000F6A4F" w:rsidRDefault="000F6A4F">
      <w:r>
        <w:separator/>
      </w:r>
    </w:p>
  </w:endnote>
  <w:endnote w:type="continuationSeparator" w:id="0">
    <w:p w14:paraId="41FA6AE5" w14:textId="77777777" w:rsidR="000F6A4F" w:rsidRDefault="000F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8DB6F3B-3EDA-4AB4-BF14-E274ABD39FB4}"/>
  </w:font>
  <w:font w:name="Helvetica">
    <w:panose1 w:val="020B0604020202020204"/>
    <w:charset w:val="00"/>
    <w:family w:val="swiss"/>
    <w:pitch w:val="variable"/>
    <w:sig w:usb0="E0002EFF" w:usb1="C000785B" w:usb2="00000009" w:usb3="00000000" w:csb0="000001FF" w:csb1="00000000"/>
    <w:embedRegular r:id="rId2" w:fontKey="{9D33C96D-8C8F-40DC-9198-EA27E87F9914}"/>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33FCDEB4-3DF1-43C8-8310-E1A0BED0FCBA}"/>
  </w:font>
  <w:font w:name="Georgia">
    <w:panose1 w:val="02040502050405020303"/>
    <w:charset w:val="00"/>
    <w:family w:val="roman"/>
    <w:pitch w:val="variable"/>
    <w:sig w:usb0="00000287" w:usb1="00000000" w:usb2="00000000" w:usb3="00000000" w:csb0="0000009F" w:csb1="00000000"/>
    <w:embedRegular r:id="rId4" w:fontKey="{7A1A6DBF-87BA-49C5-BFE0-151D51987277}"/>
    <w:embedItalic r:id="rId5" w:fontKey="{095D6CDF-52EA-4662-B380-C4CF8258CE08}"/>
  </w:font>
  <w:font w:name="Book Antiqua">
    <w:panose1 w:val="02040602050305030304"/>
    <w:charset w:val="00"/>
    <w:family w:val="roman"/>
    <w:pitch w:val="variable"/>
    <w:sig w:usb0="00000287" w:usb1="00000000" w:usb2="00000000" w:usb3="00000000" w:csb0="0000009F" w:csb1="00000000"/>
    <w:embedRegular r:id="rId6" w:fontKey="{5213CCFE-76E4-4BE2-9CD9-2883CD2F0814}"/>
    <w:embedBold r:id="rId7" w:fontKey="{BB511E5B-FEE6-473A-86B4-4DD9B8FC540A}"/>
  </w:font>
  <w:font w:name="Lustria">
    <w:altName w:val="Calibri"/>
    <w:charset w:val="00"/>
    <w:family w:val="auto"/>
    <w:pitch w:val="default"/>
    <w:embedRegular r:id="rId8" w:fontKey="{DFE9BEAA-845F-4931-9226-29412CF8E5C2}"/>
    <w:embedBoldItalic r:id="rId9" w:fontKey="{90317B79-23FA-4243-BE79-344669F87F35}"/>
  </w:font>
  <w:font w:name="Cambria">
    <w:panose1 w:val="02040503050406030204"/>
    <w:charset w:val="00"/>
    <w:family w:val="roman"/>
    <w:pitch w:val="variable"/>
    <w:sig w:usb0="E00006FF" w:usb1="420024FF" w:usb2="02000000" w:usb3="00000000" w:csb0="0000019F" w:csb1="00000000"/>
    <w:embedRegular r:id="rId10" w:fontKey="{D245594E-C829-412D-A079-862C5A84BC6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95E5A" w14:textId="77777777" w:rsidR="000F6A4F" w:rsidRDefault="000F6A4F">
      <w:r>
        <w:separator/>
      </w:r>
    </w:p>
  </w:footnote>
  <w:footnote w:type="continuationSeparator" w:id="0">
    <w:p w14:paraId="4D6C9E67" w14:textId="77777777" w:rsidR="000F6A4F" w:rsidRDefault="000F6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5935F2D"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4E176A">
      <w:rPr>
        <w:rFonts w:ascii="Lustria" w:eastAsia="Lustria" w:hAnsi="Lustria" w:cs="Lustria"/>
        <w:b/>
        <w:i/>
        <w:sz w:val="22"/>
        <w:szCs w:val="22"/>
      </w:rPr>
      <w:t>P</w:t>
    </w:r>
    <w:r>
      <w:rPr>
        <w:rFonts w:ascii="Lustria" w:eastAsia="Lustria" w:hAnsi="Lustria" w:cs="Lustria"/>
        <w:b/>
        <w:i/>
        <w:sz w:val="22"/>
        <w:szCs w:val="22"/>
      </w:rPr>
      <w:t>. de</w:t>
    </w:r>
    <w:r w:rsidR="009B6911">
      <w:rPr>
        <w:rFonts w:ascii="Lustria" w:eastAsia="Lustria" w:hAnsi="Lustria" w:cs="Lustria"/>
        <w:b/>
        <w:i/>
        <w:sz w:val="22"/>
        <w:szCs w:val="22"/>
      </w:rPr>
      <w:t xml:space="preserve"> </w:t>
    </w:r>
    <w:r w:rsidR="004E176A">
      <w:rPr>
        <w:rFonts w:ascii="Lustria" w:eastAsia="Lustria" w:hAnsi="Lustria" w:cs="Lustria"/>
        <w:b/>
        <w:i/>
        <w:sz w:val="22"/>
        <w:szCs w:val="22"/>
      </w:rPr>
      <w:t>l</w:t>
    </w:r>
    <w:r w:rsidR="009B6911">
      <w:rPr>
        <w:rFonts w:ascii="Lustria" w:eastAsia="Lustria" w:hAnsi="Lustria" w:cs="Lustria"/>
        <w:b/>
        <w:i/>
        <w:sz w:val="22"/>
        <w:szCs w:val="22"/>
      </w:rPr>
      <w:t>a C</w:t>
    </w:r>
    <w:r>
      <w:rPr>
        <w:rFonts w:ascii="Lustria" w:eastAsia="Lustria" w:hAnsi="Lustria" w:cs="Lustria"/>
        <w:b/>
        <w:i/>
        <w:sz w:val="22"/>
        <w:szCs w:val="22"/>
      </w:rPr>
      <w:t xml:space="preserve">. </w:t>
    </w:r>
    <w:r w:rsidR="00922BDA">
      <w:rPr>
        <w:rFonts w:ascii="Lustria" w:eastAsia="Lustria" w:hAnsi="Lustria" w:cs="Lustria"/>
        <w:b/>
        <w:i/>
        <w:sz w:val="22"/>
        <w:szCs w:val="22"/>
      </w:rPr>
      <w:t>474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8337A5"/>
    <w:multiLevelType w:val="hybridMultilevel"/>
    <w:tmpl w:val="8F66D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2"/>
  </w:num>
  <w:num w:numId="3" w16cid:durableId="657537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17B44"/>
    <w:rsid w:val="00020305"/>
    <w:rsid w:val="000241DA"/>
    <w:rsid w:val="0002740C"/>
    <w:rsid w:val="00051D05"/>
    <w:rsid w:val="000562AB"/>
    <w:rsid w:val="00074013"/>
    <w:rsid w:val="00080F3B"/>
    <w:rsid w:val="000A752D"/>
    <w:rsid w:val="000C098A"/>
    <w:rsid w:val="000F6A4F"/>
    <w:rsid w:val="000F7A24"/>
    <w:rsid w:val="00101FB4"/>
    <w:rsid w:val="0012417C"/>
    <w:rsid w:val="001460E6"/>
    <w:rsid w:val="00147B7C"/>
    <w:rsid w:val="00160C1F"/>
    <w:rsid w:val="001619B2"/>
    <w:rsid w:val="001714C4"/>
    <w:rsid w:val="00182ACF"/>
    <w:rsid w:val="001854E0"/>
    <w:rsid w:val="0019085D"/>
    <w:rsid w:val="00191185"/>
    <w:rsid w:val="00197C13"/>
    <w:rsid w:val="001A3E93"/>
    <w:rsid w:val="001D424E"/>
    <w:rsid w:val="001E16CE"/>
    <w:rsid w:val="001E2EB4"/>
    <w:rsid w:val="001E6E24"/>
    <w:rsid w:val="001F728C"/>
    <w:rsid w:val="00202B9F"/>
    <w:rsid w:val="00204C67"/>
    <w:rsid w:val="00220975"/>
    <w:rsid w:val="00222393"/>
    <w:rsid w:val="00235829"/>
    <w:rsid w:val="00237952"/>
    <w:rsid w:val="00243460"/>
    <w:rsid w:val="00266B2F"/>
    <w:rsid w:val="00274850"/>
    <w:rsid w:val="002D4DC3"/>
    <w:rsid w:val="002E1DF7"/>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A6565"/>
    <w:rsid w:val="004D3D36"/>
    <w:rsid w:val="004E176A"/>
    <w:rsid w:val="004E28E4"/>
    <w:rsid w:val="00500BFE"/>
    <w:rsid w:val="00501798"/>
    <w:rsid w:val="005059B4"/>
    <w:rsid w:val="00506A3D"/>
    <w:rsid w:val="005227C0"/>
    <w:rsid w:val="00523B9F"/>
    <w:rsid w:val="005240C0"/>
    <w:rsid w:val="005456F5"/>
    <w:rsid w:val="00550313"/>
    <w:rsid w:val="00557604"/>
    <w:rsid w:val="005858EA"/>
    <w:rsid w:val="00596F5B"/>
    <w:rsid w:val="005A1843"/>
    <w:rsid w:val="005A2DE0"/>
    <w:rsid w:val="005C5B99"/>
    <w:rsid w:val="005E4A2F"/>
    <w:rsid w:val="00605CE1"/>
    <w:rsid w:val="0060692B"/>
    <w:rsid w:val="006312ED"/>
    <w:rsid w:val="00634A11"/>
    <w:rsid w:val="006354F3"/>
    <w:rsid w:val="00642646"/>
    <w:rsid w:val="0068352C"/>
    <w:rsid w:val="006908FA"/>
    <w:rsid w:val="006A552A"/>
    <w:rsid w:val="006A7E5E"/>
    <w:rsid w:val="006D11F6"/>
    <w:rsid w:val="006D297F"/>
    <w:rsid w:val="006E029C"/>
    <w:rsid w:val="00700566"/>
    <w:rsid w:val="0071797E"/>
    <w:rsid w:val="00717E64"/>
    <w:rsid w:val="00735C8F"/>
    <w:rsid w:val="00753414"/>
    <w:rsid w:val="00766B8B"/>
    <w:rsid w:val="00771802"/>
    <w:rsid w:val="0077204A"/>
    <w:rsid w:val="00772095"/>
    <w:rsid w:val="00785FCE"/>
    <w:rsid w:val="0079045F"/>
    <w:rsid w:val="007923B1"/>
    <w:rsid w:val="00797E58"/>
    <w:rsid w:val="00797FCC"/>
    <w:rsid w:val="007C31AB"/>
    <w:rsid w:val="007C3C34"/>
    <w:rsid w:val="007C6404"/>
    <w:rsid w:val="007F09EB"/>
    <w:rsid w:val="007F0CDC"/>
    <w:rsid w:val="007F5687"/>
    <w:rsid w:val="00811E0B"/>
    <w:rsid w:val="00817784"/>
    <w:rsid w:val="00827D84"/>
    <w:rsid w:val="0083404D"/>
    <w:rsid w:val="008355F8"/>
    <w:rsid w:val="00835F7B"/>
    <w:rsid w:val="00842EBD"/>
    <w:rsid w:val="0085373F"/>
    <w:rsid w:val="0085568D"/>
    <w:rsid w:val="00871B4B"/>
    <w:rsid w:val="00875CE7"/>
    <w:rsid w:val="008A645B"/>
    <w:rsid w:val="008A65F0"/>
    <w:rsid w:val="008A7B90"/>
    <w:rsid w:val="008B5454"/>
    <w:rsid w:val="008D3F5B"/>
    <w:rsid w:val="008E7719"/>
    <w:rsid w:val="008F30F0"/>
    <w:rsid w:val="00902B02"/>
    <w:rsid w:val="009048A3"/>
    <w:rsid w:val="0091544D"/>
    <w:rsid w:val="00922397"/>
    <w:rsid w:val="00922BDA"/>
    <w:rsid w:val="00940A79"/>
    <w:rsid w:val="009479FD"/>
    <w:rsid w:val="009742B0"/>
    <w:rsid w:val="009821D1"/>
    <w:rsid w:val="009A30EC"/>
    <w:rsid w:val="009B6911"/>
    <w:rsid w:val="009E0BE7"/>
    <w:rsid w:val="009E7555"/>
    <w:rsid w:val="00A04609"/>
    <w:rsid w:val="00A11D0B"/>
    <w:rsid w:val="00A2169D"/>
    <w:rsid w:val="00A24012"/>
    <w:rsid w:val="00A27CCB"/>
    <w:rsid w:val="00A43849"/>
    <w:rsid w:val="00A52329"/>
    <w:rsid w:val="00A54084"/>
    <w:rsid w:val="00A57E02"/>
    <w:rsid w:val="00A62FD8"/>
    <w:rsid w:val="00A71874"/>
    <w:rsid w:val="00A72543"/>
    <w:rsid w:val="00A95142"/>
    <w:rsid w:val="00AB45BB"/>
    <w:rsid w:val="00AC7FD7"/>
    <w:rsid w:val="00AD05EA"/>
    <w:rsid w:val="00AE1FD3"/>
    <w:rsid w:val="00AE44CF"/>
    <w:rsid w:val="00B43BBC"/>
    <w:rsid w:val="00B4557A"/>
    <w:rsid w:val="00B45C76"/>
    <w:rsid w:val="00B46ABC"/>
    <w:rsid w:val="00B52476"/>
    <w:rsid w:val="00B5359D"/>
    <w:rsid w:val="00B57A56"/>
    <w:rsid w:val="00B803A7"/>
    <w:rsid w:val="00B829B4"/>
    <w:rsid w:val="00B93150"/>
    <w:rsid w:val="00B97590"/>
    <w:rsid w:val="00BA4DF7"/>
    <w:rsid w:val="00BE2F13"/>
    <w:rsid w:val="00C023B0"/>
    <w:rsid w:val="00C13D9D"/>
    <w:rsid w:val="00C1423C"/>
    <w:rsid w:val="00C41F71"/>
    <w:rsid w:val="00C667AF"/>
    <w:rsid w:val="00C705FE"/>
    <w:rsid w:val="00C7132A"/>
    <w:rsid w:val="00C73728"/>
    <w:rsid w:val="00C82CE2"/>
    <w:rsid w:val="00C87206"/>
    <w:rsid w:val="00C944CF"/>
    <w:rsid w:val="00CA549E"/>
    <w:rsid w:val="00CA6335"/>
    <w:rsid w:val="00CB5781"/>
    <w:rsid w:val="00CC0947"/>
    <w:rsid w:val="00CD59A0"/>
    <w:rsid w:val="00CD62E0"/>
    <w:rsid w:val="00CE3657"/>
    <w:rsid w:val="00CE3E07"/>
    <w:rsid w:val="00D13155"/>
    <w:rsid w:val="00D16C60"/>
    <w:rsid w:val="00D5029F"/>
    <w:rsid w:val="00D60BBD"/>
    <w:rsid w:val="00D77036"/>
    <w:rsid w:val="00D80BF5"/>
    <w:rsid w:val="00D82337"/>
    <w:rsid w:val="00D83118"/>
    <w:rsid w:val="00D94DD2"/>
    <w:rsid w:val="00DB02F9"/>
    <w:rsid w:val="00DB46A4"/>
    <w:rsid w:val="00DD6D1E"/>
    <w:rsid w:val="00DE6658"/>
    <w:rsid w:val="00DF212A"/>
    <w:rsid w:val="00E135D5"/>
    <w:rsid w:val="00E16D68"/>
    <w:rsid w:val="00E24AC1"/>
    <w:rsid w:val="00E3056E"/>
    <w:rsid w:val="00E374AE"/>
    <w:rsid w:val="00E43AB8"/>
    <w:rsid w:val="00E62D96"/>
    <w:rsid w:val="00E7155F"/>
    <w:rsid w:val="00E776D5"/>
    <w:rsid w:val="00E8576C"/>
    <w:rsid w:val="00E94557"/>
    <w:rsid w:val="00EA26A1"/>
    <w:rsid w:val="00EB340F"/>
    <w:rsid w:val="00EC1B23"/>
    <w:rsid w:val="00EE1E93"/>
    <w:rsid w:val="00EE3837"/>
    <w:rsid w:val="00EE5B6A"/>
    <w:rsid w:val="00F01A45"/>
    <w:rsid w:val="00F01B4D"/>
    <w:rsid w:val="00F032FA"/>
    <w:rsid w:val="00F05EFF"/>
    <w:rsid w:val="00F104E1"/>
    <w:rsid w:val="00F26D5A"/>
    <w:rsid w:val="00F3553E"/>
    <w:rsid w:val="00F366B9"/>
    <w:rsid w:val="00F615C8"/>
    <w:rsid w:val="00F64D5F"/>
    <w:rsid w:val="00F92037"/>
    <w:rsid w:val="00FA71C8"/>
    <w:rsid w:val="00FA747A"/>
    <w:rsid w:val="00FB1972"/>
    <w:rsid w:val="00FB2FCA"/>
    <w:rsid w:val="00FD2347"/>
    <w:rsid w:val="00FE798D"/>
    <w:rsid w:val="00FF14E6"/>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1196</Words>
  <Characters>6822</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2025-10-22T14:33:00Z</cp:lastPrinted>
  <dcterms:created xsi:type="dcterms:W3CDTF">2026-06-08T21:49:00Z</dcterms:created>
  <dcterms:modified xsi:type="dcterms:W3CDTF">2026-06-08T21:49:00Z</dcterms:modified>
</cp:coreProperties>
</file>