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23256FCA"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1F47D9">
        <w:rPr>
          <w:rFonts w:ascii="Book Antiqua" w:hAnsi="Book Antiqua"/>
          <w:lang w:val="es-ES_tradnl"/>
        </w:rPr>
        <w:t>2</w:t>
      </w:r>
      <w:r>
        <w:rPr>
          <w:rFonts w:ascii="Book Antiqua" w:hAnsi="Book Antiqua"/>
          <w:lang w:val="es-ES_tradnl"/>
        </w:rPr>
        <w:t xml:space="preserve"> </w:t>
      </w:r>
      <w:r w:rsidR="008111FF">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03BD3CA9"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P. de</w:t>
      </w:r>
      <w:r w:rsidR="00A04B14">
        <w:rPr>
          <w:rFonts w:ascii="Book Antiqua" w:hAnsi="Book Antiqua"/>
          <w:b/>
          <w:sz w:val="52"/>
          <w:szCs w:val="52"/>
          <w:lang w:val="es-ES_tradnl"/>
        </w:rPr>
        <w:t xml:space="preserve"> </w:t>
      </w:r>
      <w:r w:rsidRPr="00BC74F8">
        <w:rPr>
          <w:rFonts w:ascii="Book Antiqua" w:hAnsi="Book Antiqua"/>
          <w:b/>
          <w:sz w:val="52"/>
          <w:szCs w:val="52"/>
          <w:lang w:val="es-ES_tradnl"/>
        </w:rPr>
        <w:t>l</w:t>
      </w:r>
      <w:r w:rsidR="00A04B14">
        <w:rPr>
          <w:rFonts w:ascii="Book Antiqua" w:hAnsi="Book Antiqua"/>
          <w:b/>
          <w:sz w:val="52"/>
          <w:szCs w:val="52"/>
          <w:lang w:val="es-ES_tradnl"/>
        </w:rPr>
        <w:t>a</w:t>
      </w:r>
      <w:r w:rsidRPr="00BC74F8">
        <w:rPr>
          <w:rFonts w:ascii="Book Antiqua" w:hAnsi="Book Antiqua"/>
          <w:b/>
          <w:sz w:val="52"/>
          <w:szCs w:val="52"/>
          <w:lang w:val="es-ES_tradnl"/>
        </w:rPr>
        <w:t xml:space="preserve"> </w:t>
      </w:r>
      <w:r w:rsidR="00A04B14">
        <w:rPr>
          <w:rFonts w:ascii="Book Antiqua" w:hAnsi="Book Antiqua"/>
          <w:b/>
          <w:sz w:val="52"/>
          <w:szCs w:val="52"/>
          <w:lang w:val="es-ES_tradnl"/>
        </w:rPr>
        <w:t>C</w:t>
      </w:r>
      <w:r w:rsidRPr="00BC74F8">
        <w:rPr>
          <w:rFonts w:ascii="Book Antiqua" w:hAnsi="Book Antiqua"/>
          <w:b/>
          <w:sz w:val="52"/>
          <w:szCs w:val="52"/>
          <w:lang w:val="es-ES_tradnl"/>
        </w:rPr>
        <w:t xml:space="preserve">. </w:t>
      </w:r>
      <w:r w:rsidR="0060427C">
        <w:rPr>
          <w:rFonts w:ascii="Book Antiqua" w:hAnsi="Book Antiqua"/>
          <w:b/>
          <w:sz w:val="52"/>
          <w:szCs w:val="52"/>
          <w:lang w:val="es-ES_tradnl"/>
        </w:rPr>
        <w:t>4</w:t>
      </w:r>
      <w:r w:rsidR="005B77D0">
        <w:rPr>
          <w:rFonts w:ascii="Book Antiqua" w:hAnsi="Book Antiqua"/>
          <w:b/>
          <w:sz w:val="52"/>
          <w:szCs w:val="52"/>
          <w:lang w:val="es-ES_tradnl"/>
        </w:rPr>
        <w:t>75</w:t>
      </w:r>
    </w:p>
    <w:p w14:paraId="2F578C80" w14:textId="1D6CCCAD"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A04B14">
        <w:rPr>
          <w:rFonts w:ascii="Book Antiqua" w:hAnsi="Book Antiqua"/>
          <w:b/>
          <w:bCs/>
          <w:sz w:val="28"/>
          <w:szCs w:val="22"/>
          <w:lang w:val="es-ES_tradnl"/>
        </w:rPr>
        <w:t>POSITIVO</w:t>
      </w:r>
      <w:r w:rsidR="00DE2902" w:rsidRPr="00BC74F8">
        <w:rPr>
          <w:rFonts w:ascii="Book Antiqua" w:hAnsi="Book Antiqua"/>
          <w:b/>
          <w:bCs/>
          <w:sz w:val="28"/>
          <w:szCs w:val="22"/>
          <w:lang w:val="es-ES_tradnl"/>
        </w:rPr>
        <w:t xml:space="preserve"> </w:t>
      </w:r>
    </w:p>
    <w:p w14:paraId="77734161" w14:textId="40C1B908" w:rsidR="000F6729" w:rsidRPr="007E538D" w:rsidRDefault="000E0E63" w:rsidP="007E538D">
      <w:pPr>
        <w:spacing w:line="360" w:lineRule="auto"/>
        <w:jc w:val="center"/>
        <w:rPr>
          <w:rFonts w:ascii="Book Antiqua" w:hAnsi="Book Antiqua"/>
          <w:i/>
          <w:szCs w:val="24"/>
          <w:lang w:val="es-419"/>
        </w:rPr>
      </w:pPr>
      <w:r>
        <w:rPr>
          <w:rFonts w:ascii="Book Antiqua" w:hAnsi="Book Antiqua"/>
          <w:lang w:val="es-ES_tradnl"/>
        </w:rPr>
        <w:t>17 de septiembre</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06B3A726"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del Proyecto de</w:t>
      </w:r>
      <w:r w:rsidR="00A04B14">
        <w:rPr>
          <w:rFonts w:ascii="Book Antiqua" w:hAnsi="Book Antiqua"/>
          <w:bCs/>
          <w:szCs w:val="24"/>
          <w:lang w:val="es-ES_tradnl"/>
        </w:rPr>
        <w:t xml:space="preserve"> </w:t>
      </w:r>
      <w:r w:rsidR="006A6960" w:rsidRPr="00DE2902">
        <w:rPr>
          <w:rFonts w:ascii="Book Antiqua" w:hAnsi="Book Antiqua"/>
          <w:bCs/>
          <w:szCs w:val="24"/>
          <w:lang w:val="es-ES_tradnl"/>
        </w:rPr>
        <w:t>l</w:t>
      </w:r>
      <w:r w:rsidR="00A04B14">
        <w:rPr>
          <w:rFonts w:ascii="Book Antiqua" w:hAnsi="Book Antiqua"/>
          <w:bCs/>
          <w:szCs w:val="24"/>
          <w:lang w:val="es-ES_tradnl"/>
        </w:rPr>
        <w:t>a</w:t>
      </w:r>
      <w:r w:rsidR="006A6960" w:rsidRPr="00DE2902">
        <w:rPr>
          <w:rFonts w:ascii="Book Antiqua" w:hAnsi="Book Antiqua"/>
          <w:bCs/>
          <w:szCs w:val="24"/>
          <w:lang w:val="es-ES_tradnl"/>
        </w:rPr>
        <w:t xml:space="preserve"> </w:t>
      </w:r>
      <w:r w:rsidR="00A04B14">
        <w:rPr>
          <w:rFonts w:ascii="Book Antiqua" w:hAnsi="Book Antiqua"/>
          <w:bCs/>
          <w:szCs w:val="24"/>
          <w:lang w:val="es-ES_tradnl"/>
        </w:rPr>
        <w:t xml:space="preserve">Cámara </w:t>
      </w:r>
      <w:r w:rsidR="00D73F64">
        <w:rPr>
          <w:rFonts w:ascii="Book Antiqua" w:hAnsi="Book Antiqua"/>
          <w:bCs/>
          <w:szCs w:val="24"/>
          <w:lang w:val="es-ES_tradnl"/>
        </w:rPr>
        <w:t>4</w:t>
      </w:r>
      <w:r w:rsidR="005B77D0">
        <w:rPr>
          <w:rFonts w:ascii="Book Antiqua" w:hAnsi="Book Antiqua"/>
          <w:bCs/>
          <w:szCs w:val="24"/>
          <w:lang w:val="es-ES_tradnl"/>
        </w:rPr>
        <w:t>75</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15E060BD" w14:textId="77777777" w:rsidR="00324320" w:rsidRDefault="00324320" w:rsidP="00816D27">
      <w:pPr>
        <w:ind w:firstLine="540"/>
        <w:jc w:val="both"/>
        <w:rPr>
          <w:rFonts w:ascii="Book Antiqua" w:hAnsi="Book Antiqua"/>
          <w:bCs/>
          <w:szCs w:val="24"/>
          <w:lang w:val="es-ES"/>
        </w:rPr>
      </w:pPr>
    </w:p>
    <w:p w14:paraId="2D45045B" w14:textId="4954AB32" w:rsidR="005B77D0" w:rsidRPr="00B22524" w:rsidRDefault="002E42EC" w:rsidP="005B77D0">
      <w:pPr>
        <w:suppressLineNumbers/>
        <w:ind w:firstLine="540"/>
        <w:jc w:val="both"/>
        <w:rPr>
          <w:rFonts w:ascii="Book Antiqua" w:hAnsi="Book Antiqua"/>
          <w:szCs w:val="24"/>
          <w:lang w:val="es-ES"/>
        </w:rPr>
      </w:pPr>
      <w:r>
        <w:rPr>
          <w:rFonts w:ascii="Book Antiqua" w:hAnsi="Book Antiqua"/>
          <w:bCs/>
          <w:szCs w:val="24"/>
          <w:lang w:val="es-ES"/>
        </w:rPr>
        <w:t xml:space="preserve">El Proyecto de la Cámara </w:t>
      </w:r>
      <w:r w:rsidR="00D73F64">
        <w:rPr>
          <w:rFonts w:ascii="Book Antiqua" w:hAnsi="Book Antiqua"/>
          <w:bCs/>
          <w:szCs w:val="24"/>
          <w:lang w:val="es-ES"/>
        </w:rPr>
        <w:t>4</w:t>
      </w:r>
      <w:r w:rsidR="005B77D0">
        <w:rPr>
          <w:rFonts w:ascii="Book Antiqua" w:hAnsi="Book Antiqua"/>
          <w:bCs/>
          <w:szCs w:val="24"/>
          <w:lang w:val="es-ES"/>
        </w:rPr>
        <w:t>75</w:t>
      </w:r>
      <w:r>
        <w:rPr>
          <w:rFonts w:ascii="Book Antiqua" w:hAnsi="Book Antiqua"/>
          <w:bCs/>
          <w:szCs w:val="24"/>
          <w:lang w:val="es-ES"/>
        </w:rPr>
        <w:t xml:space="preserve">, tiene el propósito de </w:t>
      </w:r>
      <w:r w:rsidR="005B77D0" w:rsidRPr="00B22524">
        <w:rPr>
          <w:rFonts w:ascii="Book Antiqua" w:hAnsi="Book Antiqua"/>
          <w:szCs w:val="24"/>
          <w:lang w:val="es-ES_tradnl"/>
        </w:rPr>
        <w:t>enmendar el Artículo 9.10 de la Ley Núm. 85-2018, según enmendada,</w:t>
      </w:r>
      <w:r w:rsidR="005B77D0" w:rsidRPr="00B22524">
        <w:rPr>
          <w:rFonts w:ascii="Book Antiqua" w:hAnsi="Book Antiqua"/>
          <w:szCs w:val="24"/>
          <w:lang w:val="es-PR"/>
        </w:rPr>
        <w:t xml:space="preserve"> conocida como “Ley de Reforma Educativa de Puerto Rico”, a los fines de establecer que dentro de los talleres y campañas educativas sobre estilos de vida saludables y buenas prácticas nutricionales dispuestos en dicho Artículo, se incluya orientación y educación </w:t>
      </w:r>
      <w:r w:rsidR="005B77D0" w:rsidRPr="00B22524">
        <w:rPr>
          <w:rFonts w:ascii="Book Antiqua" w:hAnsi="Book Antiqua" w:cs="Tahoma"/>
          <w:color w:val="000000"/>
          <w:szCs w:val="24"/>
          <w:shd w:val="clear" w:color="auto" w:fill="FFFFFF"/>
          <w:lang w:val="es-PR"/>
        </w:rPr>
        <w:t>con respecto a la prevención de trastornos alimenticios, tales como la anorexia nerviosa, la bulimia nerviosa y el trastorno por atracón, entre otros</w:t>
      </w:r>
      <w:r w:rsidR="005B77D0" w:rsidRPr="00B22524">
        <w:rPr>
          <w:rFonts w:ascii="Book Antiqua" w:hAnsi="Book Antiqua"/>
          <w:szCs w:val="24"/>
          <w:lang w:val="es-ES"/>
        </w:rPr>
        <w:t>.</w:t>
      </w:r>
    </w:p>
    <w:p w14:paraId="716695AB" w14:textId="4BC4E9B4" w:rsidR="00B710E6" w:rsidRPr="005B77D0" w:rsidRDefault="00B710E6" w:rsidP="00816D27">
      <w:pPr>
        <w:ind w:firstLine="540"/>
        <w:jc w:val="both"/>
        <w:rPr>
          <w:rFonts w:ascii="Book Antiqua" w:hAnsi="Book Antiqua"/>
          <w:bCs/>
          <w:szCs w:val="24"/>
          <w:lang w:val="es-ES"/>
        </w:rPr>
      </w:pPr>
    </w:p>
    <w:p w14:paraId="2083541B" w14:textId="7F9BFFB2" w:rsidR="0072499D" w:rsidRDefault="0072499D" w:rsidP="0072499D">
      <w:pPr>
        <w:ind w:firstLine="540"/>
        <w:jc w:val="both"/>
        <w:rPr>
          <w:rFonts w:ascii="Book Antiqua" w:hAnsi="Book Antiqua"/>
          <w:bCs/>
          <w:lang w:val="es-PR"/>
        </w:rPr>
      </w:pPr>
    </w:p>
    <w:p w14:paraId="45AD6210" w14:textId="77777777" w:rsidR="002E42EC" w:rsidRDefault="002E42EC" w:rsidP="002E42EC">
      <w:pPr>
        <w:pStyle w:val="Heading3"/>
        <w:tabs>
          <w:tab w:val="left" w:pos="-720"/>
        </w:tabs>
        <w:spacing w:before="0" w:after="0"/>
        <w:jc w:val="center"/>
        <w:rPr>
          <w:rFonts w:ascii="Book Antiqua" w:hAnsi="Book Antiqua"/>
          <w:bCs w:val="0"/>
          <w:sz w:val="24"/>
          <w:szCs w:val="24"/>
          <w:lang w:val="es-US"/>
        </w:rPr>
      </w:pPr>
    </w:p>
    <w:p w14:paraId="4F4A9207" w14:textId="7B6F350C" w:rsidR="00CA4407" w:rsidRDefault="00112D46" w:rsidP="002E42EC">
      <w:pPr>
        <w:pStyle w:val="Heading3"/>
        <w:tabs>
          <w:tab w:val="left" w:pos="-720"/>
        </w:tabs>
        <w:spacing w:before="0" w:after="0"/>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99FB8F8" w14:textId="77777777" w:rsidR="00B00405" w:rsidRDefault="00B00405" w:rsidP="00B00405">
      <w:pPr>
        <w:jc w:val="both"/>
        <w:rPr>
          <w:rFonts w:ascii="Book Antiqua" w:hAnsi="Book Antiqua"/>
          <w:lang w:val="es-PR"/>
        </w:rPr>
      </w:pPr>
    </w:p>
    <w:p w14:paraId="1FDBCCE2" w14:textId="0ABF72B0" w:rsidR="005B77D0" w:rsidRPr="005B77D0" w:rsidRDefault="005B77D0" w:rsidP="005B77D0">
      <w:pPr>
        <w:ind w:firstLine="720"/>
        <w:jc w:val="both"/>
        <w:rPr>
          <w:rFonts w:ascii="Book Antiqua" w:hAnsi="Book Antiqua"/>
          <w:lang w:val="es-PR"/>
        </w:rPr>
      </w:pPr>
      <w:r>
        <w:rPr>
          <w:rFonts w:ascii="Book Antiqua" w:hAnsi="Book Antiqua"/>
          <w:bCs/>
          <w:szCs w:val="24"/>
          <w:lang w:val="es-ES"/>
        </w:rPr>
        <w:t>El Proyecto de la Cámara 475,</w:t>
      </w:r>
      <w:r w:rsidRPr="005B77D0">
        <w:rPr>
          <w:rFonts w:ascii="Book Antiqua" w:hAnsi="Book Antiqua"/>
          <w:lang w:val="es-PR"/>
        </w:rPr>
        <w:t xml:space="preserve"> constituye un esfuerzo legislativo de gran trascendencia en el ámbito educativo y de salud pública, al proponer la incorporación de talleres y campañas educativas que incluyan orientación sobre la prevención de los trastornos alimenticios en las escuelas del país. Los trastornos de la conducta alimentaria </w:t>
      </w:r>
      <w:r w:rsidRPr="005B77D0">
        <w:rPr>
          <w:rFonts w:ascii="Book Antiqua" w:hAnsi="Book Antiqua"/>
          <w:lang w:val="es-PR"/>
        </w:rPr>
        <w:lastRenderedPageBreak/>
        <w:t>(TCA) representan un serio problema de salud mental y física que impacta de manera directa la calidad de vida de quienes los padecen, así como de sus familias y comunidades. De acuerdo con estimados recientes, aproximadamente un 9% de la población estadounidense, equivalente a 28.8 millones de personas, padecerá un trastorno alimentario en algún momento de su vida. La magnitud del problema queda aún más evidenciada al señalarse que cada 52 minutos fallece una persona como consecuencia directa de un trastorno alimenticio, lo que representa unas 10,200 muertes al año. Asimismo, el costo económico anual asociado a estos desórdenes asciende a 64.7 billones de dólares, lo que refleja la gravedad y el alcance de sus repercusiones sociales y económicas.</w:t>
      </w:r>
    </w:p>
    <w:p w14:paraId="48556073" w14:textId="77777777" w:rsidR="005B77D0" w:rsidRDefault="005B77D0" w:rsidP="005B77D0">
      <w:pPr>
        <w:jc w:val="both"/>
        <w:rPr>
          <w:rFonts w:ascii="Book Antiqua" w:hAnsi="Book Antiqua"/>
          <w:lang w:val="es-PR"/>
        </w:rPr>
      </w:pPr>
    </w:p>
    <w:p w14:paraId="4E4FC8B3" w14:textId="135F4136" w:rsidR="005B77D0" w:rsidRPr="005B77D0" w:rsidRDefault="005B77D0" w:rsidP="005B77D0">
      <w:pPr>
        <w:ind w:firstLine="720"/>
        <w:jc w:val="both"/>
        <w:rPr>
          <w:rFonts w:ascii="Book Antiqua" w:hAnsi="Book Antiqua"/>
          <w:lang w:val="es-PR"/>
        </w:rPr>
      </w:pPr>
      <w:r w:rsidRPr="005B77D0">
        <w:rPr>
          <w:rFonts w:ascii="Book Antiqua" w:hAnsi="Book Antiqua"/>
          <w:lang w:val="es-PR"/>
        </w:rPr>
        <w:t>Entre los trastornos más comunes se encuentran la anorexia nerviosa, la bulimia nerviosa y el trastorno por atracón, cada uno con consecuencias graves para la salud física y mental. La anorexia puede provocar deterioro orgánico severo y hasta la muerte debido a la malnutrición extrema; la bulimia se asocia a desequilibrios electrolíticos y problemas cardíacos; mientras que el trastorno por atracón conlleva un mayor riesgo de obesidad, diabetes, hipertensión y enfermedades cardiovasculares. Además, investigaciones demuestran que las personas con TCA presentan tasas más elevadas de depresión, ansiedad, conductas autolesivas e incluso suicidios en comparación con la población general.</w:t>
      </w:r>
    </w:p>
    <w:p w14:paraId="6096CEDE" w14:textId="77777777" w:rsidR="005B77D0" w:rsidRDefault="005B77D0" w:rsidP="005B77D0">
      <w:pPr>
        <w:jc w:val="both"/>
        <w:rPr>
          <w:rFonts w:ascii="Book Antiqua" w:hAnsi="Book Antiqua"/>
          <w:lang w:val="es-PR"/>
        </w:rPr>
      </w:pPr>
    </w:p>
    <w:p w14:paraId="65D3699F" w14:textId="0E61FF96" w:rsidR="005B77D0" w:rsidRPr="005B77D0" w:rsidRDefault="005B77D0" w:rsidP="005B77D0">
      <w:pPr>
        <w:ind w:firstLine="720"/>
        <w:jc w:val="both"/>
        <w:rPr>
          <w:rFonts w:ascii="Book Antiqua" w:hAnsi="Book Antiqua"/>
          <w:lang w:val="es-PR"/>
        </w:rPr>
      </w:pPr>
      <w:r w:rsidRPr="005B77D0">
        <w:rPr>
          <w:rFonts w:ascii="Book Antiqua" w:hAnsi="Book Antiqua"/>
          <w:lang w:val="es-PR"/>
        </w:rPr>
        <w:t>Es alarmante destacar que estos trastornos suelen iniciar en la adolescencia, etapa crítica del desarrollo en la que la presión social, los estereotipos de belleza y los factores emocionales tienen un impacto decisivo en la construcción de la identidad. Las estadísticas reflejan que las mujeres jóvenes son las más afectadas, aunque la incidencia en varones ha ido en aumento, lo que subraya la necesidad de medidas inclusivas y preventivas que alcancen a toda la población escolar. La situación se agrava en el caso de niños y adolescentes, ya que los nutrientes son fundamentales durante las etapas de crecimiento. Una detección tardía puede causar daños físicos irreversibles y comprometer el desarrollo físico, cognitivo y emocional de los estudiantes.</w:t>
      </w:r>
    </w:p>
    <w:p w14:paraId="35DA22A8" w14:textId="77777777" w:rsidR="005B77D0" w:rsidRDefault="005B77D0" w:rsidP="005B77D0">
      <w:pPr>
        <w:jc w:val="both"/>
        <w:rPr>
          <w:rFonts w:ascii="Book Antiqua" w:hAnsi="Book Antiqua"/>
          <w:lang w:val="es-PR"/>
        </w:rPr>
      </w:pPr>
    </w:p>
    <w:p w14:paraId="7A87D67E" w14:textId="44CBA47F" w:rsidR="005B77D0" w:rsidRPr="005B77D0" w:rsidRDefault="005B77D0" w:rsidP="005B77D0">
      <w:pPr>
        <w:ind w:firstLine="720"/>
        <w:jc w:val="both"/>
        <w:rPr>
          <w:rFonts w:ascii="Book Antiqua" w:hAnsi="Book Antiqua"/>
          <w:lang w:val="es-PR"/>
        </w:rPr>
      </w:pPr>
      <w:r w:rsidRPr="005B77D0">
        <w:rPr>
          <w:rFonts w:ascii="Book Antiqua" w:hAnsi="Book Antiqua"/>
          <w:lang w:val="es-PR"/>
        </w:rPr>
        <w:t>Ante este panorama, se hace evidente la urgencia de implantar estrategias de educación, concienciación y prevención desde el entorno escolar. La escuela constituye un espacio privilegiado para fomentar hábitos alimentarios saludables, promover una imagen corporal positiva y fortalecer el bienestar emocional de los estudiantes. Incluir de manera expresa la orientación sobre trastornos alimenticios dentro de los programas y campañas de salud escolar permitirá no solo prevenir su aparición, sino también identificar señales tempranas que faciliten una intervención adecuada y oportuna. De esta manera, el Estado cumple con su deber de proteger la salud integral de la niñez y juventud de Puerto Rico</w:t>
      </w:r>
      <w:r w:rsidR="00BB2B1C">
        <w:rPr>
          <w:rFonts w:ascii="Book Antiqua" w:hAnsi="Book Antiqua"/>
          <w:lang w:val="es-PR"/>
        </w:rPr>
        <w:t>.</w:t>
      </w:r>
    </w:p>
    <w:p w14:paraId="1B301BAD" w14:textId="77777777" w:rsidR="00B00405" w:rsidRDefault="00B00405" w:rsidP="00B00405">
      <w:pPr>
        <w:jc w:val="both"/>
        <w:rPr>
          <w:rFonts w:ascii="Book Antiqua" w:hAnsi="Book Antiqua"/>
          <w:lang w:val="es-US"/>
        </w:rPr>
      </w:pPr>
    </w:p>
    <w:p w14:paraId="55FEEA51" w14:textId="77777777" w:rsidR="005B77D0" w:rsidRDefault="005B77D0" w:rsidP="00B00405">
      <w:pPr>
        <w:jc w:val="both"/>
        <w:rPr>
          <w:rFonts w:ascii="Book Antiqua" w:hAnsi="Book Antiqua"/>
          <w:lang w:val="es-US"/>
        </w:rPr>
      </w:pPr>
    </w:p>
    <w:p w14:paraId="7A74D946" w14:textId="77777777" w:rsidR="005B77D0" w:rsidRDefault="005B77D0" w:rsidP="00B00405">
      <w:pPr>
        <w:jc w:val="both"/>
        <w:rPr>
          <w:rFonts w:ascii="Book Antiqua" w:hAnsi="Book Antiqua"/>
          <w:lang w:val="es-US"/>
        </w:rPr>
      </w:pPr>
    </w:p>
    <w:p w14:paraId="3C7D2D39" w14:textId="77777777" w:rsidR="005B77D0" w:rsidRDefault="005B77D0" w:rsidP="00B00405">
      <w:pPr>
        <w:jc w:val="both"/>
        <w:rPr>
          <w:rFonts w:ascii="Book Antiqua" w:hAnsi="Book Antiqua"/>
          <w:lang w:val="es-US"/>
        </w:rPr>
      </w:pPr>
    </w:p>
    <w:p w14:paraId="188009B5" w14:textId="77777777" w:rsidR="005B77D0" w:rsidRDefault="005B77D0" w:rsidP="00B00405">
      <w:pPr>
        <w:jc w:val="both"/>
        <w:rPr>
          <w:rFonts w:ascii="Book Antiqua" w:hAnsi="Book Antiqua"/>
          <w:lang w:val="es-US"/>
        </w:rPr>
      </w:pPr>
    </w:p>
    <w:p w14:paraId="52037E3D" w14:textId="2BE1D63C" w:rsidR="00391980" w:rsidRDefault="00A00629" w:rsidP="002E42EC">
      <w:pPr>
        <w:tabs>
          <w:tab w:val="left" w:pos="-720"/>
        </w:tabs>
        <w:suppressAutoHyphens/>
        <w:jc w:val="center"/>
        <w:rPr>
          <w:rFonts w:ascii="Book Antiqua" w:hAnsi="Book Antiqua"/>
          <w:b/>
          <w:bCs/>
          <w:szCs w:val="24"/>
          <w:lang w:val="es-ES"/>
        </w:rPr>
      </w:pPr>
      <w:r>
        <w:rPr>
          <w:rFonts w:ascii="Book Antiqua" w:hAnsi="Book Antiqua"/>
          <w:b/>
          <w:bCs/>
          <w:szCs w:val="24"/>
          <w:lang w:val="es-ES"/>
        </w:rPr>
        <w:t>A</w:t>
      </w:r>
      <w:r w:rsidR="00391980" w:rsidRPr="00391980">
        <w:rPr>
          <w:rFonts w:ascii="Book Antiqua" w:hAnsi="Book Antiqua"/>
          <w:b/>
          <w:bCs/>
          <w:szCs w:val="24"/>
          <w:lang w:val="es-ES"/>
        </w:rPr>
        <w:t xml:space="preserve">NÁLISIS DE LA MEDIDA </w:t>
      </w:r>
    </w:p>
    <w:p w14:paraId="2E1C63F3" w14:textId="77777777" w:rsidR="00B00405" w:rsidRDefault="00403016" w:rsidP="002E42EC">
      <w:pPr>
        <w:jc w:val="both"/>
        <w:rPr>
          <w:rFonts w:ascii="Book Antiqua" w:hAnsi="Book Antiqua"/>
          <w:b/>
          <w:bCs/>
          <w:szCs w:val="24"/>
          <w:lang w:val="es-ES"/>
        </w:rPr>
      </w:pPr>
      <w:r w:rsidRPr="00C40D4A">
        <w:rPr>
          <w:rFonts w:ascii="Book Antiqua" w:hAnsi="Book Antiqua"/>
          <w:b/>
          <w:bCs/>
          <w:szCs w:val="24"/>
          <w:lang w:val="es-ES"/>
        </w:rPr>
        <w:tab/>
      </w:r>
    </w:p>
    <w:p w14:paraId="4D36E576" w14:textId="057B42F9" w:rsidR="0027068E" w:rsidRDefault="00F95679" w:rsidP="00B00405">
      <w:pPr>
        <w:ind w:firstLine="720"/>
        <w:jc w:val="both"/>
        <w:rPr>
          <w:rFonts w:ascii="Book Antiqua" w:hAnsi="Book Antiqua"/>
          <w:szCs w:val="24"/>
          <w:lang w:val="es-ES"/>
        </w:rPr>
      </w:pPr>
      <w:r w:rsidRPr="00C40D4A">
        <w:rPr>
          <w:rFonts w:ascii="Book Antiqua" w:hAnsi="Book Antiqua"/>
          <w:szCs w:val="24"/>
          <w:lang w:val="es-ES"/>
        </w:rPr>
        <w:t>L</w:t>
      </w:r>
      <w:r w:rsidR="00391980" w:rsidRPr="00C40D4A">
        <w:rPr>
          <w:rFonts w:ascii="Book Antiqua" w:hAnsi="Book Antiqua"/>
          <w:szCs w:val="24"/>
          <w:lang w:val="es-ES"/>
        </w:rPr>
        <w:t>a Comisión de</w:t>
      </w:r>
      <w:r w:rsidRPr="00C40D4A">
        <w:rPr>
          <w:rFonts w:ascii="Book Antiqua" w:hAnsi="Book Antiqua"/>
          <w:szCs w:val="24"/>
          <w:lang w:val="es-ES"/>
        </w:rPr>
        <w:t xml:space="preserve"> Educación, Arte y Cultura del Senado de Puerto Rico, en adelante</w:t>
      </w:r>
      <w:r w:rsidR="00391980" w:rsidRPr="00C40D4A">
        <w:rPr>
          <w:rFonts w:ascii="Book Antiqua" w:hAnsi="Book Antiqua"/>
          <w:szCs w:val="24"/>
          <w:lang w:val="es-ES"/>
        </w:rPr>
        <w:t xml:space="preserve">, </w:t>
      </w:r>
      <w:r w:rsidRPr="00C40D4A">
        <w:rPr>
          <w:rFonts w:ascii="Book Antiqua" w:hAnsi="Book Antiqua"/>
          <w:szCs w:val="24"/>
          <w:lang w:val="es-ES"/>
        </w:rPr>
        <w:t xml:space="preserve">Comisión, como parte de la evaluación y análisis del </w:t>
      </w:r>
      <w:r w:rsidR="00391980" w:rsidRPr="00C40D4A">
        <w:rPr>
          <w:rFonts w:ascii="Book Antiqua" w:hAnsi="Book Antiqua"/>
          <w:szCs w:val="24"/>
          <w:lang w:val="es-ES"/>
        </w:rPr>
        <w:t>P. de</w:t>
      </w:r>
      <w:r w:rsidR="00200A9F" w:rsidRPr="00C40D4A">
        <w:rPr>
          <w:rFonts w:ascii="Book Antiqua" w:hAnsi="Book Antiqua"/>
          <w:szCs w:val="24"/>
          <w:lang w:val="es-ES"/>
        </w:rPr>
        <w:t xml:space="preserve"> </w:t>
      </w:r>
      <w:r w:rsidR="00391980" w:rsidRPr="00C40D4A">
        <w:rPr>
          <w:rFonts w:ascii="Book Antiqua" w:hAnsi="Book Antiqua"/>
          <w:szCs w:val="24"/>
          <w:lang w:val="es-ES"/>
        </w:rPr>
        <w:t>l</w:t>
      </w:r>
      <w:r w:rsidR="00200A9F" w:rsidRPr="00C40D4A">
        <w:rPr>
          <w:rFonts w:ascii="Book Antiqua" w:hAnsi="Book Antiqua"/>
          <w:szCs w:val="24"/>
          <w:lang w:val="es-ES"/>
        </w:rPr>
        <w:t>a</w:t>
      </w:r>
      <w:r w:rsidR="00391980" w:rsidRPr="00C40D4A">
        <w:rPr>
          <w:rFonts w:ascii="Book Antiqua" w:hAnsi="Book Antiqua"/>
          <w:szCs w:val="24"/>
          <w:lang w:val="es-ES"/>
        </w:rPr>
        <w:t xml:space="preserve"> </w:t>
      </w:r>
      <w:r w:rsidR="00200A9F" w:rsidRPr="00C40D4A">
        <w:rPr>
          <w:rFonts w:ascii="Book Antiqua" w:hAnsi="Book Antiqua"/>
          <w:szCs w:val="24"/>
          <w:lang w:val="es-ES"/>
        </w:rPr>
        <w:t>C</w:t>
      </w:r>
      <w:r w:rsidR="00391980" w:rsidRPr="00C40D4A">
        <w:rPr>
          <w:rFonts w:ascii="Book Antiqua" w:hAnsi="Book Antiqua"/>
          <w:szCs w:val="24"/>
          <w:lang w:val="es-ES"/>
        </w:rPr>
        <w:t xml:space="preserve">. </w:t>
      </w:r>
      <w:r w:rsidR="00D73F64">
        <w:rPr>
          <w:rFonts w:ascii="Book Antiqua" w:hAnsi="Book Antiqua"/>
          <w:szCs w:val="24"/>
          <w:lang w:val="es-ES"/>
        </w:rPr>
        <w:t>4</w:t>
      </w:r>
      <w:r w:rsidR="00BB2B1C">
        <w:rPr>
          <w:rFonts w:ascii="Book Antiqua" w:hAnsi="Book Antiqua"/>
          <w:szCs w:val="24"/>
          <w:lang w:val="es-ES"/>
        </w:rPr>
        <w:t>75</w:t>
      </w:r>
      <w:r w:rsidRPr="00C40D4A">
        <w:rPr>
          <w:rFonts w:ascii="Book Antiqua" w:hAnsi="Book Antiqua"/>
          <w:szCs w:val="24"/>
          <w:lang w:val="es-ES"/>
        </w:rPr>
        <w:t>,</w:t>
      </w:r>
      <w:r w:rsidR="00391980" w:rsidRPr="00C40D4A">
        <w:rPr>
          <w:rFonts w:ascii="Book Antiqua" w:hAnsi="Book Antiqua"/>
          <w:szCs w:val="24"/>
          <w:lang w:val="es-ES"/>
        </w:rPr>
        <w:t xml:space="preserve"> </w:t>
      </w:r>
      <w:r w:rsidR="00A56440" w:rsidRPr="00C40D4A">
        <w:rPr>
          <w:rFonts w:ascii="Book Antiqua" w:hAnsi="Book Antiqua"/>
          <w:szCs w:val="24"/>
          <w:lang w:val="es-ES"/>
        </w:rPr>
        <w:t xml:space="preserve">solicitó memoriales explicativos </w:t>
      </w:r>
      <w:r w:rsidR="004E5427" w:rsidRPr="00C40D4A">
        <w:rPr>
          <w:rFonts w:ascii="Book Antiqua" w:hAnsi="Book Antiqua"/>
          <w:szCs w:val="24"/>
          <w:lang w:val="es-ES"/>
        </w:rPr>
        <w:t>a</w:t>
      </w:r>
      <w:r w:rsidR="00120444" w:rsidRPr="00C40D4A">
        <w:rPr>
          <w:rFonts w:ascii="Book Antiqua" w:hAnsi="Book Antiqua"/>
          <w:szCs w:val="24"/>
          <w:lang w:val="es-ES"/>
        </w:rPr>
        <w:t>l Departamento de Educación de Puerto Rico</w:t>
      </w:r>
      <w:r w:rsidR="000E0B63" w:rsidRPr="00C40D4A">
        <w:rPr>
          <w:rFonts w:ascii="Book Antiqua" w:hAnsi="Book Antiqua"/>
          <w:szCs w:val="24"/>
          <w:lang w:val="es-ES"/>
        </w:rPr>
        <w:t>;</w:t>
      </w:r>
      <w:r w:rsidR="00A85159" w:rsidRPr="00C40D4A">
        <w:rPr>
          <w:rFonts w:ascii="Book Antiqua" w:hAnsi="Book Antiqua"/>
          <w:szCs w:val="24"/>
          <w:lang w:val="es-ES"/>
        </w:rPr>
        <w:t xml:space="preserve"> </w:t>
      </w:r>
      <w:r w:rsidR="00E611AE">
        <w:rPr>
          <w:rFonts w:ascii="Book Antiqua" w:hAnsi="Book Antiqua"/>
          <w:szCs w:val="24"/>
          <w:lang w:val="es-ES"/>
        </w:rPr>
        <w:t xml:space="preserve">Departamento de </w:t>
      </w:r>
      <w:r w:rsidR="00D73F64">
        <w:rPr>
          <w:rFonts w:ascii="Book Antiqua" w:hAnsi="Book Antiqua"/>
          <w:szCs w:val="24"/>
          <w:lang w:val="es-ES"/>
        </w:rPr>
        <w:t>S</w:t>
      </w:r>
      <w:r w:rsidR="00BB2B1C">
        <w:rPr>
          <w:rFonts w:ascii="Book Antiqua" w:hAnsi="Book Antiqua"/>
          <w:szCs w:val="24"/>
          <w:lang w:val="es-ES"/>
        </w:rPr>
        <w:t>alud; Asociación de Psicología de Puerto Rico; UPR Recinto de Ciencias Médicas; Colegio de Nutricionista y Dietistas de Puerto Rico y la Administración de Servicios de Salud Mental y Contra la Adicción (ASSMCA).</w:t>
      </w:r>
    </w:p>
    <w:p w14:paraId="42F28FB9" w14:textId="77777777" w:rsidR="0027068E" w:rsidRDefault="0027068E" w:rsidP="002E42EC">
      <w:pPr>
        <w:jc w:val="both"/>
        <w:rPr>
          <w:rFonts w:ascii="Book Antiqua" w:hAnsi="Book Antiqua"/>
          <w:szCs w:val="24"/>
          <w:lang w:val="es-ES"/>
        </w:rPr>
      </w:pPr>
    </w:p>
    <w:p w14:paraId="0412E694" w14:textId="65BC16C8" w:rsidR="00D73F64" w:rsidRDefault="00324320" w:rsidP="00D73F64">
      <w:pPr>
        <w:ind w:firstLine="720"/>
        <w:jc w:val="both"/>
        <w:rPr>
          <w:rFonts w:ascii="Book Antiqua" w:hAnsi="Book Antiqua"/>
          <w:szCs w:val="24"/>
          <w:lang w:val="es-ES"/>
        </w:rPr>
      </w:pPr>
      <w:r w:rsidRPr="00102299">
        <w:rPr>
          <w:rFonts w:ascii="Book Antiqua" w:hAnsi="Book Antiqua"/>
          <w:szCs w:val="24"/>
          <w:lang w:val="es-ES"/>
        </w:rPr>
        <w:t xml:space="preserve">Al momento </w:t>
      </w:r>
      <w:r w:rsidRPr="00C40D4A">
        <w:rPr>
          <w:rFonts w:ascii="Book Antiqua" w:hAnsi="Book Antiqua"/>
          <w:szCs w:val="24"/>
          <w:lang w:val="es-ES"/>
        </w:rPr>
        <w:t>de la redacción de este informe,</w:t>
      </w:r>
      <w:r w:rsidR="008F4698">
        <w:rPr>
          <w:rFonts w:ascii="Book Antiqua" w:hAnsi="Book Antiqua"/>
          <w:szCs w:val="24"/>
          <w:lang w:val="es-ES"/>
        </w:rPr>
        <w:t xml:space="preserve"> </w:t>
      </w:r>
      <w:r w:rsidR="0027068E">
        <w:rPr>
          <w:rFonts w:ascii="Book Antiqua" w:hAnsi="Book Antiqua"/>
          <w:szCs w:val="24"/>
          <w:lang w:val="es-ES"/>
        </w:rPr>
        <w:t xml:space="preserve">no </w:t>
      </w:r>
      <w:r w:rsidRPr="00C40D4A">
        <w:rPr>
          <w:rFonts w:ascii="Book Antiqua" w:hAnsi="Book Antiqua"/>
          <w:szCs w:val="24"/>
          <w:lang w:val="es-ES"/>
        </w:rPr>
        <w:t xml:space="preserve">habíamos recibido </w:t>
      </w:r>
      <w:r w:rsidR="00D73F64">
        <w:rPr>
          <w:rFonts w:ascii="Book Antiqua" w:hAnsi="Book Antiqua"/>
          <w:szCs w:val="24"/>
          <w:lang w:val="es-ES"/>
        </w:rPr>
        <w:t>los</w:t>
      </w:r>
      <w:r w:rsidRPr="00C40D4A">
        <w:rPr>
          <w:rFonts w:ascii="Book Antiqua" w:hAnsi="Book Antiqua"/>
          <w:szCs w:val="24"/>
          <w:lang w:val="es-ES"/>
        </w:rPr>
        <w:t xml:space="preserve"> memorial</w:t>
      </w:r>
      <w:r w:rsidR="00D73F64">
        <w:rPr>
          <w:rFonts w:ascii="Book Antiqua" w:hAnsi="Book Antiqua"/>
          <w:szCs w:val="24"/>
          <w:lang w:val="es-ES"/>
        </w:rPr>
        <w:t>es</w:t>
      </w:r>
      <w:r w:rsidRPr="00C40D4A">
        <w:rPr>
          <w:rFonts w:ascii="Book Antiqua" w:hAnsi="Book Antiqua"/>
          <w:szCs w:val="24"/>
          <w:lang w:val="es-ES"/>
        </w:rPr>
        <w:t xml:space="preserve"> </w:t>
      </w:r>
      <w:r w:rsidR="0027068E">
        <w:rPr>
          <w:rFonts w:ascii="Book Antiqua" w:hAnsi="Book Antiqua"/>
          <w:szCs w:val="24"/>
          <w:lang w:val="es-ES"/>
        </w:rPr>
        <w:t>explicativo</w:t>
      </w:r>
      <w:r w:rsidR="00D73F64">
        <w:rPr>
          <w:rFonts w:ascii="Book Antiqua" w:hAnsi="Book Antiqua"/>
          <w:szCs w:val="24"/>
          <w:lang w:val="es-ES"/>
        </w:rPr>
        <w:t>s</w:t>
      </w:r>
      <w:r w:rsidR="00B00405">
        <w:rPr>
          <w:rFonts w:ascii="Book Antiqua" w:hAnsi="Book Antiqua"/>
          <w:szCs w:val="24"/>
          <w:lang w:val="es-ES"/>
        </w:rPr>
        <w:t xml:space="preserve"> de</w:t>
      </w:r>
      <w:r w:rsidR="00BB2B1C">
        <w:rPr>
          <w:rFonts w:ascii="Book Antiqua" w:hAnsi="Book Antiqua"/>
          <w:szCs w:val="24"/>
          <w:lang w:val="es-ES"/>
        </w:rPr>
        <w:t xml:space="preserve"> </w:t>
      </w:r>
      <w:r w:rsidR="00D73F64">
        <w:rPr>
          <w:rFonts w:ascii="Book Antiqua" w:hAnsi="Book Antiqua"/>
          <w:szCs w:val="24"/>
          <w:lang w:val="es-ES"/>
        </w:rPr>
        <w:t>l</w:t>
      </w:r>
      <w:r w:rsidR="00BB2B1C">
        <w:rPr>
          <w:rFonts w:ascii="Book Antiqua" w:hAnsi="Book Antiqua"/>
          <w:szCs w:val="24"/>
          <w:lang w:val="es-ES"/>
        </w:rPr>
        <w:t>a</w:t>
      </w:r>
      <w:r w:rsidR="00D73F64">
        <w:rPr>
          <w:rFonts w:ascii="Book Antiqua" w:hAnsi="Book Antiqua"/>
          <w:szCs w:val="24"/>
          <w:lang w:val="es-ES"/>
        </w:rPr>
        <w:t xml:space="preserve"> </w:t>
      </w:r>
      <w:r w:rsidR="00BB2B1C">
        <w:rPr>
          <w:rFonts w:ascii="Book Antiqua" w:hAnsi="Book Antiqua"/>
          <w:szCs w:val="24"/>
          <w:lang w:val="es-ES"/>
        </w:rPr>
        <w:t>UPR Recinto de Ciencias Médicas, ni del Colegio de Nutricionista y Dietistas de Puerto Rico.</w:t>
      </w:r>
    </w:p>
    <w:p w14:paraId="4D8CA889" w14:textId="5733C0EE" w:rsidR="000C48FC" w:rsidRPr="00C40D4A" w:rsidRDefault="000C48FC" w:rsidP="002E42EC">
      <w:pPr>
        <w:rPr>
          <w:rFonts w:ascii="Book Antiqua" w:hAnsi="Book Antiqua"/>
          <w:szCs w:val="24"/>
          <w:lang w:val="es-ES"/>
        </w:rPr>
      </w:pPr>
    </w:p>
    <w:p w14:paraId="430F993D" w14:textId="77777777" w:rsidR="00120444" w:rsidRDefault="00120444" w:rsidP="002E42EC">
      <w:pPr>
        <w:tabs>
          <w:tab w:val="left" w:pos="1440"/>
        </w:tabs>
        <w:jc w:val="center"/>
        <w:rPr>
          <w:rFonts w:ascii="Book Antiqua" w:hAnsi="Book Antiqua"/>
          <w:szCs w:val="24"/>
          <w:lang w:val="es-ES"/>
        </w:rPr>
      </w:pPr>
    </w:p>
    <w:p w14:paraId="3380A3F6" w14:textId="77777777" w:rsidR="00326D98" w:rsidRDefault="00326D98" w:rsidP="002E42EC">
      <w:pPr>
        <w:tabs>
          <w:tab w:val="left" w:pos="1440"/>
        </w:tabs>
        <w:jc w:val="center"/>
        <w:rPr>
          <w:rFonts w:ascii="Book Antiqua" w:hAnsi="Book Antiqua"/>
          <w:szCs w:val="24"/>
          <w:lang w:val="es-ES"/>
        </w:rPr>
      </w:pPr>
    </w:p>
    <w:p w14:paraId="054BEE33" w14:textId="4E2D3AA1" w:rsidR="00120444" w:rsidRPr="00CA4466" w:rsidRDefault="00120444" w:rsidP="002E42EC">
      <w:pPr>
        <w:tabs>
          <w:tab w:val="left" w:pos="1440"/>
        </w:tabs>
        <w:jc w:val="center"/>
        <w:rPr>
          <w:rFonts w:ascii="Book Antiqua" w:hAnsi="Book Antiqua"/>
          <w:b/>
          <w:bCs/>
          <w:szCs w:val="24"/>
          <w:u w:val="single"/>
          <w:lang w:val="es-ES"/>
        </w:rPr>
      </w:pPr>
      <w:r w:rsidRPr="00CA4466">
        <w:rPr>
          <w:rFonts w:ascii="Book Antiqua" w:hAnsi="Book Antiqua"/>
          <w:b/>
          <w:bCs/>
          <w:szCs w:val="24"/>
          <w:u w:val="single"/>
          <w:lang w:val="es-ES"/>
        </w:rPr>
        <w:t>DEPARTAMENTO DE EDUCACIÓN DE PUERTO RICO</w:t>
      </w:r>
    </w:p>
    <w:p w14:paraId="45CD9F82" w14:textId="77777777" w:rsidR="00800740" w:rsidRDefault="00800740" w:rsidP="002E42EC">
      <w:pPr>
        <w:jc w:val="both"/>
        <w:rPr>
          <w:rFonts w:ascii="Book Antiqua" w:hAnsi="Book Antiqua"/>
          <w:szCs w:val="24"/>
          <w:lang w:val="es-PR"/>
        </w:rPr>
      </w:pPr>
    </w:p>
    <w:p w14:paraId="18F95033" w14:textId="50FE5F55" w:rsidR="00BB2B1C" w:rsidRPr="00BB2B1C" w:rsidRDefault="000033DF" w:rsidP="00BB2B1C">
      <w:pPr>
        <w:ind w:firstLine="720"/>
        <w:jc w:val="both"/>
        <w:rPr>
          <w:rFonts w:ascii="Book Antiqua" w:hAnsi="Book Antiqua"/>
          <w:lang w:val="es-PR"/>
        </w:rPr>
      </w:pPr>
      <w:r w:rsidRPr="000033DF">
        <w:rPr>
          <w:rFonts w:ascii="Book Antiqua" w:hAnsi="Book Antiqua"/>
          <w:szCs w:val="24"/>
          <w:lang w:val="es-PR"/>
        </w:rPr>
        <w:t xml:space="preserve">El Departamento de Educación de Puerto Rico (DEPR) </w:t>
      </w:r>
      <w:r w:rsidR="00D45DC1" w:rsidRPr="00D45DC1">
        <w:rPr>
          <w:rFonts w:ascii="Book Antiqua" w:hAnsi="Book Antiqua"/>
          <w:lang w:val="es-PR"/>
        </w:rPr>
        <w:t xml:space="preserve">expresó en su memorial, </w:t>
      </w:r>
      <w:r w:rsidR="00BB2B1C" w:rsidRPr="00BB2B1C">
        <w:rPr>
          <w:rFonts w:ascii="Book Antiqua" w:hAnsi="Book Antiqua"/>
          <w:lang w:val="es-PR"/>
        </w:rPr>
        <w:t>que la medida es coherente con la misión de promover el bienestar y la formación completa de los estudiantes, al atender no solo sus necesidades académicas, sino también su salud física, emocional y social.</w:t>
      </w:r>
    </w:p>
    <w:p w14:paraId="03DE61AB" w14:textId="77777777" w:rsidR="00701FA9" w:rsidRDefault="00701FA9" w:rsidP="00BB2B1C">
      <w:pPr>
        <w:ind w:firstLine="720"/>
        <w:jc w:val="both"/>
        <w:rPr>
          <w:rFonts w:ascii="Book Antiqua" w:hAnsi="Book Antiqua"/>
          <w:lang w:val="es-PR"/>
        </w:rPr>
      </w:pPr>
    </w:p>
    <w:p w14:paraId="531CD6DA" w14:textId="499C14FF" w:rsidR="00BB2B1C" w:rsidRPr="00BB2B1C" w:rsidRDefault="00BB2B1C" w:rsidP="00BB2B1C">
      <w:pPr>
        <w:ind w:firstLine="720"/>
        <w:jc w:val="both"/>
        <w:rPr>
          <w:rFonts w:ascii="Book Antiqua" w:hAnsi="Book Antiqua"/>
          <w:lang w:val="es-PR"/>
        </w:rPr>
      </w:pPr>
      <w:r w:rsidRPr="00BB2B1C">
        <w:rPr>
          <w:rFonts w:ascii="Book Antiqua" w:hAnsi="Book Antiqua"/>
          <w:lang w:val="es-PR"/>
        </w:rPr>
        <w:t>Los trastornos de la conducta alimentaria son reconocidos como condiciones de salud mental complejas y multifactoriales que afectan principalmente a niños y adolescentes, impactando negativamente su salud, su rendimiento académico y sus relaciones interpersonales. El memorial enfatiza que la adolescencia es una etapa crítica en la que suelen aparecer los primeros signos de estos trastornos, por lo que la prevención desde el entorno escolar resulta indispensable. La inclusión de orientación sobre estos temas permitirá no solo concienciar a los estudiantes, sino también facilitar la detección temprana y la intervención oportuna.</w:t>
      </w:r>
    </w:p>
    <w:p w14:paraId="3D31BF6C" w14:textId="77777777" w:rsidR="00701FA9" w:rsidRDefault="00701FA9" w:rsidP="00BB2B1C">
      <w:pPr>
        <w:ind w:firstLine="720"/>
        <w:jc w:val="both"/>
        <w:rPr>
          <w:rFonts w:ascii="Book Antiqua" w:hAnsi="Book Antiqua"/>
          <w:lang w:val="es-PR"/>
        </w:rPr>
      </w:pPr>
    </w:p>
    <w:p w14:paraId="740B4A03" w14:textId="0555873C" w:rsidR="00BB2B1C" w:rsidRPr="00BB2B1C" w:rsidRDefault="00BB2B1C" w:rsidP="00BB2B1C">
      <w:pPr>
        <w:ind w:firstLine="720"/>
        <w:jc w:val="both"/>
        <w:rPr>
          <w:rFonts w:ascii="Book Antiqua" w:hAnsi="Book Antiqua"/>
          <w:lang w:val="es-PR"/>
        </w:rPr>
      </w:pPr>
      <w:r w:rsidRPr="00BB2B1C">
        <w:rPr>
          <w:rFonts w:ascii="Book Antiqua" w:hAnsi="Book Antiqua"/>
          <w:lang w:val="es-PR"/>
        </w:rPr>
        <w:t xml:space="preserve">El DEPR respalda la propuesta porque fomenta la colaboración </w:t>
      </w:r>
      <w:proofErr w:type="spellStart"/>
      <w:r w:rsidRPr="00BB2B1C">
        <w:rPr>
          <w:rFonts w:ascii="Book Antiqua" w:hAnsi="Book Antiqua"/>
          <w:lang w:val="es-PR"/>
        </w:rPr>
        <w:t>interagencial</w:t>
      </w:r>
      <w:proofErr w:type="spellEnd"/>
      <w:r w:rsidRPr="00BB2B1C">
        <w:rPr>
          <w:rFonts w:ascii="Book Antiqua" w:hAnsi="Book Antiqua"/>
          <w:lang w:val="es-PR"/>
        </w:rPr>
        <w:t xml:space="preserve"> y con entidades del tercer sector, lo que asegura un enfoque integral en la atención de la salud de la comunidad estudiantil. La medida refuerza la función del Programa de Enfermería Escolar y de los equipos interdisciplinarios socioemocionales del Departamento, quienes desarrollan campañas de concienciación, capacitan al personal docente para identificar señales de alerta y coordinan esfuerzos con las familias y profesionales de la salud. Además, se recomienda la creación de un directorio de recursos gratuitos para facilitar la coordinación de estas iniciativas en las escuelas.</w:t>
      </w:r>
    </w:p>
    <w:p w14:paraId="07A86D3F" w14:textId="77777777" w:rsidR="00701FA9" w:rsidRDefault="00701FA9" w:rsidP="00BB2B1C">
      <w:pPr>
        <w:ind w:firstLine="720"/>
        <w:jc w:val="both"/>
        <w:rPr>
          <w:rFonts w:ascii="Book Antiqua" w:hAnsi="Book Antiqua"/>
          <w:b/>
          <w:bCs/>
          <w:lang w:val="es-PR"/>
        </w:rPr>
      </w:pPr>
    </w:p>
    <w:p w14:paraId="6AD28357" w14:textId="77777777" w:rsidR="00701FA9" w:rsidRDefault="00701FA9" w:rsidP="00BB2B1C">
      <w:pPr>
        <w:ind w:firstLine="720"/>
        <w:jc w:val="both"/>
        <w:rPr>
          <w:rFonts w:ascii="Book Antiqua" w:hAnsi="Book Antiqua"/>
          <w:b/>
          <w:bCs/>
          <w:lang w:val="es-PR"/>
        </w:rPr>
      </w:pPr>
    </w:p>
    <w:p w14:paraId="586CD191" w14:textId="77777777" w:rsidR="00701FA9" w:rsidRDefault="00701FA9" w:rsidP="00BB2B1C">
      <w:pPr>
        <w:ind w:firstLine="720"/>
        <w:jc w:val="both"/>
        <w:rPr>
          <w:rFonts w:ascii="Book Antiqua" w:hAnsi="Book Antiqua"/>
          <w:lang w:val="es-PR"/>
        </w:rPr>
      </w:pPr>
    </w:p>
    <w:p w14:paraId="17358871" w14:textId="2905A3E2" w:rsidR="00BB2B1C" w:rsidRPr="00BB2B1C" w:rsidRDefault="00BB2B1C" w:rsidP="00BB2B1C">
      <w:pPr>
        <w:ind w:firstLine="720"/>
        <w:jc w:val="both"/>
        <w:rPr>
          <w:rFonts w:ascii="Book Antiqua" w:hAnsi="Book Antiqua"/>
          <w:lang w:val="es-PR"/>
        </w:rPr>
      </w:pPr>
      <w:r w:rsidRPr="00BB2B1C">
        <w:rPr>
          <w:rFonts w:ascii="Book Antiqua" w:hAnsi="Book Antiqua"/>
          <w:lang w:val="es-PR"/>
        </w:rPr>
        <w:t>El memorial concluye que el P. de la C. 475 es una propuesta necesaria y cónsona con la política pública educativa vigente. El Departamento de Educación no tiene objeción alguna a su aprobación y reconoce que la medida contribuirá a crear comunidades escolares más seguras y saludables, donde la prevención y la orientación en torno a los trastornos alimenticios se conviertan en herramientas clave para garantizar la salud integral de los estudiantes. Asimismo, reitera su disponibilidad para colaborar en la implantación de las disposiciones que se aprueben, en beneficio de la niñez y juventud de Puerto Rico</w:t>
      </w:r>
    </w:p>
    <w:p w14:paraId="7A3F2479" w14:textId="7BC00B1F" w:rsidR="00BB2B1C" w:rsidRPr="00FB2878" w:rsidRDefault="00BB2B1C" w:rsidP="00BB2B1C">
      <w:pPr>
        <w:ind w:firstLine="720"/>
        <w:jc w:val="both"/>
        <w:rPr>
          <w:rFonts w:ascii="Book Antiqua" w:hAnsi="Book Antiqua"/>
          <w:lang w:val="es-PR"/>
        </w:rPr>
      </w:pPr>
    </w:p>
    <w:p w14:paraId="1033C684" w14:textId="341B9348" w:rsidR="00FB2878" w:rsidRPr="00FB2878" w:rsidRDefault="00FB2878" w:rsidP="00FB2878">
      <w:pPr>
        <w:ind w:firstLine="720"/>
        <w:jc w:val="both"/>
        <w:rPr>
          <w:rFonts w:ascii="Book Antiqua" w:hAnsi="Book Antiqua"/>
          <w:lang w:val="es-PR"/>
        </w:rPr>
      </w:pPr>
    </w:p>
    <w:p w14:paraId="4EC0EFF5" w14:textId="77777777" w:rsidR="00701FA9" w:rsidRDefault="00701FA9" w:rsidP="002E42EC">
      <w:pPr>
        <w:tabs>
          <w:tab w:val="left" w:pos="1440"/>
        </w:tabs>
        <w:jc w:val="center"/>
        <w:rPr>
          <w:rFonts w:ascii="Book Antiqua" w:hAnsi="Book Antiqua"/>
          <w:b/>
          <w:bCs/>
          <w:szCs w:val="24"/>
          <w:u w:val="single"/>
          <w:lang w:val="es-ES_tradnl"/>
        </w:rPr>
      </w:pPr>
    </w:p>
    <w:p w14:paraId="0F6429DB" w14:textId="79D92EA6" w:rsidR="00674415" w:rsidRPr="00CA4466" w:rsidRDefault="00FB2878" w:rsidP="002E42EC">
      <w:pPr>
        <w:tabs>
          <w:tab w:val="left" w:pos="1440"/>
        </w:tabs>
        <w:jc w:val="center"/>
        <w:rPr>
          <w:rFonts w:ascii="Book Antiqua" w:hAnsi="Book Antiqua"/>
          <w:b/>
          <w:bCs/>
          <w:szCs w:val="24"/>
          <w:u w:val="single"/>
          <w:lang w:val="es-ES"/>
        </w:rPr>
      </w:pPr>
      <w:r>
        <w:rPr>
          <w:rFonts w:ascii="Book Antiqua" w:hAnsi="Book Antiqua"/>
          <w:b/>
          <w:bCs/>
          <w:szCs w:val="24"/>
          <w:u w:val="single"/>
          <w:lang w:val="es-ES_tradnl"/>
        </w:rPr>
        <w:t>DEPARTAMENTO DE</w:t>
      </w:r>
      <w:r w:rsidR="00534D99">
        <w:rPr>
          <w:rFonts w:ascii="Book Antiqua" w:hAnsi="Book Antiqua"/>
          <w:b/>
          <w:bCs/>
          <w:szCs w:val="24"/>
          <w:u w:val="single"/>
          <w:lang w:val="es-ES_tradnl"/>
        </w:rPr>
        <w:t xml:space="preserve"> </w:t>
      </w:r>
      <w:r w:rsidR="00701FA9">
        <w:rPr>
          <w:rFonts w:ascii="Book Antiqua" w:hAnsi="Book Antiqua"/>
          <w:b/>
          <w:bCs/>
          <w:szCs w:val="24"/>
          <w:u w:val="single"/>
          <w:lang w:val="es-ES_tradnl"/>
        </w:rPr>
        <w:t>SALUD</w:t>
      </w:r>
    </w:p>
    <w:p w14:paraId="10A667A4" w14:textId="77777777" w:rsidR="00674415" w:rsidRPr="003219C9" w:rsidRDefault="00674415" w:rsidP="002E42EC">
      <w:pPr>
        <w:jc w:val="both"/>
        <w:rPr>
          <w:rFonts w:ascii="Book Antiqua" w:hAnsi="Book Antiqua"/>
          <w:szCs w:val="24"/>
          <w:lang w:val="es-PR"/>
        </w:rPr>
      </w:pPr>
    </w:p>
    <w:p w14:paraId="5F53272D" w14:textId="32F4F1D7" w:rsidR="003219C9" w:rsidRPr="003219C9" w:rsidRDefault="00BE7F3B" w:rsidP="003219C9">
      <w:pPr>
        <w:ind w:firstLine="720"/>
        <w:jc w:val="both"/>
        <w:rPr>
          <w:rFonts w:ascii="Book Antiqua" w:hAnsi="Book Antiqua"/>
          <w:szCs w:val="24"/>
          <w:lang w:val="es-PR"/>
        </w:rPr>
      </w:pPr>
      <w:r w:rsidRPr="003219C9">
        <w:rPr>
          <w:rFonts w:ascii="Book Antiqua" w:hAnsi="Book Antiqua"/>
          <w:szCs w:val="24"/>
          <w:lang w:val="es-PR"/>
        </w:rPr>
        <w:t xml:space="preserve">El Departamento de </w:t>
      </w:r>
      <w:r w:rsidR="00701FA9" w:rsidRPr="003219C9">
        <w:rPr>
          <w:rFonts w:ascii="Book Antiqua" w:hAnsi="Book Antiqua"/>
          <w:szCs w:val="24"/>
          <w:lang w:val="es-PR"/>
        </w:rPr>
        <w:t xml:space="preserve">Salud </w:t>
      </w:r>
      <w:r w:rsidR="003219C9" w:rsidRPr="003219C9">
        <w:rPr>
          <w:rFonts w:ascii="Book Antiqua" w:hAnsi="Book Antiqua"/>
          <w:lang w:val="es-PR"/>
        </w:rPr>
        <w:t>de Puerto Rico, junto con la Comisión de Alimentación y Nutrición de Puerto Rico (CANPR), expresó su respaldo al Proyecto de la Cámara 475</w:t>
      </w:r>
      <w:r w:rsidR="003219C9">
        <w:rPr>
          <w:rFonts w:ascii="Book Antiqua" w:hAnsi="Book Antiqua"/>
          <w:lang w:val="es-PR"/>
        </w:rPr>
        <w:t>.</w:t>
      </w:r>
      <w:r w:rsidR="003219C9" w:rsidRPr="003219C9">
        <w:rPr>
          <w:rFonts w:ascii="Book Antiqua" w:hAnsi="Book Antiqua"/>
          <w:lang w:val="es-PR"/>
        </w:rPr>
        <w:t xml:space="preserve"> </w:t>
      </w:r>
      <w:r w:rsidR="003219C9">
        <w:rPr>
          <w:rFonts w:ascii="Book Antiqua" w:hAnsi="Book Antiqua"/>
          <w:lang w:val="es-PR"/>
        </w:rPr>
        <w:t xml:space="preserve">Este </w:t>
      </w:r>
      <w:r w:rsidR="003219C9" w:rsidRPr="003219C9">
        <w:rPr>
          <w:rFonts w:ascii="Book Antiqua" w:hAnsi="Book Antiqua"/>
          <w:szCs w:val="24"/>
          <w:lang w:val="es-PR"/>
        </w:rPr>
        <w:t>subraya que los TCA son condiciones de salud mental y física de gran complejidad, que afectan sobre todo a niños y adolescentes en etapas críticas de desarrollo. La prevención desde la escuela se considera una herramienta esencial para educar, concienciar y detectar tempranamente posibles casos, reduciendo así el impacto en la salud física y emocional de la juventud. Se enfatiza que la educación nutricional puede normalizar hábitos alimentarios, desmontar mitos dañinos sobre la alimentación y el peso, y fortalecer la autoestima, promoviendo a su vez la positividad corporal y evitando el estigma asociado al peso.</w:t>
      </w:r>
    </w:p>
    <w:p w14:paraId="51C1E22E" w14:textId="77777777" w:rsidR="003219C9" w:rsidRDefault="003219C9" w:rsidP="003219C9">
      <w:pPr>
        <w:ind w:firstLine="720"/>
        <w:jc w:val="both"/>
        <w:rPr>
          <w:rFonts w:ascii="Book Antiqua" w:hAnsi="Book Antiqua"/>
          <w:szCs w:val="24"/>
          <w:lang w:val="es-PR"/>
        </w:rPr>
      </w:pPr>
    </w:p>
    <w:p w14:paraId="1412CF7A" w14:textId="79EE9B1F" w:rsidR="003219C9" w:rsidRPr="003219C9" w:rsidRDefault="003219C9" w:rsidP="003219C9">
      <w:pPr>
        <w:ind w:firstLine="720"/>
        <w:jc w:val="both"/>
        <w:rPr>
          <w:rFonts w:ascii="Book Antiqua" w:hAnsi="Book Antiqua"/>
          <w:szCs w:val="24"/>
          <w:lang w:val="es-PR"/>
        </w:rPr>
      </w:pPr>
      <w:r w:rsidRPr="003219C9">
        <w:rPr>
          <w:rFonts w:ascii="Book Antiqua" w:hAnsi="Book Antiqua"/>
          <w:szCs w:val="24"/>
          <w:lang w:val="es-PR"/>
        </w:rPr>
        <w:t>La Academia Americana de Pediatría y la Academia de Nutrición y Dietética coinciden en que la educación nutricional temprana, enfocada en la salud y no en la “cultura de la dieta”, puede disminuir la incidencia de TCA y de obesidad, además de mejorar la recuperación en aquellos que ya los padecen.</w:t>
      </w:r>
    </w:p>
    <w:p w14:paraId="55484BDB" w14:textId="77777777" w:rsidR="003219C9" w:rsidRDefault="003219C9" w:rsidP="003219C9">
      <w:pPr>
        <w:ind w:firstLine="720"/>
        <w:jc w:val="both"/>
        <w:rPr>
          <w:rFonts w:ascii="Book Antiqua" w:hAnsi="Book Antiqua"/>
          <w:szCs w:val="24"/>
          <w:lang w:val="es-PR"/>
        </w:rPr>
      </w:pPr>
    </w:p>
    <w:p w14:paraId="289613A2" w14:textId="23EDE316" w:rsidR="003219C9" w:rsidRPr="003219C9" w:rsidRDefault="003219C9" w:rsidP="003219C9">
      <w:pPr>
        <w:ind w:firstLine="720"/>
        <w:jc w:val="both"/>
        <w:rPr>
          <w:rFonts w:ascii="Book Antiqua" w:hAnsi="Book Antiqua"/>
          <w:szCs w:val="24"/>
          <w:lang w:val="es-PR"/>
        </w:rPr>
      </w:pPr>
      <w:r w:rsidRPr="003219C9">
        <w:rPr>
          <w:rFonts w:ascii="Book Antiqua" w:hAnsi="Book Antiqua"/>
          <w:szCs w:val="24"/>
          <w:lang w:val="es-PR"/>
        </w:rPr>
        <w:t xml:space="preserve">El Departamento de Salud recordó que, mediante la Ley </w:t>
      </w:r>
      <w:r>
        <w:rPr>
          <w:rFonts w:ascii="Book Antiqua" w:hAnsi="Book Antiqua"/>
          <w:szCs w:val="24"/>
          <w:lang w:val="es-PR"/>
        </w:rPr>
        <w:t xml:space="preserve">Núm. </w:t>
      </w:r>
      <w:r w:rsidRPr="003219C9">
        <w:rPr>
          <w:rFonts w:ascii="Book Antiqua" w:hAnsi="Book Antiqua"/>
          <w:szCs w:val="24"/>
          <w:lang w:val="es-PR"/>
        </w:rPr>
        <w:t xml:space="preserve">132-2023, se estableció el </w:t>
      </w:r>
      <w:r w:rsidRPr="003219C9">
        <w:rPr>
          <w:rFonts w:ascii="Book Antiqua" w:hAnsi="Book Antiqua"/>
          <w:i/>
          <w:iCs/>
          <w:szCs w:val="24"/>
          <w:lang w:val="es-PR"/>
        </w:rPr>
        <w:t>Día de la Lucha contra los Trastornos de la Conducta Alimentaria</w:t>
      </w:r>
      <w:r w:rsidRPr="003219C9">
        <w:rPr>
          <w:rFonts w:ascii="Book Antiqua" w:hAnsi="Book Antiqua"/>
          <w:szCs w:val="24"/>
          <w:lang w:val="es-PR"/>
        </w:rPr>
        <w:t xml:space="preserve"> (30 de noviembre de cada año), como un esfuerzo para educar y sensibilizar al pueblo. No obstante, la aprobación del P. de la C. 475 permitirá ampliar y formalizar estas iniciativas dentro del sistema educativo, alcanzando a una población más amplia en etapa escolar.</w:t>
      </w:r>
    </w:p>
    <w:p w14:paraId="07345C95" w14:textId="77777777" w:rsidR="003219C9" w:rsidRDefault="003219C9" w:rsidP="003219C9">
      <w:pPr>
        <w:ind w:firstLine="720"/>
        <w:jc w:val="both"/>
        <w:rPr>
          <w:rFonts w:ascii="Book Antiqua" w:hAnsi="Book Antiqua"/>
          <w:szCs w:val="24"/>
          <w:lang w:val="es-PR"/>
        </w:rPr>
      </w:pPr>
    </w:p>
    <w:p w14:paraId="4D37F166" w14:textId="507D214B" w:rsidR="003219C9" w:rsidRDefault="003219C9" w:rsidP="003219C9">
      <w:pPr>
        <w:ind w:firstLine="720"/>
        <w:jc w:val="both"/>
        <w:rPr>
          <w:rFonts w:ascii="Book Antiqua" w:hAnsi="Book Antiqua"/>
          <w:szCs w:val="24"/>
          <w:lang w:val="es-PR"/>
        </w:rPr>
      </w:pPr>
      <w:r>
        <w:rPr>
          <w:rFonts w:ascii="Book Antiqua" w:hAnsi="Book Antiqua"/>
          <w:szCs w:val="24"/>
          <w:lang w:val="es-PR"/>
        </w:rPr>
        <w:t xml:space="preserve">Por otra </w:t>
      </w:r>
      <w:proofErr w:type="gramStart"/>
      <w:r>
        <w:rPr>
          <w:rFonts w:ascii="Book Antiqua" w:hAnsi="Book Antiqua"/>
          <w:szCs w:val="24"/>
          <w:lang w:val="es-PR"/>
        </w:rPr>
        <w:t>parte</w:t>
      </w:r>
      <w:proofErr w:type="gramEnd"/>
      <w:r>
        <w:rPr>
          <w:rFonts w:ascii="Book Antiqua" w:hAnsi="Book Antiqua"/>
          <w:szCs w:val="24"/>
          <w:lang w:val="es-PR"/>
        </w:rPr>
        <w:t xml:space="preserve"> e</w:t>
      </w:r>
      <w:r w:rsidRPr="003219C9">
        <w:rPr>
          <w:rFonts w:ascii="Book Antiqua" w:hAnsi="Book Antiqua"/>
          <w:szCs w:val="24"/>
          <w:lang w:val="es-PR"/>
        </w:rPr>
        <w:t>l memorial incluye observaciones y recomendaciones puntuales para fortalecer la medida</w:t>
      </w:r>
      <w:r>
        <w:rPr>
          <w:rFonts w:ascii="Book Antiqua" w:hAnsi="Book Antiqua"/>
          <w:szCs w:val="24"/>
          <w:lang w:val="es-PR"/>
        </w:rPr>
        <w:t>, entre las que destacan</w:t>
      </w:r>
      <w:r w:rsidRPr="003219C9">
        <w:rPr>
          <w:rFonts w:ascii="Book Antiqua" w:hAnsi="Book Antiqua"/>
          <w:szCs w:val="24"/>
          <w:lang w:val="es-PR"/>
        </w:rPr>
        <w:t>:</w:t>
      </w:r>
    </w:p>
    <w:p w14:paraId="37DF2CC9" w14:textId="77777777" w:rsidR="003219C9" w:rsidRPr="003219C9" w:rsidRDefault="003219C9" w:rsidP="003219C9">
      <w:pPr>
        <w:ind w:firstLine="720"/>
        <w:jc w:val="both"/>
        <w:rPr>
          <w:rFonts w:ascii="Book Antiqua" w:hAnsi="Book Antiqua"/>
          <w:szCs w:val="24"/>
          <w:lang w:val="es-PR"/>
        </w:rPr>
      </w:pPr>
    </w:p>
    <w:p w14:paraId="7634C518" w14:textId="0A1434EE" w:rsidR="003219C9" w:rsidRDefault="003219C9" w:rsidP="003219C9">
      <w:pPr>
        <w:numPr>
          <w:ilvl w:val="0"/>
          <w:numId w:val="19"/>
        </w:numPr>
        <w:jc w:val="both"/>
        <w:rPr>
          <w:rFonts w:ascii="Book Antiqua" w:hAnsi="Book Antiqua"/>
          <w:szCs w:val="24"/>
          <w:lang w:val="es-PR"/>
        </w:rPr>
      </w:pPr>
      <w:r>
        <w:rPr>
          <w:rFonts w:ascii="Book Antiqua" w:hAnsi="Book Antiqua"/>
          <w:szCs w:val="24"/>
          <w:lang w:val="es-PR"/>
        </w:rPr>
        <w:t>S</w:t>
      </w:r>
      <w:r w:rsidRPr="003219C9">
        <w:rPr>
          <w:rFonts w:ascii="Book Antiqua" w:hAnsi="Book Antiqua"/>
          <w:szCs w:val="24"/>
          <w:lang w:val="es-PR"/>
        </w:rPr>
        <w:t>ustituir el término “trastornos alimenticios” por “trastornos de la conducta alimentaria”, ya que este es el término clínico más preciso.</w:t>
      </w:r>
    </w:p>
    <w:p w14:paraId="38159278" w14:textId="77777777" w:rsidR="003219C9" w:rsidRPr="003219C9" w:rsidRDefault="003219C9" w:rsidP="003219C9">
      <w:pPr>
        <w:ind w:left="720"/>
        <w:jc w:val="both"/>
        <w:rPr>
          <w:rFonts w:ascii="Book Antiqua" w:hAnsi="Book Antiqua"/>
          <w:szCs w:val="24"/>
          <w:lang w:val="es-PR"/>
        </w:rPr>
      </w:pPr>
    </w:p>
    <w:p w14:paraId="617A3143" w14:textId="77777777" w:rsidR="003219C9" w:rsidRDefault="003219C9" w:rsidP="003219C9">
      <w:pPr>
        <w:numPr>
          <w:ilvl w:val="0"/>
          <w:numId w:val="19"/>
        </w:numPr>
        <w:jc w:val="both"/>
        <w:rPr>
          <w:rFonts w:ascii="Book Antiqua" w:hAnsi="Book Antiqua"/>
          <w:szCs w:val="24"/>
          <w:lang w:val="es-PR"/>
        </w:rPr>
      </w:pPr>
      <w:r w:rsidRPr="003219C9">
        <w:rPr>
          <w:rFonts w:ascii="Book Antiqua" w:hAnsi="Book Antiqua"/>
          <w:szCs w:val="24"/>
          <w:lang w:val="es-PR"/>
        </w:rPr>
        <w:lastRenderedPageBreak/>
        <w:t>Ampliar alcance: Se recomienda eliminar la enumeración de trastornos específicos (anorexia, bulimia, atracón), pues existen múltiples condiciones adicionales y la redacción actual limitaría la cobertura.</w:t>
      </w:r>
    </w:p>
    <w:p w14:paraId="745A92F0" w14:textId="77777777" w:rsidR="003219C9" w:rsidRDefault="003219C9" w:rsidP="003219C9">
      <w:pPr>
        <w:pStyle w:val="ListParagraph"/>
        <w:rPr>
          <w:rFonts w:ascii="Book Antiqua" w:hAnsi="Book Antiqua"/>
          <w:szCs w:val="24"/>
          <w:lang w:val="es-PR"/>
        </w:rPr>
      </w:pPr>
    </w:p>
    <w:p w14:paraId="27C0C7CF" w14:textId="0D1F90A4" w:rsidR="003219C9" w:rsidRDefault="003219C9" w:rsidP="003219C9">
      <w:pPr>
        <w:numPr>
          <w:ilvl w:val="0"/>
          <w:numId w:val="19"/>
        </w:numPr>
        <w:jc w:val="both"/>
        <w:rPr>
          <w:rFonts w:ascii="Book Antiqua" w:hAnsi="Book Antiqua"/>
          <w:szCs w:val="24"/>
          <w:lang w:val="es-PR"/>
        </w:rPr>
      </w:pPr>
      <w:r w:rsidRPr="003219C9">
        <w:rPr>
          <w:rFonts w:ascii="Book Antiqua" w:hAnsi="Book Antiqua"/>
          <w:szCs w:val="24"/>
          <w:lang w:val="es-PR"/>
        </w:rPr>
        <w:t>Profesionalización de la orientación: La educación debe estar a cargo de profesionales especializados</w:t>
      </w:r>
      <w:r>
        <w:rPr>
          <w:rFonts w:ascii="Book Antiqua" w:hAnsi="Book Antiqua"/>
          <w:szCs w:val="24"/>
          <w:lang w:val="es-PR"/>
        </w:rPr>
        <w:t xml:space="preserve"> en el área de trastornos de la conducta alimentaria y de imagen </w:t>
      </w:r>
      <w:proofErr w:type="gramStart"/>
      <w:r>
        <w:rPr>
          <w:rFonts w:ascii="Book Antiqua" w:hAnsi="Book Antiqua"/>
          <w:szCs w:val="24"/>
          <w:lang w:val="es-PR"/>
        </w:rPr>
        <w:t xml:space="preserve">corporal </w:t>
      </w:r>
      <w:r w:rsidRPr="003219C9">
        <w:rPr>
          <w:rFonts w:ascii="Book Antiqua" w:hAnsi="Book Antiqua"/>
          <w:szCs w:val="24"/>
          <w:lang w:val="es-PR"/>
        </w:rPr>
        <w:t xml:space="preserve"> (</w:t>
      </w:r>
      <w:proofErr w:type="gramEnd"/>
      <w:r w:rsidRPr="003219C9">
        <w:rPr>
          <w:rFonts w:ascii="Book Antiqua" w:hAnsi="Book Antiqua"/>
          <w:szCs w:val="24"/>
          <w:lang w:val="es-PR"/>
        </w:rPr>
        <w:t>psicólogos, psiquiatras, nutricionistas-dietistas licenciados), para asegurar información adecuada y basada en evidencia.</w:t>
      </w:r>
    </w:p>
    <w:p w14:paraId="6750A9DA" w14:textId="77777777" w:rsidR="003219C9" w:rsidRDefault="003219C9" w:rsidP="003219C9">
      <w:pPr>
        <w:pStyle w:val="ListParagraph"/>
        <w:rPr>
          <w:rFonts w:ascii="Book Antiqua" w:hAnsi="Book Antiqua"/>
          <w:szCs w:val="24"/>
          <w:lang w:val="es-PR"/>
        </w:rPr>
      </w:pPr>
    </w:p>
    <w:p w14:paraId="29BE1C54" w14:textId="77777777" w:rsidR="003219C9" w:rsidRDefault="003219C9" w:rsidP="003219C9">
      <w:pPr>
        <w:numPr>
          <w:ilvl w:val="0"/>
          <w:numId w:val="19"/>
        </w:numPr>
        <w:jc w:val="both"/>
        <w:rPr>
          <w:rFonts w:ascii="Book Antiqua" w:hAnsi="Book Antiqua"/>
          <w:szCs w:val="24"/>
          <w:lang w:val="es-PR"/>
        </w:rPr>
      </w:pPr>
      <w:r w:rsidRPr="003219C9">
        <w:rPr>
          <w:rFonts w:ascii="Book Antiqua" w:hAnsi="Book Antiqua"/>
          <w:szCs w:val="24"/>
          <w:lang w:val="es-PR"/>
        </w:rPr>
        <w:t>Capacitación escolar: Incluir a maestros y padres en programas de adiestramiento que les permitan identificar señales tempranas y canalizar casos a los recursos especializados.</w:t>
      </w:r>
    </w:p>
    <w:p w14:paraId="0451692E" w14:textId="77777777" w:rsidR="003219C9" w:rsidRPr="003219C9" w:rsidRDefault="003219C9" w:rsidP="003219C9">
      <w:pPr>
        <w:jc w:val="both"/>
        <w:rPr>
          <w:rFonts w:ascii="Book Antiqua" w:hAnsi="Book Antiqua"/>
          <w:szCs w:val="24"/>
          <w:lang w:val="es-PR"/>
        </w:rPr>
      </w:pPr>
    </w:p>
    <w:p w14:paraId="03A7DA98" w14:textId="77777777" w:rsidR="003219C9" w:rsidRDefault="003219C9" w:rsidP="003219C9">
      <w:pPr>
        <w:ind w:firstLine="720"/>
        <w:jc w:val="both"/>
        <w:rPr>
          <w:rFonts w:ascii="Book Antiqua" w:hAnsi="Book Antiqua"/>
          <w:szCs w:val="24"/>
          <w:lang w:val="es-PR"/>
        </w:rPr>
      </w:pPr>
    </w:p>
    <w:p w14:paraId="3FA1E056" w14:textId="46322342" w:rsidR="00BE7F3B" w:rsidRPr="00BE7F3B" w:rsidRDefault="003219C9" w:rsidP="00FB2878">
      <w:pPr>
        <w:ind w:firstLine="720"/>
        <w:jc w:val="both"/>
        <w:rPr>
          <w:rFonts w:ascii="Book Antiqua" w:hAnsi="Book Antiqua"/>
          <w:szCs w:val="24"/>
          <w:lang w:val="es-PR"/>
        </w:rPr>
      </w:pPr>
      <w:r w:rsidRPr="003219C9">
        <w:rPr>
          <w:rFonts w:ascii="Book Antiqua" w:hAnsi="Book Antiqua"/>
          <w:szCs w:val="24"/>
          <w:lang w:val="es-PR"/>
        </w:rPr>
        <w:t>El Departamento de Salud concluye que el P. de la C. 475 es una herramienta clave y necesaria para atender una problemática de salud pública en aumento. La medida permitirá reforzar la educación preventiva en los planteles escolares, fomentar hábitos de vida saludables, y brindar a los estudiantes, padres y maestros herramientas para enfrentar los TCA con un enfoque positivo y de apoyo integral. Por todo lo anterior, el Departamento endosa la aprobación del proyecto, sujeto a las recomendaciones técnicas señaladas, y reitera su disposición para colaborar en la implantación de esta política pública</w:t>
      </w:r>
      <w:r>
        <w:rPr>
          <w:rFonts w:ascii="Book Antiqua" w:hAnsi="Book Antiqua"/>
          <w:szCs w:val="24"/>
          <w:lang w:val="es-PR"/>
        </w:rPr>
        <w:t>.</w:t>
      </w:r>
    </w:p>
    <w:p w14:paraId="77E562CE" w14:textId="77777777" w:rsidR="00465547" w:rsidRPr="00BE7F3B" w:rsidRDefault="00465547" w:rsidP="002E42EC">
      <w:pPr>
        <w:ind w:firstLine="720"/>
        <w:jc w:val="both"/>
        <w:rPr>
          <w:rFonts w:ascii="Book Antiqua" w:hAnsi="Book Antiqua"/>
          <w:szCs w:val="24"/>
          <w:lang w:val="es-ES_tradnl"/>
        </w:rPr>
      </w:pPr>
    </w:p>
    <w:p w14:paraId="38BDC834" w14:textId="77777777" w:rsidR="00262084" w:rsidRDefault="00262084" w:rsidP="00024F6E">
      <w:pPr>
        <w:jc w:val="center"/>
        <w:rPr>
          <w:rFonts w:ascii="Book Antiqua" w:hAnsi="Book Antiqua"/>
          <w:b/>
          <w:bCs/>
          <w:szCs w:val="24"/>
          <w:u w:val="single"/>
          <w:lang w:val="es-ES_tradnl"/>
        </w:rPr>
      </w:pPr>
    </w:p>
    <w:p w14:paraId="60043DA2" w14:textId="77777777" w:rsidR="00262084" w:rsidRDefault="00262084" w:rsidP="00024F6E">
      <w:pPr>
        <w:jc w:val="center"/>
        <w:rPr>
          <w:rFonts w:ascii="Book Antiqua" w:hAnsi="Book Antiqua"/>
          <w:b/>
          <w:bCs/>
          <w:szCs w:val="24"/>
          <w:u w:val="single"/>
          <w:lang w:val="es-ES_tradnl"/>
        </w:rPr>
      </w:pPr>
    </w:p>
    <w:p w14:paraId="60EB7DD5" w14:textId="50C81907" w:rsidR="000E13D9" w:rsidRPr="00024F6E" w:rsidRDefault="003219C9" w:rsidP="00024F6E">
      <w:pPr>
        <w:jc w:val="center"/>
        <w:rPr>
          <w:rFonts w:ascii="Book Antiqua" w:hAnsi="Book Antiqua"/>
          <w:b/>
          <w:bCs/>
          <w:szCs w:val="24"/>
          <w:u w:val="single"/>
          <w:lang w:val="es-ES_tradnl"/>
        </w:rPr>
      </w:pPr>
      <w:r>
        <w:rPr>
          <w:rFonts w:ascii="Book Antiqua" w:hAnsi="Book Antiqua"/>
          <w:b/>
          <w:bCs/>
          <w:szCs w:val="24"/>
          <w:u w:val="single"/>
          <w:lang w:val="es-ES_tradnl"/>
        </w:rPr>
        <w:t>DEPARTAMENTO DE LA FAMILIA</w:t>
      </w:r>
    </w:p>
    <w:p w14:paraId="43F996F9" w14:textId="77777777" w:rsidR="00AF4615" w:rsidRDefault="00AF4615" w:rsidP="002E42EC">
      <w:pPr>
        <w:jc w:val="both"/>
        <w:rPr>
          <w:rFonts w:ascii="Book Antiqua" w:hAnsi="Book Antiqua"/>
          <w:b/>
          <w:bCs/>
          <w:lang w:val="es-ES_tradnl"/>
        </w:rPr>
      </w:pPr>
    </w:p>
    <w:p w14:paraId="3AC7C966" w14:textId="2D4BF4FB" w:rsidR="009A69B0" w:rsidRPr="009A69B0" w:rsidRDefault="00823F94" w:rsidP="009A69B0">
      <w:pPr>
        <w:tabs>
          <w:tab w:val="left" w:pos="-720"/>
        </w:tabs>
        <w:suppressAutoHyphens/>
        <w:jc w:val="both"/>
        <w:rPr>
          <w:rFonts w:ascii="Book Antiqua" w:hAnsi="Book Antiqua"/>
          <w:szCs w:val="24"/>
          <w:lang w:val="es-PR"/>
        </w:rPr>
      </w:pPr>
      <w:r>
        <w:rPr>
          <w:rFonts w:ascii="Book Antiqua" w:hAnsi="Book Antiqua"/>
          <w:szCs w:val="24"/>
          <w:lang w:val="es-PR"/>
        </w:rPr>
        <w:tab/>
      </w:r>
      <w:r w:rsidR="003219C9" w:rsidRPr="009A69B0">
        <w:rPr>
          <w:rFonts w:ascii="Book Antiqua" w:hAnsi="Book Antiqua"/>
          <w:szCs w:val="24"/>
          <w:lang w:val="es-PR"/>
        </w:rPr>
        <w:t xml:space="preserve">El Departamento de la Familia </w:t>
      </w:r>
      <w:r w:rsidR="009A69B0" w:rsidRPr="009A69B0">
        <w:rPr>
          <w:rFonts w:ascii="Book Antiqua" w:hAnsi="Book Antiqua"/>
          <w:lang w:val="es-PR"/>
        </w:rPr>
        <w:t xml:space="preserve">en coordinación con la Comisión de Alimentación y Nutrición de Puerto Rico, </w:t>
      </w:r>
      <w:r w:rsidR="009A69B0" w:rsidRPr="009A69B0">
        <w:rPr>
          <w:rFonts w:ascii="Book Antiqua" w:hAnsi="Book Antiqua"/>
          <w:szCs w:val="24"/>
          <w:lang w:val="es-PR"/>
        </w:rPr>
        <w:t xml:space="preserve">reconoce </w:t>
      </w:r>
      <w:r w:rsidR="009A69B0">
        <w:rPr>
          <w:rFonts w:ascii="Book Antiqua" w:hAnsi="Book Antiqua"/>
          <w:szCs w:val="24"/>
          <w:lang w:val="es-PR"/>
        </w:rPr>
        <w:t xml:space="preserve">en su memorial explicativo </w:t>
      </w:r>
      <w:r w:rsidR="009A69B0" w:rsidRPr="009A69B0">
        <w:rPr>
          <w:rFonts w:ascii="Book Antiqua" w:hAnsi="Book Antiqua"/>
          <w:szCs w:val="24"/>
          <w:lang w:val="es-PR"/>
        </w:rPr>
        <w:t>que los trastornos de la conducta alimentaria (TCA) son desórdenes mentales graves que alteran la relación con la comida, el peso y la imagen corporal, y que tienen consecuencias devastadoras para la salud física y emocional de los niños y adolescentes. Señala que la intervención temprana es crucial para evitar daños permanentes durante etapas de crecimiento y desarrollo. Por eso, considera que la educación es una herramienta esencial para identificar y prevenir estas condiciones desde la escuela.</w:t>
      </w:r>
    </w:p>
    <w:p w14:paraId="4ADFD4B6" w14:textId="77777777" w:rsidR="009A69B0" w:rsidRDefault="009A69B0" w:rsidP="009A69B0">
      <w:pPr>
        <w:tabs>
          <w:tab w:val="left" w:pos="-720"/>
        </w:tabs>
        <w:suppressAutoHyphens/>
        <w:jc w:val="both"/>
        <w:rPr>
          <w:rFonts w:ascii="Book Antiqua" w:hAnsi="Book Antiqua"/>
          <w:szCs w:val="24"/>
          <w:lang w:val="es-PR"/>
        </w:rPr>
      </w:pPr>
    </w:p>
    <w:p w14:paraId="3D341F32" w14:textId="07F01F3D" w:rsidR="009A69B0" w:rsidRDefault="009A69B0" w:rsidP="009A69B0">
      <w:pPr>
        <w:tabs>
          <w:tab w:val="left" w:pos="-720"/>
        </w:tabs>
        <w:suppressAutoHyphens/>
        <w:jc w:val="both"/>
        <w:rPr>
          <w:rFonts w:ascii="Book Antiqua" w:hAnsi="Book Antiqua"/>
          <w:szCs w:val="24"/>
          <w:lang w:val="es-PR"/>
        </w:rPr>
      </w:pPr>
      <w:r>
        <w:rPr>
          <w:rFonts w:ascii="Book Antiqua" w:hAnsi="Book Antiqua"/>
          <w:szCs w:val="24"/>
          <w:lang w:val="es-PR"/>
        </w:rPr>
        <w:tab/>
      </w:r>
      <w:r w:rsidRPr="009A69B0">
        <w:rPr>
          <w:rFonts w:ascii="Book Antiqua" w:hAnsi="Book Antiqua"/>
          <w:szCs w:val="24"/>
          <w:lang w:val="es-PR"/>
        </w:rPr>
        <w:t>Aunque el Departamento no es una agencia especializada en temas clínicos de salud, enfatiza su rol como agencia de protección social y como administrador de programas que promueven una nutrición adecuada y accesible para las familias más necesitadas. Entre ellos se destacan:</w:t>
      </w:r>
    </w:p>
    <w:p w14:paraId="2613720C" w14:textId="77777777" w:rsidR="009A69B0" w:rsidRPr="009A69B0" w:rsidRDefault="009A69B0" w:rsidP="009A69B0">
      <w:pPr>
        <w:tabs>
          <w:tab w:val="left" w:pos="-720"/>
        </w:tabs>
        <w:suppressAutoHyphens/>
        <w:jc w:val="both"/>
        <w:rPr>
          <w:rFonts w:ascii="Book Antiqua" w:hAnsi="Book Antiqua"/>
          <w:szCs w:val="24"/>
          <w:lang w:val="es-PR"/>
        </w:rPr>
      </w:pPr>
    </w:p>
    <w:p w14:paraId="139D8354" w14:textId="77777777" w:rsidR="009A69B0" w:rsidRPr="009A69B0" w:rsidRDefault="009A69B0" w:rsidP="009A69B0">
      <w:pPr>
        <w:numPr>
          <w:ilvl w:val="0"/>
          <w:numId w:val="20"/>
        </w:numPr>
        <w:tabs>
          <w:tab w:val="left" w:pos="-720"/>
        </w:tabs>
        <w:suppressAutoHyphens/>
        <w:spacing w:line="360" w:lineRule="auto"/>
        <w:jc w:val="both"/>
        <w:rPr>
          <w:rFonts w:ascii="Book Antiqua" w:hAnsi="Book Antiqua"/>
          <w:szCs w:val="24"/>
          <w:lang w:val="es-PR"/>
        </w:rPr>
      </w:pPr>
      <w:r w:rsidRPr="009A69B0">
        <w:rPr>
          <w:rFonts w:ascii="Book Antiqua" w:hAnsi="Book Antiqua"/>
          <w:szCs w:val="24"/>
          <w:lang w:val="es-PR"/>
        </w:rPr>
        <w:t>El Programa de Asistencia Nutricional (PAN).</w:t>
      </w:r>
    </w:p>
    <w:p w14:paraId="1CC3EFE8" w14:textId="77777777" w:rsidR="009A69B0" w:rsidRPr="009A69B0" w:rsidRDefault="009A69B0" w:rsidP="009A69B0">
      <w:pPr>
        <w:numPr>
          <w:ilvl w:val="0"/>
          <w:numId w:val="20"/>
        </w:numPr>
        <w:tabs>
          <w:tab w:val="left" w:pos="-720"/>
        </w:tabs>
        <w:suppressAutoHyphens/>
        <w:spacing w:line="360" w:lineRule="auto"/>
        <w:jc w:val="both"/>
        <w:rPr>
          <w:rFonts w:ascii="Book Antiqua" w:hAnsi="Book Antiqua"/>
          <w:szCs w:val="24"/>
        </w:rPr>
      </w:pPr>
      <w:r w:rsidRPr="009A69B0">
        <w:rPr>
          <w:rFonts w:ascii="Book Antiqua" w:hAnsi="Book Antiqua"/>
          <w:szCs w:val="24"/>
        </w:rPr>
        <w:t>Mercado Familiar.</w:t>
      </w:r>
    </w:p>
    <w:p w14:paraId="23D74836" w14:textId="77777777" w:rsidR="009A69B0" w:rsidRPr="009A69B0" w:rsidRDefault="009A69B0" w:rsidP="009A69B0">
      <w:pPr>
        <w:numPr>
          <w:ilvl w:val="0"/>
          <w:numId w:val="20"/>
        </w:numPr>
        <w:tabs>
          <w:tab w:val="left" w:pos="-720"/>
        </w:tabs>
        <w:suppressAutoHyphens/>
        <w:spacing w:line="360" w:lineRule="auto"/>
        <w:jc w:val="both"/>
        <w:rPr>
          <w:rFonts w:ascii="Book Antiqua" w:hAnsi="Book Antiqua"/>
          <w:szCs w:val="24"/>
          <w:lang w:val="es-PR"/>
        </w:rPr>
      </w:pPr>
      <w:r w:rsidRPr="009A69B0">
        <w:rPr>
          <w:rFonts w:ascii="Book Antiqua" w:hAnsi="Book Antiqua"/>
          <w:szCs w:val="24"/>
          <w:lang w:val="es-PR"/>
        </w:rPr>
        <w:lastRenderedPageBreak/>
        <w:t>Programa de Alimentos para Niños en Hogares de Cuido.</w:t>
      </w:r>
    </w:p>
    <w:p w14:paraId="14FA0A8C" w14:textId="77777777" w:rsidR="009A69B0" w:rsidRPr="009A69B0" w:rsidRDefault="009A69B0" w:rsidP="009A69B0">
      <w:pPr>
        <w:numPr>
          <w:ilvl w:val="0"/>
          <w:numId w:val="20"/>
        </w:numPr>
        <w:tabs>
          <w:tab w:val="left" w:pos="-720"/>
        </w:tabs>
        <w:suppressAutoHyphens/>
        <w:spacing w:line="360" w:lineRule="auto"/>
        <w:jc w:val="both"/>
        <w:rPr>
          <w:rFonts w:ascii="Book Antiqua" w:hAnsi="Book Antiqua"/>
          <w:szCs w:val="24"/>
          <w:lang w:val="es-PR"/>
        </w:rPr>
      </w:pPr>
      <w:r w:rsidRPr="009A69B0">
        <w:rPr>
          <w:rFonts w:ascii="Book Antiqua" w:hAnsi="Book Antiqua"/>
          <w:szCs w:val="24"/>
          <w:lang w:val="es-PR"/>
        </w:rPr>
        <w:t>Programa de Distribución de Alimentos.</w:t>
      </w:r>
    </w:p>
    <w:p w14:paraId="577368E9" w14:textId="77777777" w:rsidR="009A69B0" w:rsidRPr="009A69B0" w:rsidRDefault="009A69B0" w:rsidP="009A69B0">
      <w:pPr>
        <w:numPr>
          <w:ilvl w:val="0"/>
          <w:numId w:val="20"/>
        </w:numPr>
        <w:tabs>
          <w:tab w:val="left" w:pos="-720"/>
        </w:tabs>
        <w:suppressAutoHyphens/>
        <w:spacing w:line="360" w:lineRule="auto"/>
        <w:jc w:val="both"/>
        <w:rPr>
          <w:rFonts w:ascii="Book Antiqua" w:hAnsi="Book Antiqua"/>
          <w:szCs w:val="24"/>
        </w:rPr>
      </w:pPr>
      <w:proofErr w:type="spellStart"/>
      <w:r w:rsidRPr="009A69B0">
        <w:rPr>
          <w:rFonts w:ascii="Book Antiqua" w:hAnsi="Book Antiqua"/>
          <w:szCs w:val="24"/>
        </w:rPr>
        <w:t>Subprograma</w:t>
      </w:r>
      <w:proofErr w:type="spellEnd"/>
      <w:r w:rsidRPr="009A69B0">
        <w:rPr>
          <w:rFonts w:ascii="Book Antiqua" w:hAnsi="Book Antiqua"/>
          <w:szCs w:val="24"/>
        </w:rPr>
        <w:t xml:space="preserve"> “Soup Kitchen”.</w:t>
      </w:r>
    </w:p>
    <w:p w14:paraId="5F7F88FF" w14:textId="77777777" w:rsidR="009A69B0" w:rsidRDefault="009A69B0" w:rsidP="009A69B0">
      <w:pPr>
        <w:tabs>
          <w:tab w:val="left" w:pos="-720"/>
        </w:tabs>
        <w:suppressAutoHyphens/>
        <w:jc w:val="both"/>
        <w:rPr>
          <w:rFonts w:ascii="Book Antiqua" w:hAnsi="Book Antiqua"/>
          <w:szCs w:val="24"/>
          <w:lang w:val="es-PR"/>
        </w:rPr>
      </w:pPr>
    </w:p>
    <w:p w14:paraId="018C9A80" w14:textId="3AB78716" w:rsidR="009A69B0" w:rsidRPr="009A69B0" w:rsidRDefault="009A69B0" w:rsidP="009A69B0">
      <w:pPr>
        <w:tabs>
          <w:tab w:val="left" w:pos="-720"/>
        </w:tabs>
        <w:suppressAutoHyphens/>
        <w:jc w:val="both"/>
        <w:rPr>
          <w:rFonts w:ascii="Book Antiqua" w:hAnsi="Book Antiqua"/>
          <w:szCs w:val="24"/>
          <w:lang w:val="es-PR"/>
        </w:rPr>
      </w:pPr>
      <w:r>
        <w:rPr>
          <w:rFonts w:ascii="Book Antiqua" w:hAnsi="Book Antiqua"/>
          <w:szCs w:val="24"/>
          <w:lang w:val="es-PR"/>
        </w:rPr>
        <w:tab/>
      </w:r>
      <w:r w:rsidRPr="009A69B0">
        <w:rPr>
          <w:rFonts w:ascii="Book Antiqua" w:hAnsi="Book Antiqua"/>
          <w:szCs w:val="24"/>
          <w:lang w:val="es-PR"/>
        </w:rPr>
        <w:t>Estos programas no solo combaten la inseguridad alimentaria, sino que también fomentan una alimentación saludable y la autosuficiencia familiar, lo cual se complementa con la medida al atender la raíz social de los problemas de nutrición.</w:t>
      </w:r>
    </w:p>
    <w:p w14:paraId="0A0FCA8A" w14:textId="77777777" w:rsidR="009A69B0" w:rsidRPr="009A69B0" w:rsidRDefault="009A69B0" w:rsidP="009A69B0">
      <w:pPr>
        <w:tabs>
          <w:tab w:val="left" w:pos="-720"/>
        </w:tabs>
        <w:suppressAutoHyphens/>
        <w:jc w:val="both"/>
        <w:rPr>
          <w:rFonts w:ascii="Book Antiqua" w:hAnsi="Book Antiqua"/>
          <w:szCs w:val="24"/>
          <w:lang w:val="es-PR"/>
        </w:rPr>
      </w:pPr>
      <w:r w:rsidRPr="009A69B0">
        <w:rPr>
          <w:rFonts w:ascii="Book Antiqua" w:hAnsi="Book Antiqua"/>
          <w:szCs w:val="24"/>
          <w:lang w:val="es-PR"/>
        </w:rPr>
        <w:t>Postura y deferencia a otras agencias</w:t>
      </w:r>
    </w:p>
    <w:p w14:paraId="287CDF58" w14:textId="77777777" w:rsidR="009A69B0" w:rsidRDefault="009A69B0" w:rsidP="009A69B0">
      <w:pPr>
        <w:tabs>
          <w:tab w:val="left" w:pos="-720"/>
        </w:tabs>
        <w:suppressAutoHyphens/>
        <w:jc w:val="both"/>
        <w:rPr>
          <w:rFonts w:ascii="Book Antiqua" w:hAnsi="Book Antiqua"/>
          <w:szCs w:val="24"/>
          <w:lang w:val="es-PR"/>
        </w:rPr>
      </w:pPr>
    </w:p>
    <w:p w14:paraId="1AD9BFCA" w14:textId="5990FD85" w:rsidR="009A69B0" w:rsidRPr="009A69B0" w:rsidRDefault="009A69B0" w:rsidP="009A69B0">
      <w:pPr>
        <w:tabs>
          <w:tab w:val="left" w:pos="-720"/>
        </w:tabs>
        <w:suppressAutoHyphens/>
        <w:jc w:val="both"/>
        <w:rPr>
          <w:rFonts w:ascii="Book Antiqua" w:hAnsi="Book Antiqua"/>
          <w:szCs w:val="24"/>
          <w:lang w:val="es-PR"/>
        </w:rPr>
      </w:pPr>
      <w:r>
        <w:rPr>
          <w:rFonts w:ascii="Book Antiqua" w:hAnsi="Book Antiqua"/>
          <w:szCs w:val="24"/>
          <w:lang w:val="es-PR"/>
        </w:rPr>
        <w:tab/>
      </w:r>
      <w:r w:rsidRPr="009A69B0">
        <w:rPr>
          <w:rFonts w:ascii="Book Antiqua" w:hAnsi="Book Antiqua"/>
          <w:szCs w:val="24"/>
          <w:lang w:val="es-PR"/>
        </w:rPr>
        <w:t>El Departamento de la Familia respalda la aprobación del P. de la C. 475, pero subraya que, al tratarse de una medida con componentes de salud y de educación, concede deferencia a los análisis técnicos y recomendaciones que realicen el Departamento de Salud y el Departamento de Educación, entidades con el peritaje especializado en trastornos alimentarios y en la implantación de programas escolares.</w:t>
      </w:r>
    </w:p>
    <w:p w14:paraId="78810CB4" w14:textId="77777777" w:rsidR="009A69B0" w:rsidRDefault="009A69B0" w:rsidP="009A69B0">
      <w:pPr>
        <w:tabs>
          <w:tab w:val="left" w:pos="-720"/>
        </w:tabs>
        <w:suppressAutoHyphens/>
        <w:jc w:val="both"/>
        <w:rPr>
          <w:rFonts w:ascii="Book Antiqua" w:hAnsi="Book Antiqua"/>
          <w:szCs w:val="24"/>
          <w:lang w:val="es-PR"/>
        </w:rPr>
      </w:pPr>
    </w:p>
    <w:p w14:paraId="374F7215" w14:textId="3D1B6D6B" w:rsidR="009A69B0" w:rsidRPr="009A69B0" w:rsidRDefault="009A69B0" w:rsidP="009A69B0">
      <w:pPr>
        <w:tabs>
          <w:tab w:val="left" w:pos="-720"/>
        </w:tabs>
        <w:suppressAutoHyphens/>
        <w:jc w:val="both"/>
        <w:rPr>
          <w:rFonts w:ascii="Book Antiqua" w:hAnsi="Book Antiqua"/>
          <w:szCs w:val="24"/>
          <w:lang w:val="es-PR"/>
        </w:rPr>
      </w:pPr>
      <w:r>
        <w:rPr>
          <w:rFonts w:ascii="Book Antiqua" w:hAnsi="Book Antiqua"/>
          <w:szCs w:val="24"/>
          <w:lang w:val="es-PR"/>
        </w:rPr>
        <w:tab/>
      </w:r>
      <w:r w:rsidRPr="009A69B0">
        <w:rPr>
          <w:rFonts w:ascii="Book Antiqua" w:hAnsi="Book Antiqua"/>
          <w:szCs w:val="24"/>
          <w:lang w:val="es-PR"/>
        </w:rPr>
        <w:t xml:space="preserve">El memorial concluye que la medida es necesaria porque permitirá prevenir y atender de manera más eficaz los trastornos alimentarios en la niñez y la adolescencia, garantizando una educación que no solo instruya en lo académico, sino que también proteja la salud integral de los estudiantes. </w:t>
      </w:r>
    </w:p>
    <w:p w14:paraId="6E83C600" w14:textId="7DD87185" w:rsidR="00823F94" w:rsidRPr="00823F94" w:rsidRDefault="00823F94" w:rsidP="003219C9">
      <w:pPr>
        <w:tabs>
          <w:tab w:val="left" w:pos="-720"/>
        </w:tabs>
        <w:suppressAutoHyphens/>
        <w:jc w:val="both"/>
        <w:rPr>
          <w:rFonts w:ascii="Book Antiqua" w:hAnsi="Book Antiqua"/>
          <w:szCs w:val="24"/>
          <w:lang w:val="es-PR"/>
        </w:rPr>
      </w:pPr>
    </w:p>
    <w:p w14:paraId="544BACC9" w14:textId="77777777" w:rsidR="00A5099F" w:rsidRDefault="00A5099F" w:rsidP="00A5099F">
      <w:pPr>
        <w:tabs>
          <w:tab w:val="left" w:pos="-720"/>
        </w:tabs>
        <w:suppressAutoHyphens/>
        <w:jc w:val="both"/>
        <w:rPr>
          <w:rFonts w:ascii="Book Antiqua" w:hAnsi="Book Antiqua"/>
          <w:szCs w:val="24"/>
          <w:lang w:val="es-PR"/>
        </w:rPr>
      </w:pPr>
    </w:p>
    <w:p w14:paraId="7A7AAE4E" w14:textId="77777777" w:rsidR="009A69B0" w:rsidRPr="00823F94" w:rsidRDefault="009A69B0" w:rsidP="00A5099F">
      <w:pPr>
        <w:tabs>
          <w:tab w:val="left" w:pos="-720"/>
        </w:tabs>
        <w:suppressAutoHyphens/>
        <w:jc w:val="both"/>
        <w:rPr>
          <w:rFonts w:ascii="Book Antiqua" w:hAnsi="Book Antiqua"/>
          <w:szCs w:val="24"/>
          <w:lang w:val="es-PR"/>
        </w:rPr>
      </w:pPr>
    </w:p>
    <w:p w14:paraId="547B4FBC" w14:textId="77777777" w:rsidR="009A69B0" w:rsidRPr="009A69B0" w:rsidRDefault="009A69B0" w:rsidP="009A69B0">
      <w:pPr>
        <w:jc w:val="center"/>
        <w:rPr>
          <w:rFonts w:ascii="Book Antiqua" w:hAnsi="Book Antiqua"/>
          <w:b/>
          <w:bCs/>
          <w:szCs w:val="24"/>
          <w:u w:val="single"/>
          <w:lang w:val="es-ES"/>
        </w:rPr>
      </w:pPr>
      <w:r w:rsidRPr="009A69B0">
        <w:rPr>
          <w:rFonts w:ascii="Book Antiqua" w:hAnsi="Book Antiqua"/>
          <w:b/>
          <w:bCs/>
          <w:szCs w:val="24"/>
          <w:u w:val="single"/>
          <w:lang w:val="es-ES"/>
        </w:rPr>
        <w:t xml:space="preserve">ADMINISTRACIÓN DE SERVICIOS DE SALUD MENTAL </w:t>
      </w:r>
    </w:p>
    <w:p w14:paraId="4C6758F3" w14:textId="6BDE915B" w:rsidR="009A69B0" w:rsidRPr="009A69B0" w:rsidRDefault="009A69B0" w:rsidP="009A69B0">
      <w:pPr>
        <w:jc w:val="center"/>
        <w:rPr>
          <w:rFonts w:ascii="Book Antiqua" w:hAnsi="Book Antiqua"/>
          <w:b/>
          <w:bCs/>
          <w:szCs w:val="24"/>
          <w:u w:val="single"/>
          <w:lang w:val="es-ES_tradnl"/>
        </w:rPr>
      </w:pPr>
      <w:r w:rsidRPr="009A69B0">
        <w:rPr>
          <w:rFonts w:ascii="Book Antiqua" w:hAnsi="Book Antiqua"/>
          <w:b/>
          <w:bCs/>
          <w:szCs w:val="24"/>
          <w:u w:val="single"/>
          <w:lang w:val="es-ES"/>
        </w:rPr>
        <w:t>Y CONTRA LA ADICCIÓN (ASSMCA)</w:t>
      </w:r>
    </w:p>
    <w:p w14:paraId="3F67260E" w14:textId="77777777" w:rsidR="00A5099F" w:rsidRDefault="00A5099F" w:rsidP="00422A92">
      <w:pPr>
        <w:tabs>
          <w:tab w:val="left" w:pos="-720"/>
        </w:tabs>
        <w:suppressAutoHyphens/>
        <w:jc w:val="center"/>
        <w:rPr>
          <w:rFonts w:ascii="Book Antiqua" w:hAnsi="Book Antiqua"/>
          <w:b/>
          <w:bCs/>
          <w:szCs w:val="24"/>
          <w:lang w:val="es-ES_tradnl"/>
        </w:rPr>
      </w:pPr>
    </w:p>
    <w:p w14:paraId="1944CA64" w14:textId="4296856D" w:rsidR="009A69B0" w:rsidRPr="009A69B0" w:rsidRDefault="009A69B0" w:rsidP="009A69B0">
      <w:pPr>
        <w:tabs>
          <w:tab w:val="left" w:pos="-720"/>
        </w:tabs>
        <w:suppressAutoHyphens/>
        <w:jc w:val="both"/>
        <w:rPr>
          <w:rFonts w:ascii="Book Antiqua" w:hAnsi="Book Antiqua"/>
          <w:szCs w:val="24"/>
          <w:lang w:val="es-PR"/>
        </w:rPr>
      </w:pPr>
      <w:r>
        <w:rPr>
          <w:rFonts w:ascii="Book Antiqua" w:hAnsi="Book Antiqua"/>
          <w:szCs w:val="24"/>
          <w:lang w:val="es-PR"/>
        </w:rPr>
        <w:tab/>
      </w:r>
      <w:r w:rsidRPr="009A69B0">
        <w:rPr>
          <w:rFonts w:ascii="Book Antiqua" w:hAnsi="Book Antiqua"/>
          <w:szCs w:val="24"/>
          <w:lang w:val="es-PR"/>
        </w:rPr>
        <w:t xml:space="preserve">La Administración de Servicios de Salud Mental y Contra la Adicción (ASSMCA) expresó su respaldo al Proyecto de la Cámara 475, que propone enmendar el Artículo 9.10 de la </w:t>
      </w:r>
      <w:r w:rsidRPr="009A69B0">
        <w:rPr>
          <w:rFonts w:ascii="Book Antiqua" w:hAnsi="Book Antiqua"/>
          <w:i/>
          <w:iCs/>
          <w:szCs w:val="24"/>
          <w:lang w:val="es-PR"/>
        </w:rPr>
        <w:t>Ley de Reforma Educativa de Puerto Rico</w:t>
      </w:r>
      <w:r w:rsidRPr="009A69B0">
        <w:rPr>
          <w:rFonts w:ascii="Book Antiqua" w:hAnsi="Book Antiqua"/>
          <w:szCs w:val="24"/>
          <w:lang w:val="es-PR"/>
        </w:rPr>
        <w:t xml:space="preserve"> (Ley 85-2018) para incluir de manera explícita la orientación y educación sobre la prevención de trastornos alimenticios como la anorexia, la bulimia y el trastorno por atracón, dentro de los talleres y campañas educativas sobre estilos de vida saludables.</w:t>
      </w:r>
    </w:p>
    <w:p w14:paraId="27829A37" w14:textId="77777777" w:rsidR="009A69B0" w:rsidRDefault="009A69B0" w:rsidP="009A69B0">
      <w:pPr>
        <w:tabs>
          <w:tab w:val="left" w:pos="-720"/>
        </w:tabs>
        <w:suppressAutoHyphens/>
        <w:jc w:val="both"/>
        <w:rPr>
          <w:rFonts w:ascii="Book Antiqua" w:hAnsi="Book Antiqua"/>
          <w:szCs w:val="24"/>
          <w:lang w:val="es-PR"/>
        </w:rPr>
      </w:pPr>
    </w:p>
    <w:p w14:paraId="6838E7E9" w14:textId="586307DF" w:rsidR="009A69B0" w:rsidRPr="009A69B0" w:rsidRDefault="009A69B0" w:rsidP="009A69B0">
      <w:pPr>
        <w:tabs>
          <w:tab w:val="left" w:pos="-720"/>
        </w:tabs>
        <w:suppressAutoHyphens/>
        <w:jc w:val="both"/>
        <w:rPr>
          <w:rFonts w:ascii="Book Antiqua" w:hAnsi="Book Antiqua"/>
          <w:szCs w:val="24"/>
          <w:lang w:val="es-PR"/>
        </w:rPr>
      </w:pPr>
      <w:r>
        <w:rPr>
          <w:rFonts w:ascii="Book Antiqua" w:hAnsi="Book Antiqua"/>
          <w:szCs w:val="24"/>
          <w:lang w:val="es-PR"/>
        </w:rPr>
        <w:tab/>
      </w:r>
      <w:r w:rsidRPr="009A69B0">
        <w:rPr>
          <w:rFonts w:ascii="Book Antiqua" w:hAnsi="Book Antiqua"/>
          <w:szCs w:val="24"/>
          <w:lang w:val="es-PR"/>
        </w:rPr>
        <w:t>ASSMCA subraya que la salud física y mental de los estudiantes es un componente fundamental para su bienestar general y su desempeño académico. Sin embargo, la ley vigente no contempla de forma clara la prevención de los trastornos alimenticios, lo cual representa un vacío importante dada la magnitud del problema.</w:t>
      </w:r>
    </w:p>
    <w:p w14:paraId="145E8B9A" w14:textId="77777777" w:rsidR="009A69B0" w:rsidRDefault="009A69B0" w:rsidP="009A69B0">
      <w:pPr>
        <w:tabs>
          <w:tab w:val="left" w:pos="-720"/>
        </w:tabs>
        <w:suppressAutoHyphens/>
        <w:jc w:val="both"/>
        <w:rPr>
          <w:rFonts w:ascii="Book Antiqua" w:hAnsi="Book Antiqua"/>
          <w:szCs w:val="24"/>
          <w:lang w:val="es-PR"/>
        </w:rPr>
      </w:pPr>
    </w:p>
    <w:p w14:paraId="6A25B16E" w14:textId="0A1E576F" w:rsidR="009A69B0" w:rsidRPr="009A69B0" w:rsidRDefault="009A69B0" w:rsidP="009A69B0">
      <w:pPr>
        <w:tabs>
          <w:tab w:val="left" w:pos="-720"/>
        </w:tabs>
        <w:suppressAutoHyphens/>
        <w:jc w:val="both"/>
        <w:rPr>
          <w:rFonts w:ascii="Book Antiqua" w:hAnsi="Book Antiqua"/>
          <w:szCs w:val="24"/>
          <w:lang w:val="es-PR"/>
        </w:rPr>
      </w:pPr>
      <w:r>
        <w:rPr>
          <w:rFonts w:ascii="Book Antiqua" w:hAnsi="Book Antiqua"/>
          <w:szCs w:val="24"/>
          <w:lang w:val="es-PR"/>
        </w:rPr>
        <w:tab/>
      </w:r>
      <w:r w:rsidRPr="009A69B0">
        <w:rPr>
          <w:rFonts w:ascii="Book Antiqua" w:hAnsi="Book Antiqua"/>
          <w:szCs w:val="24"/>
          <w:lang w:val="es-PR"/>
        </w:rPr>
        <w:t>Estos trastornos suelen manifestarse en la adolescencia, una etapa marcada por la vulnerabilidad ante presiones sociales, estigmas y expectativas irreales sobre la imagen corporal. La falta de educación adecuada provoca que estas condiciones sean mal comprendidas o pasen desapercibidas entre estudiantes, padres y educadores.</w:t>
      </w:r>
    </w:p>
    <w:p w14:paraId="4314B65B" w14:textId="490CF18D" w:rsidR="009A69B0" w:rsidRPr="009A69B0" w:rsidRDefault="009A69B0" w:rsidP="009A69B0">
      <w:pPr>
        <w:tabs>
          <w:tab w:val="left" w:pos="-720"/>
        </w:tabs>
        <w:suppressAutoHyphens/>
        <w:jc w:val="both"/>
        <w:rPr>
          <w:rFonts w:ascii="Book Antiqua" w:hAnsi="Book Antiqua"/>
          <w:szCs w:val="24"/>
          <w:lang w:val="es-PR"/>
        </w:rPr>
      </w:pPr>
      <w:r>
        <w:rPr>
          <w:rFonts w:ascii="Book Antiqua" w:hAnsi="Book Antiqua"/>
          <w:szCs w:val="24"/>
          <w:lang w:val="es-PR"/>
        </w:rPr>
        <w:lastRenderedPageBreak/>
        <w:tab/>
      </w:r>
      <w:r w:rsidRPr="009A69B0">
        <w:rPr>
          <w:rFonts w:ascii="Book Antiqua" w:hAnsi="Book Antiqua"/>
          <w:szCs w:val="24"/>
          <w:lang w:val="es-PR"/>
        </w:rPr>
        <w:t>La Consulta Juvenil 2020-2022, comisionada por ASSMCA, evidenció la urgencia del tema: más de 100,000 estudiantes han sido víctimas de acoso escolar en algún momento de su vida y un 26.6% en el último año (aproximadamente 48,533 estudiantes). Dentro de las razones reportadas por jóvenes de 7mo a 12mo grado, el 10.7% mencionó la apariencia física y un 5.15% el peso como causas principales de acoso, factores directamente vinculados con la autoimagen y el riesgo de desarrollar trastornos alimentarios.</w:t>
      </w:r>
    </w:p>
    <w:p w14:paraId="377819BD" w14:textId="77777777" w:rsidR="009A69B0" w:rsidRDefault="009A69B0" w:rsidP="009A69B0">
      <w:pPr>
        <w:tabs>
          <w:tab w:val="left" w:pos="-720"/>
        </w:tabs>
        <w:suppressAutoHyphens/>
        <w:jc w:val="both"/>
        <w:rPr>
          <w:rFonts w:ascii="Book Antiqua" w:hAnsi="Book Antiqua"/>
          <w:szCs w:val="24"/>
          <w:lang w:val="es-PR"/>
        </w:rPr>
      </w:pPr>
    </w:p>
    <w:p w14:paraId="22F6AE4C" w14:textId="300C238A" w:rsidR="009A69B0" w:rsidRDefault="009A69B0" w:rsidP="009A69B0">
      <w:pPr>
        <w:tabs>
          <w:tab w:val="left" w:pos="-720"/>
        </w:tabs>
        <w:suppressAutoHyphens/>
        <w:jc w:val="both"/>
        <w:rPr>
          <w:rFonts w:ascii="Book Antiqua" w:hAnsi="Book Antiqua"/>
          <w:szCs w:val="24"/>
          <w:lang w:val="es-PR"/>
        </w:rPr>
      </w:pPr>
      <w:r>
        <w:rPr>
          <w:rFonts w:ascii="Book Antiqua" w:hAnsi="Book Antiqua"/>
          <w:szCs w:val="24"/>
          <w:lang w:val="es-PR"/>
        </w:rPr>
        <w:tab/>
        <w:t xml:space="preserve">Es por ello </w:t>
      </w:r>
      <w:proofErr w:type="gramStart"/>
      <w:r>
        <w:rPr>
          <w:rFonts w:ascii="Book Antiqua" w:hAnsi="Book Antiqua"/>
          <w:szCs w:val="24"/>
          <w:lang w:val="es-PR"/>
        </w:rPr>
        <w:t>que</w:t>
      </w:r>
      <w:proofErr w:type="gramEnd"/>
      <w:r>
        <w:rPr>
          <w:rFonts w:ascii="Book Antiqua" w:hAnsi="Book Antiqua"/>
          <w:szCs w:val="24"/>
          <w:lang w:val="es-PR"/>
        </w:rPr>
        <w:t xml:space="preserve">, </w:t>
      </w:r>
      <w:r w:rsidRPr="009A69B0">
        <w:rPr>
          <w:rFonts w:ascii="Book Antiqua" w:hAnsi="Book Antiqua"/>
          <w:szCs w:val="24"/>
          <w:lang w:val="es-PR"/>
        </w:rPr>
        <w:t>ASSMCA sostiene que la aprobación de esta medida permitirá:</w:t>
      </w:r>
      <w:r>
        <w:rPr>
          <w:rFonts w:ascii="Book Antiqua" w:hAnsi="Book Antiqua"/>
          <w:szCs w:val="24"/>
          <w:lang w:val="es-PR"/>
        </w:rPr>
        <w:t xml:space="preserve"> </w:t>
      </w:r>
    </w:p>
    <w:p w14:paraId="0B820BDC" w14:textId="77777777" w:rsidR="009A69B0" w:rsidRPr="009A69B0" w:rsidRDefault="009A69B0" w:rsidP="009A69B0">
      <w:pPr>
        <w:tabs>
          <w:tab w:val="left" w:pos="-720"/>
        </w:tabs>
        <w:suppressAutoHyphens/>
        <w:jc w:val="both"/>
        <w:rPr>
          <w:rFonts w:ascii="Book Antiqua" w:hAnsi="Book Antiqua"/>
          <w:szCs w:val="24"/>
          <w:lang w:val="es-PR"/>
        </w:rPr>
      </w:pPr>
    </w:p>
    <w:p w14:paraId="6C895686" w14:textId="77777777" w:rsidR="009A69B0" w:rsidRDefault="009A69B0" w:rsidP="009A69B0">
      <w:pPr>
        <w:numPr>
          <w:ilvl w:val="0"/>
          <w:numId w:val="21"/>
        </w:numPr>
        <w:tabs>
          <w:tab w:val="left" w:pos="-720"/>
        </w:tabs>
        <w:suppressAutoHyphens/>
        <w:jc w:val="both"/>
        <w:rPr>
          <w:rFonts w:ascii="Book Antiqua" w:hAnsi="Book Antiqua"/>
          <w:szCs w:val="24"/>
          <w:lang w:val="es-PR"/>
        </w:rPr>
      </w:pPr>
      <w:r w:rsidRPr="009A69B0">
        <w:rPr>
          <w:rFonts w:ascii="Book Antiqua" w:hAnsi="Book Antiqua"/>
          <w:szCs w:val="24"/>
          <w:lang w:val="es-PR"/>
        </w:rPr>
        <w:t>Crear conciencia temprana sobre los riesgos y señales de los trastornos alimenticios.</w:t>
      </w:r>
    </w:p>
    <w:p w14:paraId="010E728B" w14:textId="77777777" w:rsidR="009A69B0" w:rsidRPr="009A69B0" w:rsidRDefault="009A69B0" w:rsidP="009A69B0">
      <w:pPr>
        <w:tabs>
          <w:tab w:val="left" w:pos="-720"/>
        </w:tabs>
        <w:suppressAutoHyphens/>
        <w:ind w:left="720"/>
        <w:jc w:val="both"/>
        <w:rPr>
          <w:rFonts w:ascii="Book Antiqua" w:hAnsi="Book Antiqua"/>
          <w:szCs w:val="24"/>
          <w:lang w:val="es-PR"/>
        </w:rPr>
      </w:pPr>
    </w:p>
    <w:p w14:paraId="6BC9465E" w14:textId="77777777" w:rsidR="009A69B0" w:rsidRDefault="009A69B0" w:rsidP="009A69B0">
      <w:pPr>
        <w:numPr>
          <w:ilvl w:val="0"/>
          <w:numId w:val="21"/>
        </w:numPr>
        <w:tabs>
          <w:tab w:val="left" w:pos="-720"/>
        </w:tabs>
        <w:suppressAutoHyphens/>
        <w:jc w:val="both"/>
        <w:rPr>
          <w:rFonts w:ascii="Book Antiqua" w:hAnsi="Book Antiqua"/>
          <w:szCs w:val="24"/>
          <w:lang w:val="es-PR"/>
        </w:rPr>
      </w:pPr>
      <w:r w:rsidRPr="009A69B0">
        <w:rPr>
          <w:rFonts w:ascii="Book Antiqua" w:hAnsi="Book Antiqua"/>
          <w:szCs w:val="24"/>
          <w:lang w:val="es-PR"/>
        </w:rPr>
        <w:t>Reducir el estigma asociado a la salud mental y a la imagen corporal.</w:t>
      </w:r>
    </w:p>
    <w:p w14:paraId="7C75D46E" w14:textId="77777777" w:rsidR="009A69B0" w:rsidRPr="009A69B0" w:rsidRDefault="009A69B0" w:rsidP="009A69B0">
      <w:pPr>
        <w:tabs>
          <w:tab w:val="left" w:pos="-720"/>
        </w:tabs>
        <w:suppressAutoHyphens/>
        <w:jc w:val="both"/>
        <w:rPr>
          <w:rFonts w:ascii="Book Antiqua" w:hAnsi="Book Antiqua"/>
          <w:szCs w:val="24"/>
          <w:lang w:val="es-PR"/>
        </w:rPr>
      </w:pPr>
    </w:p>
    <w:p w14:paraId="239D6F5F" w14:textId="77777777" w:rsidR="009A69B0" w:rsidRDefault="009A69B0" w:rsidP="009A69B0">
      <w:pPr>
        <w:numPr>
          <w:ilvl w:val="0"/>
          <w:numId w:val="21"/>
        </w:numPr>
        <w:tabs>
          <w:tab w:val="left" w:pos="-720"/>
        </w:tabs>
        <w:suppressAutoHyphens/>
        <w:jc w:val="both"/>
        <w:rPr>
          <w:rFonts w:ascii="Book Antiqua" w:hAnsi="Book Antiqua"/>
          <w:szCs w:val="24"/>
          <w:lang w:val="es-PR"/>
        </w:rPr>
      </w:pPr>
      <w:r w:rsidRPr="009A69B0">
        <w:rPr>
          <w:rFonts w:ascii="Book Antiqua" w:hAnsi="Book Antiqua"/>
          <w:szCs w:val="24"/>
          <w:lang w:val="es-PR"/>
        </w:rPr>
        <w:t>Fomentar hábitos alimenticios saludables a través de educación basada en evidencia.</w:t>
      </w:r>
    </w:p>
    <w:p w14:paraId="39987A02" w14:textId="77777777" w:rsidR="009A69B0" w:rsidRPr="009A69B0" w:rsidRDefault="009A69B0" w:rsidP="009A69B0">
      <w:pPr>
        <w:tabs>
          <w:tab w:val="left" w:pos="-720"/>
        </w:tabs>
        <w:suppressAutoHyphens/>
        <w:jc w:val="both"/>
        <w:rPr>
          <w:rFonts w:ascii="Book Antiqua" w:hAnsi="Book Antiqua"/>
          <w:szCs w:val="24"/>
          <w:lang w:val="es-PR"/>
        </w:rPr>
      </w:pPr>
    </w:p>
    <w:p w14:paraId="69C666A7" w14:textId="77777777" w:rsidR="009A69B0" w:rsidRDefault="009A69B0" w:rsidP="009A69B0">
      <w:pPr>
        <w:numPr>
          <w:ilvl w:val="0"/>
          <w:numId w:val="21"/>
        </w:numPr>
        <w:tabs>
          <w:tab w:val="left" w:pos="-720"/>
        </w:tabs>
        <w:suppressAutoHyphens/>
        <w:jc w:val="both"/>
        <w:rPr>
          <w:rFonts w:ascii="Book Antiqua" w:hAnsi="Book Antiqua"/>
          <w:szCs w:val="24"/>
          <w:lang w:val="es-PR"/>
        </w:rPr>
      </w:pPr>
      <w:r w:rsidRPr="009A69B0">
        <w:rPr>
          <w:rFonts w:ascii="Book Antiqua" w:hAnsi="Book Antiqua"/>
          <w:szCs w:val="24"/>
          <w:lang w:val="es-PR"/>
        </w:rPr>
        <w:t>Empoderar al personal escolar y a los padres para identificar casos y canalizarlos a servicios adecuados.</w:t>
      </w:r>
    </w:p>
    <w:p w14:paraId="2D8AB5CF" w14:textId="77777777" w:rsidR="009A69B0" w:rsidRPr="009A69B0" w:rsidRDefault="009A69B0" w:rsidP="009A69B0">
      <w:pPr>
        <w:tabs>
          <w:tab w:val="left" w:pos="-720"/>
        </w:tabs>
        <w:suppressAutoHyphens/>
        <w:jc w:val="both"/>
        <w:rPr>
          <w:rFonts w:ascii="Book Antiqua" w:hAnsi="Book Antiqua"/>
          <w:szCs w:val="24"/>
          <w:lang w:val="es-PR"/>
        </w:rPr>
      </w:pPr>
    </w:p>
    <w:p w14:paraId="7B5CF805" w14:textId="77777777" w:rsidR="009A69B0" w:rsidRPr="009A69B0" w:rsidRDefault="009A69B0" w:rsidP="009A69B0">
      <w:pPr>
        <w:numPr>
          <w:ilvl w:val="0"/>
          <w:numId w:val="21"/>
        </w:numPr>
        <w:tabs>
          <w:tab w:val="left" w:pos="-720"/>
        </w:tabs>
        <w:suppressAutoHyphens/>
        <w:jc w:val="both"/>
        <w:rPr>
          <w:rFonts w:ascii="Book Antiqua" w:hAnsi="Book Antiqua"/>
          <w:szCs w:val="24"/>
          <w:lang w:val="es-PR"/>
        </w:rPr>
      </w:pPr>
      <w:r w:rsidRPr="009A69B0">
        <w:rPr>
          <w:rFonts w:ascii="Book Antiqua" w:hAnsi="Book Antiqua"/>
          <w:szCs w:val="24"/>
          <w:lang w:val="es-PR"/>
        </w:rPr>
        <w:t>Formar estudiantes más saludables y resilientes, tanto física como emocionalmente.</w:t>
      </w:r>
    </w:p>
    <w:p w14:paraId="006BF275" w14:textId="77777777" w:rsidR="009A69B0" w:rsidRDefault="009A69B0" w:rsidP="009A69B0">
      <w:pPr>
        <w:tabs>
          <w:tab w:val="left" w:pos="-720"/>
        </w:tabs>
        <w:suppressAutoHyphens/>
        <w:jc w:val="both"/>
        <w:rPr>
          <w:rFonts w:ascii="Book Antiqua" w:hAnsi="Book Antiqua"/>
          <w:szCs w:val="24"/>
          <w:lang w:val="es-PR"/>
        </w:rPr>
      </w:pPr>
    </w:p>
    <w:p w14:paraId="7FCE5321" w14:textId="220E9DC4" w:rsidR="009A69B0" w:rsidRPr="009A69B0" w:rsidRDefault="009A69B0" w:rsidP="009A69B0">
      <w:pPr>
        <w:tabs>
          <w:tab w:val="left" w:pos="-720"/>
        </w:tabs>
        <w:suppressAutoHyphens/>
        <w:jc w:val="both"/>
        <w:rPr>
          <w:rFonts w:ascii="Book Antiqua" w:hAnsi="Book Antiqua"/>
          <w:szCs w:val="24"/>
          <w:lang w:val="es-PR"/>
        </w:rPr>
      </w:pPr>
      <w:r>
        <w:rPr>
          <w:rFonts w:ascii="Book Antiqua" w:hAnsi="Book Antiqua"/>
          <w:szCs w:val="24"/>
          <w:lang w:val="es-PR"/>
        </w:rPr>
        <w:tab/>
      </w:r>
      <w:r w:rsidRPr="009A69B0">
        <w:rPr>
          <w:rFonts w:ascii="Book Antiqua" w:hAnsi="Book Antiqua"/>
          <w:szCs w:val="24"/>
          <w:lang w:val="es-PR"/>
        </w:rPr>
        <w:t>El memorial enfatiza que la prevención es la herramienta más poderosa contra los trastornos alimenticios, y que incluir esta orientación en el currículo escolar es una acción urgente y necesaria para atender un problema que, aunque a menudo invisible, tiene consecuencias devastadoras. Por ello, ASSMCA endosa la aprobación del P. de la C. 475, entendiendo que esta medida refuerza el compromiso del Gobierno de Puerto Rico con la salud integral de la niñez y juventud de</w:t>
      </w:r>
      <w:r>
        <w:rPr>
          <w:rFonts w:ascii="Book Antiqua" w:hAnsi="Book Antiqua"/>
          <w:szCs w:val="24"/>
          <w:lang w:val="es-PR"/>
        </w:rPr>
        <w:t xml:space="preserve"> la Isla.</w:t>
      </w:r>
    </w:p>
    <w:p w14:paraId="719D89DE" w14:textId="77777777" w:rsidR="00A5099F" w:rsidRPr="009A69B0" w:rsidRDefault="00A5099F" w:rsidP="009A69B0">
      <w:pPr>
        <w:tabs>
          <w:tab w:val="left" w:pos="-720"/>
        </w:tabs>
        <w:suppressAutoHyphens/>
        <w:jc w:val="both"/>
        <w:rPr>
          <w:rFonts w:ascii="Book Antiqua" w:hAnsi="Book Antiqua"/>
          <w:szCs w:val="24"/>
          <w:lang w:val="es-ES_tradnl"/>
        </w:rPr>
      </w:pPr>
    </w:p>
    <w:p w14:paraId="5864F580" w14:textId="77777777" w:rsidR="009A69B0" w:rsidRDefault="009A69B0" w:rsidP="00422A92">
      <w:pPr>
        <w:tabs>
          <w:tab w:val="left" w:pos="-720"/>
        </w:tabs>
        <w:suppressAutoHyphens/>
        <w:jc w:val="center"/>
        <w:rPr>
          <w:rFonts w:ascii="Book Antiqua" w:hAnsi="Book Antiqua"/>
          <w:b/>
          <w:bCs/>
          <w:szCs w:val="24"/>
          <w:lang w:val="es-ES_tradnl"/>
        </w:rPr>
      </w:pPr>
    </w:p>
    <w:p w14:paraId="7C952932" w14:textId="3CA1C542" w:rsidR="009A69B0" w:rsidRPr="009A69B0" w:rsidRDefault="009A69B0" w:rsidP="00422A92">
      <w:pPr>
        <w:tabs>
          <w:tab w:val="left" w:pos="-720"/>
        </w:tabs>
        <w:suppressAutoHyphens/>
        <w:jc w:val="center"/>
        <w:rPr>
          <w:rFonts w:ascii="Book Antiqua" w:hAnsi="Book Antiqua"/>
          <w:b/>
          <w:bCs/>
          <w:szCs w:val="24"/>
          <w:u w:val="single"/>
          <w:lang w:val="es-ES_tradnl"/>
        </w:rPr>
      </w:pPr>
      <w:r w:rsidRPr="009A69B0">
        <w:rPr>
          <w:rFonts w:ascii="Book Antiqua" w:hAnsi="Book Antiqua"/>
          <w:b/>
          <w:bCs/>
          <w:szCs w:val="24"/>
          <w:u w:val="single"/>
          <w:lang w:val="es-ES_tradnl"/>
        </w:rPr>
        <w:t>ASOCIACIÓN DE PSICOLOGÍA DE PUERTO RICO</w:t>
      </w:r>
    </w:p>
    <w:p w14:paraId="6582F118" w14:textId="77777777" w:rsidR="009A69B0" w:rsidRDefault="009A69B0" w:rsidP="00422A92">
      <w:pPr>
        <w:tabs>
          <w:tab w:val="left" w:pos="-720"/>
        </w:tabs>
        <w:suppressAutoHyphens/>
        <w:jc w:val="center"/>
        <w:rPr>
          <w:rFonts w:ascii="Book Antiqua" w:hAnsi="Book Antiqua"/>
          <w:b/>
          <w:bCs/>
          <w:szCs w:val="24"/>
          <w:lang w:val="es-ES"/>
        </w:rPr>
      </w:pPr>
    </w:p>
    <w:p w14:paraId="6DD6B67F" w14:textId="08AD1CA4" w:rsidR="009A69B0" w:rsidRPr="009A69B0" w:rsidRDefault="009A69B0" w:rsidP="009A69B0">
      <w:pPr>
        <w:tabs>
          <w:tab w:val="left" w:pos="-720"/>
        </w:tabs>
        <w:suppressAutoHyphens/>
        <w:jc w:val="both"/>
        <w:rPr>
          <w:rFonts w:ascii="Book Antiqua" w:hAnsi="Book Antiqua"/>
          <w:szCs w:val="24"/>
          <w:lang w:val="es-PR"/>
        </w:rPr>
      </w:pPr>
      <w:r>
        <w:rPr>
          <w:rFonts w:ascii="Book Antiqua" w:hAnsi="Book Antiqua"/>
          <w:szCs w:val="24"/>
          <w:lang w:val="es-PR"/>
        </w:rPr>
        <w:tab/>
      </w:r>
      <w:r w:rsidRPr="009A69B0">
        <w:rPr>
          <w:rFonts w:ascii="Book Antiqua" w:hAnsi="Book Antiqua"/>
          <w:szCs w:val="24"/>
          <w:lang w:val="es-PR"/>
        </w:rPr>
        <w:t xml:space="preserve">La Asociación de Psicología de Puerto Rico (APPR), principal entidad que agrupa a los profesionales de la psicología en la </w:t>
      </w:r>
      <w:proofErr w:type="gramStart"/>
      <w:r w:rsidRPr="009A69B0">
        <w:rPr>
          <w:rFonts w:ascii="Book Antiqua" w:hAnsi="Book Antiqua"/>
          <w:szCs w:val="24"/>
          <w:lang w:val="es-PR"/>
        </w:rPr>
        <w:t>Isla,</w:t>
      </w:r>
      <w:proofErr w:type="gramEnd"/>
      <w:r w:rsidRPr="009A69B0">
        <w:rPr>
          <w:rFonts w:ascii="Book Antiqua" w:hAnsi="Book Antiqua"/>
          <w:szCs w:val="24"/>
          <w:lang w:val="es-PR"/>
        </w:rPr>
        <w:t xml:space="preserve"> expresó su respaldo al Proyecto de la Cámara 475.</w:t>
      </w:r>
      <w:r w:rsidR="004A041D">
        <w:rPr>
          <w:rFonts w:ascii="Book Antiqua" w:hAnsi="Book Antiqua"/>
          <w:szCs w:val="24"/>
          <w:lang w:val="es-PR"/>
        </w:rPr>
        <w:t xml:space="preserve"> </w:t>
      </w:r>
      <w:r>
        <w:rPr>
          <w:rFonts w:ascii="Book Antiqua" w:hAnsi="Book Antiqua"/>
          <w:szCs w:val="24"/>
          <w:lang w:val="es-PR"/>
        </w:rPr>
        <w:tab/>
      </w:r>
      <w:r w:rsidRPr="009A69B0">
        <w:rPr>
          <w:rFonts w:ascii="Book Antiqua" w:hAnsi="Book Antiqua"/>
          <w:szCs w:val="24"/>
          <w:lang w:val="es-PR"/>
        </w:rPr>
        <w:t xml:space="preserve">La APPR reconoce que los trastornos alimentarios son condiciones complejas y multifactoriales, que surgen de la interacción de factores genéticos, biológicos, psicológicos, sociales y culturales. Entre ellos se encuentran la predisposición genética, la baja autoestima, la depresión, la ansiedad, las dinámicas familiares disfuncionales, el historial de abuso o negligencia, así como la presión mediática y los estándares sociales de belleza. Estas condiciones no solo afectan la salud física y </w:t>
      </w:r>
      <w:r w:rsidRPr="009A69B0">
        <w:rPr>
          <w:rFonts w:ascii="Book Antiqua" w:hAnsi="Book Antiqua"/>
          <w:szCs w:val="24"/>
          <w:lang w:val="es-PR"/>
        </w:rPr>
        <w:lastRenderedPageBreak/>
        <w:t>emocional, sino que suelen estar vinculadas a problemáticas significativas que requieren atención clínica especializada.</w:t>
      </w:r>
    </w:p>
    <w:p w14:paraId="11286BFA" w14:textId="77777777" w:rsidR="009A69B0" w:rsidRDefault="009A69B0" w:rsidP="009A69B0">
      <w:pPr>
        <w:tabs>
          <w:tab w:val="left" w:pos="-720"/>
        </w:tabs>
        <w:suppressAutoHyphens/>
        <w:jc w:val="both"/>
        <w:rPr>
          <w:rFonts w:ascii="Book Antiqua" w:hAnsi="Book Antiqua"/>
          <w:szCs w:val="24"/>
          <w:lang w:val="es-PR"/>
        </w:rPr>
      </w:pPr>
    </w:p>
    <w:p w14:paraId="61241554" w14:textId="56C301F4" w:rsidR="009A69B0" w:rsidRPr="009A69B0" w:rsidRDefault="009A69B0" w:rsidP="009A69B0">
      <w:pPr>
        <w:tabs>
          <w:tab w:val="left" w:pos="-720"/>
        </w:tabs>
        <w:suppressAutoHyphens/>
        <w:jc w:val="both"/>
        <w:rPr>
          <w:rFonts w:ascii="Book Antiqua" w:hAnsi="Book Antiqua"/>
          <w:szCs w:val="24"/>
          <w:lang w:val="es-PR"/>
        </w:rPr>
      </w:pPr>
      <w:r>
        <w:rPr>
          <w:rFonts w:ascii="Book Antiqua" w:hAnsi="Book Antiqua"/>
          <w:szCs w:val="24"/>
          <w:lang w:val="es-PR"/>
        </w:rPr>
        <w:tab/>
      </w:r>
      <w:r w:rsidRPr="009A69B0">
        <w:rPr>
          <w:rFonts w:ascii="Book Antiqua" w:hAnsi="Book Antiqua"/>
          <w:szCs w:val="24"/>
          <w:lang w:val="es-PR"/>
        </w:rPr>
        <w:t>Por tal razón, la APPR considera que la educación preventiva en las escuelas es un paso imprescindible, pero advierte que debe complementarse con mecanismos de detección temprana e intervención que permitan atender de manera más efectiva esta problemática.</w:t>
      </w:r>
    </w:p>
    <w:p w14:paraId="27936C43" w14:textId="77777777" w:rsidR="009A69B0" w:rsidRDefault="009A69B0" w:rsidP="009A69B0">
      <w:pPr>
        <w:tabs>
          <w:tab w:val="left" w:pos="-720"/>
        </w:tabs>
        <w:suppressAutoHyphens/>
        <w:jc w:val="both"/>
        <w:rPr>
          <w:rFonts w:ascii="Book Antiqua" w:hAnsi="Book Antiqua"/>
          <w:szCs w:val="24"/>
          <w:lang w:val="es-PR"/>
        </w:rPr>
      </w:pPr>
    </w:p>
    <w:p w14:paraId="50FDFD00" w14:textId="122EC6F5" w:rsidR="009A69B0" w:rsidRDefault="009A69B0" w:rsidP="009A69B0">
      <w:pPr>
        <w:tabs>
          <w:tab w:val="left" w:pos="-720"/>
        </w:tabs>
        <w:suppressAutoHyphens/>
        <w:jc w:val="both"/>
        <w:rPr>
          <w:rFonts w:ascii="Book Antiqua" w:hAnsi="Book Antiqua"/>
          <w:szCs w:val="24"/>
          <w:lang w:val="es-PR"/>
        </w:rPr>
      </w:pPr>
      <w:r w:rsidRPr="009A69B0">
        <w:rPr>
          <w:rFonts w:ascii="Book Antiqua" w:hAnsi="Book Antiqua"/>
          <w:szCs w:val="24"/>
          <w:lang w:val="es-PR"/>
        </w:rPr>
        <w:t>La Asociación sugiere varias acciones que refuerzan la necesidad de aprobar la medida y que aseguran su implementación efectiva:</w:t>
      </w:r>
    </w:p>
    <w:p w14:paraId="543A0795" w14:textId="77777777" w:rsidR="009A69B0" w:rsidRPr="009A69B0" w:rsidRDefault="009A69B0" w:rsidP="009A69B0">
      <w:pPr>
        <w:tabs>
          <w:tab w:val="left" w:pos="-720"/>
        </w:tabs>
        <w:suppressAutoHyphens/>
        <w:jc w:val="both"/>
        <w:rPr>
          <w:rFonts w:ascii="Book Antiqua" w:hAnsi="Book Antiqua"/>
          <w:szCs w:val="24"/>
          <w:lang w:val="es-PR"/>
        </w:rPr>
      </w:pPr>
    </w:p>
    <w:p w14:paraId="6638AF0C" w14:textId="77777777" w:rsidR="004A041D" w:rsidRDefault="004A041D" w:rsidP="004A041D">
      <w:pPr>
        <w:pStyle w:val="ListParagraph"/>
        <w:numPr>
          <w:ilvl w:val="0"/>
          <w:numId w:val="24"/>
        </w:numPr>
        <w:tabs>
          <w:tab w:val="left" w:pos="-720"/>
        </w:tabs>
        <w:suppressAutoHyphens/>
        <w:jc w:val="both"/>
        <w:rPr>
          <w:rFonts w:ascii="Book Antiqua" w:hAnsi="Book Antiqua"/>
          <w:szCs w:val="24"/>
          <w:lang w:val="es-ES"/>
        </w:rPr>
      </w:pPr>
      <w:r w:rsidRPr="004A041D">
        <w:rPr>
          <w:rFonts w:ascii="Book Antiqua" w:hAnsi="Book Antiqua"/>
          <w:szCs w:val="24"/>
          <w:lang w:val="es-ES"/>
        </w:rPr>
        <w:t>Trabajar en el desarrollo de campañas dirigidas a fomentar una imagen corporal positiva y el fortalecimiento de la autoestima. Se recomienda que dichas campañas sean diseñadas tomando en consideración las edades y las etapas de desarrollo en que se encuentren los estudiantes.</w:t>
      </w:r>
    </w:p>
    <w:p w14:paraId="694AB534" w14:textId="77777777" w:rsidR="004A041D" w:rsidRPr="004A041D" w:rsidRDefault="004A041D" w:rsidP="004A041D">
      <w:pPr>
        <w:pStyle w:val="ListParagraph"/>
        <w:tabs>
          <w:tab w:val="left" w:pos="-720"/>
        </w:tabs>
        <w:suppressAutoHyphens/>
        <w:jc w:val="both"/>
        <w:rPr>
          <w:rFonts w:ascii="Book Antiqua" w:hAnsi="Book Antiqua"/>
          <w:szCs w:val="24"/>
          <w:lang w:val="es-ES"/>
        </w:rPr>
      </w:pPr>
    </w:p>
    <w:p w14:paraId="27A03B4C" w14:textId="77777777" w:rsidR="004A041D" w:rsidRPr="004A041D" w:rsidRDefault="004A041D" w:rsidP="004A041D">
      <w:pPr>
        <w:numPr>
          <w:ilvl w:val="0"/>
          <w:numId w:val="24"/>
        </w:numPr>
        <w:tabs>
          <w:tab w:val="left" w:pos="-720"/>
        </w:tabs>
        <w:suppressAutoHyphens/>
        <w:jc w:val="both"/>
        <w:rPr>
          <w:rFonts w:ascii="Book Antiqua" w:hAnsi="Book Antiqua"/>
          <w:szCs w:val="24"/>
          <w:lang w:val="es-ES"/>
        </w:rPr>
      </w:pPr>
      <w:r w:rsidRPr="004A041D">
        <w:rPr>
          <w:rFonts w:ascii="Book Antiqua" w:hAnsi="Book Antiqua"/>
          <w:szCs w:val="24"/>
          <w:lang w:val="es-ES"/>
        </w:rPr>
        <w:t>Adiestrar al personal docente y a la familia sobre las posibles señales que pudieran observar que sean indicativas de la presencia de un posible problema alimenticio.</w:t>
      </w:r>
    </w:p>
    <w:p w14:paraId="490FA794" w14:textId="77777777" w:rsidR="004A041D" w:rsidRDefault="004A041D" w:rsidP="004A041D">
      <w:pPr>
        <w:numPr>
          <w:ilvl w:val="0"/>
          <w:numId w:val="24"/>
        </w:numPr>
        <w:tabs>
          <w:tab w:val="left" w:pos="-720"/>
        </w:tabs>
        <w:suppressAutoHyphens/>
        <w:jc w:val="both"/>
        <w:rPr>
          <w:rFonts w:ascii="Book Antiqua" w:hAnsi="Book Antiqua"/>
          <w:szCs w:val="24"/>
          <w:lang w:val="es-ES"/>
        </w:rPr>
      </w:pPr>
      <w:r w:rsidRPr="004A041D">
        <w:rPr>
          <w:rFonts w:ascii="Book Antiqua" w:hAnsi="Book Antiqua"/>
          <w:szCs w:val="24"/>
          <w:lang w:val="es-ES"/>
        </w:rPr>
        <w:t>Contar con profesionales de la psicología en las escuelas para realizar las intervenciones de evaluación y referido que sean requeridas.</w:t>
      </w:r>
    </w:p>
    <w:p w14:paraId="63126888" w14:textId="77777777" w:rsidR="004A041D" w:rsidRPr="004A041D" w:rsidRDefault="004A041D" w:rsidP="004A041D">
      <w:pPr>
        <w:tabs>
          <w:tab w:val="left" w:pos="-720"/>
        </w:tabs>
        <w:suppressAutoHyphens/>
        <w:ind w:left="720"/>
        <w:jc w:val="both"/>
        <w:rPr>
          <w:rFonts w:ascii="Book Antiqua" w:hAnsi="Book Antiqua"/>
          <w:szCs w:val="24"/>
          <w:lang w:val="es-ES"/>
        </w:rPr>
      </w:pPr>
    </w:p>
    <w:p w14:paraId="789CB1DA" w14:textId="77777777" w:rsidR="004A041D" w:rsidRDefault="004A041D" w:rsidP="004A041D">
      <w:pPr>
        <w:numPr>
          <w:ilvl w:val="0"/>
          <w:numId w:val="24"/>
        </w:numPr>
        <w:tabs>
          <w:tab w:val="left" w:pos="-720"/>
        </w:tabs>
        <w:suppressAutoHyphens/>
        <w:jc w:val="both"/>
        <w:rPr>
          <w:rFonts w:ascii="Book Antiqua" w:hAnsi="Book Antiqua"/>
          <w:szCs w:val="24"/>
          <w:lang w:val="es-ES"/>
        </w:rPr>
      </w:pPr>
      <w:r w:rsidRPr="004A041D">
        <w:rPr>
          <w:rFonts w:ascii="Book Antiqua" w:hAnsi="Book Antiqua"/>
          <w:szCs w:val="24"/>
          <w:lang w:val="es-ES"/>
        </w:rPr>
        <w:t>Considerar incluir en el desarrollo de las campañas educativas las recomendaciones de especialistas en nutrición que promuevan prácticas de alimentación saludables y atemperadas a nuestra cultura y gastronomía.</w:t>
      </w:r>
    </w:p>
    <w:p w14:paraId="5F2BC247" w14:textId="77777777" w:rsidR="004A041D" w:rsidRPr="004A041D" w:rsidRDefault="004A041D" w:rsidP="004A041D">
      <w:pPr>
        <w:tabs>
          <w:tab w:val="left" w:pos="-720"/>
        </w:tabs>
        <w:suppressAutoHyphens/>
        <w:jc w:val="both"/>
        <w:rPr>
          <w:rFonts w:ascii="Book Antiqua" w:hAnsi="Book Antiqua"/>
          <w:szCs w:val="24"/>
          <w:lang w:val="es-ES"/>
        </w:rPr>
      </w:pPr>
    </w:p>
    <w:p w14:paraId="2E5FF746" w14:textId="77777777" w:rsidR="004A041D" w:rsidRDefault="004A041D" w:rsidP="004A041D">
      <w:pPr>
        <w:numPr>
          <w:ilvl w:val="0"/>
          <w:numId w:val="24"/>
        </w:numPr>
        <w:tabs>
          <w:tab w:val="left" w:pos="-720"/>
        </w:tabs>
        <w:suppressAutoHyphens/>
        <w:jc w:val="both"/>
        <w:rPr>
          <w:rFonts w:ascii="Book Antiqua" w:hAnsi="Book Antiqua"/>
          <w:szCs w:val="24"/>
          <w:lang w:val="es-ES"/>
        </w:rPr>
      </w:pPr>
      <w:r w:rsidRPr="004A041D">
        <w:rPr>
          <w:rFonts w:ascii="Book Antiqua" w:hAnsi="Book Antiqua"/>
          <w:szCs w:val="24"/>
          <w:lang w:val="es-ES"/>
        </w:rPr>
        <w:t>Estar atentos a aquellos estudiantes que presentan situaciones que representan altos niveles de estrés tales como (tendencias al perfeccionismo, problemas familiares, historial de abuso o negligencia, entre otras) y proveerle atención preventiva.</w:t>
      </w:r>
    </w:p>
    <w:p w14:paraId="2A2DBC8D" w14:textId="77777777" w:rsidR="004A041D" w:rsidRPr="004A041D" w:rsidRDefault="004A041D" w:rsidP="004A041D">
      <w:pPr>
        <w:tabs>
          <w:tab w:val="left" w:pos="-720"/>
        </w:tabs>
        <w:suppressAutoHyphens/>
        <w:jc w:val="both"/>
        <w:rPr>
          <w:rFonts w:ascii="Book Antiqua" w:hAnsi="Book Antiqua"/>
          <w:szCs w:val="24"/>
          <w:lang w:val="es-ES"/>
        </w:rPr>
      </w:pPr>
    </w:p>
    <w:p w14:paraId="329E14AB" w14:textId="77777777" w:rsidR="004A041D" w:rsidRPr="004A041D" w:rsidRDefault="004A041D" w:rsidP="004A041D">
      <w:pPr>
        <w:numPr>
          <w:ilvl w:val="0"/>
          <w:numId w:val="24"/>
        </w:numPr>
        <w:tabs>
          <w:tab w:val="left" w:pos="-720"/>
        </w:tabs>
        <w:suppressAutoHyphens/>
        <w:jc w:val="both"/>
        <w:rPr>
          <w:rFonts w:ascii="Book Antiqua" w:hAnsi="Book Antiqua"/>
          <w:szCs w:val="24"/>
          <w:lang w:val="es-ES"/>
        </w:rPr>
      </w:pPr>
      <w:r w:rsidRPr="004A041D">
        <w:rPr>
          <w:rFonts w:ascii="Book Antiqua" w:hAnsi="Book Antiqua"/>
          <w:szCs w:val="24"/>
          <w:lang w:val="es-ES"/>
        </w:rPr>
        <w:t>Sensibilizar a la comunidad académica acerca de estos trastornos y la necesidad de promover un ambiente de apoyo.</w:t>
      </w:r>
    </w:p>
    <w:p w14:paraId="62F72187" w14:textId="77777777" w:rsidR="009A69B0" w:rsidRPr="004A041D" w:rsidRDefault="009A69B0" w:rsidP="009A69B0">
      <w:pPr>
        <w:tabs>
          <w:tab w:val="left" w:pos="-720"/>
        </w:tabs>
        <w:suppressAutoHyphens/>
        <w:jc w:val="both"/>
        <w:rPr>
          <w:rFonts w:ascii="Book Antiqua" w:hAnsi="Book Antiqua"/>
          <w:szCs w:val="24"/>
          <w:lang w:val="es-ES"/>
        </w:rPr>
      </w:pPr>
    </w:p>
    <w:p w14:paraId="36FBAD20" w14:textId="50CB78BB" w:rsidR="009A69B0" w:rsidRPr="009A69B0" w:rsidRDefault="004A041D" w:rsidP="009A69B0">
      <w:pPr>
        <w:tabs>
          <w:tab w:val="left" w:pos="-720"/>
        </w:tabs>
        <w:suppressAutoHyphens/>
        <w:jc w:val="both"/>
        <w:rPr>
          <w:rFonts w:ascii="Book Antiqua" w:hAnsi="Book Antiqua"/>
          <w:szCs w:val="24"/>
          <w:lang w:val="es-PR"/>
        </w:rPr>
      </w:pPr>
      <w:r>
        <w:rPr>
          <w:rFonts w:ascii="Book Antiqua" w:hAnsi="Book Antiqua"/>
          <w:szCs w:val="24"/>
          <w:lang w:val="es-ES"/>
        </w:rPr>
        <w:tab/>
      </w:r>
      <w:r w:rsidR="009A69B0" w:rsidRPr="009A69B0">
        <w:rPr>
          <w:rFonts w:ascii="Book Antiqua" w:hAnsi="Book Antiqua"/>
          <w:szCs w:val="24"/>
          <w:lang w:val="es-PR"/>
        </w:rPr>
        <w:t>El memorial concluye que la aprobación del P. de la C. 475 es necesaria porque permitirá que el sistema educativo integre un enfoque preventivo frente a los trastornos alimentarios, promueva la salud integral de los estudiantes y facilite la identificación temprana de situaciones que, de no atenderse, pueden derivar en problemas de salud graves y persistentes. La APPR reitera su disposición de colaborar en la elaboración de campañas y en la inclusión de profesionales capacitados que aseguren la efectividad de esta política pública</w:t>
      </w:r>
      <w:r>
        <w:rPr>
          <w:rFonts w:ascii="Book Antiqua" w:hAnsi="Book Antiqua"/>
          <w:szCs w:val="24"/>
          <w:lang w:val="es-PR"/>
        </w:rPr>
        <w:t>.</w:t>
      </w:r>
    </w:p>
    <w:p w14:paraId="445C28AB" w14:textId="77777777" w:rsidR="009A69B0" w:rsidRDefault="009A69B0" w:rsidP="00422A92">
      <w:pPr>
        <w:tabs>
          <w:tab w:val="left" w:pos="-720"/>
        </w:tabs>
        <w:suppressAutoHyphens/>
        <w:jc w:val="center"/>
        <w:rPr>
          <w:rFonts w:ascii="Book Antiqua" w:hAnsi="Book Antiqua"/>
          <w:b/>
          <w:bCs/>
          <w:szCs w:val="24"/>
          <w:lang w:val="es-ES"/>
        </w:rPr>
      </w:pPr>
    </w:p>
    <w:p w14:paraId="5633C222" w14:textId="77777777" w:rsidR="009A69B0" w:rsidRDefault="009A69B0" w:rsidP="00422A92">
      <w:pPr>
        <w:tabs>
          <w:tab w:val="left" w:pos="-720"/>
        </w:tabs>
        <w:suppressAutoHyphens/>
        <w:jc w:val="center"/>
        <w:rPr>
          <w:rFonts w:ascii="Book Antiqua" w:hAnsi="Book Antiqua"/>
          <w:b/>
          <w:bCs/>
          <w:szCs w:val="24"/>
          <w:lang w:val="es-ES"/>
        </w:rPr>
      </w:pPr>
    </w:p>
    <w:p w14:paraId="3DD5604D" w14:textId="77777777" w:rsidR="009A69B0" w:rsidRDefault="009A69B0" w:rsidP="00422A92">
      <w:pPr>
        <w:tabs>
          <w:tab w:val="left" w:pos="-720"/>
        </w:tabs>
        <w:suppressAutoHyphens/>
        <w:jc w:val="center"/>
        <w:rPr>
          <w:rFonts w:ascii="Book Antiqua" w:hAnsi="Book Antiqua"/>
          <w:b/>
          <w:bCs/>
          <w:szCs w:val="24"/>
          <w:lang w:val="es-ES"/>
        </w:rPr>
      </w:pPr>
    </w:p>
    <w:p w14:paraId="268FBD27" w14:textId="77777777" w:rsidR="005D1EBF" w:rsidRDefault="005D1EBF" w:rsidP="00422A92">
      <w:pPr>
        <w:tabs>
          <w:tab w:val="left" w:pos="-720"/>
        </w:tabs>
        <w:suppressAutoHyphens/>
        <w:jc w:val="center"/>
        <w:rPr>
          <w:rFonts w:ascii="Book Antiqua" w:hAnsi="Book Antiqua"/>
          <w:b/>
          <w:bCs/>
          <w:szCs w:val="24"/>
          <w:lang w:val="es-ES"/>
        </w:rPr>
      </w:pPr>
    </w:p>
    <w:p w14:paraId="1C5F6CE4" w14:textId="4B8ACAB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20BF8ACC"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w:t>
      </w:r>
      <w:r w:rsidR="00416A52">
        <w:rPr>
          <w:rFonts w:ascii="Book Antiqua" w:hAnsi="Book Antiqua"/>
          <w:szCs w:val="24"/>
          <w:lang w:val="es-PR"/>
        </w:rPr>
        <w:t xml:space="preserve"> </w:t>
      </w:r>
      <w:r w:rsidR="007F30C2" w:rsidRPr="007F30C2">
        <w:rPr>
          <w:rFonts w:ascii="Book Antiqua" w:hAnsi="Book Antiqua"/>
          <w:szCs w:val="24"/>
          <w:lang w:val="es-PR"/>
        </w:rPr>
        <w:t>l</w:t>
      </w:r>
      <w:r w:rsidR="00416A52">
        <w:rPr>
          <w:rFonts w:ascii="Book Antiqua" w:hAnsi="Book Antiqua"/>
          <w:szCs w:val="24"/>
          <w:lang w:val="es-PR"/>
        </w:rPr>
        <w:t>a</w:t>
      </w:r>
      <w:r w:rsidR="007F30C2" w:rsidRPr="007F30C2">
        <w:rPr>
          <w:rFonts w:ascii="Book Antiqua" w:hAnsi="Book Antiqua"/>
          <w:szCs w:val="24"/>
          <w:lang w:val="es-PR"/>
        </w:rPr>
        <w:t xml:space="preserve"> </w:t>
      </w:r>
      <w:r w:rsidR="007E717A">
        <w:rPr>
          <w:rFonts w:ascii="Book Antiqua" w:hAnsi="Book Antiqua"/>
          <w:szCs w:val="24"/>
          <w:lang w:val="es-PR"/>
        </w:rPr>
        <w:t>C</w:t>
      </w:r>
      <w:r w:rsidR="007F30C2" w:rsidRPr="007F30C2">
        <w:rPr>
          <w:rFonts w:ascii="Book Antiqua" w:hAnsi="Book Antiqua"/>
          <w:szCs w:val="24"/>
          <w:lang w:val="es-PR"/>
        </w:rPr>
        <w:t>.</w:t>
      </w:r>
      <w:r w:rsidR="00FB2E20">
        <w:rPr>
          <w:rFonts w:ascii="Book Antiqua" w:hAnsi="Book Antiqua"/>
          <w:szCs w:val="24"/>
          <w:lang w:val="es-PR"/>
        </w:rPr>
        <w:t xml:space="preserve"> </w:t>
      </w:r>
      <w:r w:rsidR="00FB2878">
        <w:rPr>
          <w:rFonts w:ascii="Book Antiqua" w:hAnsi="Book Antiqua"/>
          <w:szCs w:val="24"/>
          <w:lang w:val="es-PR"/>
        </w:rPr>
        <w:t>4</w:t>
      </w:r>
      <w:r w:rsidR="009A69B0">
        <w:rPr>
          <w:rFonts w:ascii="Book Antiqua" w:hAnsi="Book Antiqua"/>
          <w:szCs w:val="24"/>
          <w:lang w:val="es-PR"/>
        </w:rPr>
        <w:t>75</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7299B397" w14:textId="77777777" w:rsidR="00B4494D" w:rsidRDefault="00B4494D" w:rsidP="00B4494D">
      <w:pPr>
        <w:tabs>
          <w:tab w:val="left" w:pos="-720"/>
        </w:tabs>
        <w:suppressAutoHyphens/>
        <w:spacing w:after="120" w:line="360" w:lineRule="auto"/>
        <w:jc w:val="center"/>
        <w:rPr>
          <w:rFonts w:ascii="Book Antiqua" w:hAnsi="Book Antiqua"/>
          <w:b/>
          <w:bCs/>
          <w:szCs w:val="24"/>
          <w:lang w:val="es-PR"/>
        </w:rPr>
      </w:pPr>
    </w:p>
    <w:p w14:paraId="1485F013" w14:textId="1DBD6C3C" w:rsidR="00B4494D" w:rsidRDefault="0028497D" w:rsidP="002E5763">
      <w:pPr>
        <w:tabs>
          <w:tab w:val="left" w:pos="-720"/>
        </w:tabs>
        <w:suppressAutoHyphens/>
        <w:spacing w:after="120" w:line="360" w:lineRule="auto"/>
        <w:jc w:val="center"/>
        <w:rPr>
          <w:rFonts w:ascii="Book Antiqua" w:hAnsi="Book Antiqua"/>
          <w:color w:val="000000" w:themeColor="text1"/>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r w:rsidR="007F30C2">
        <w:rPr>
          <w:rFonts w:ascii="Book Antiqua" w:hAnsi="Book Antiqua"/>
          <w:szCs w:val="24"/>
          <w:lang w:val="es-PR"/>
        </w:rPr>
        <w:tab/>
      </w:r>
      <w:r w:rsidR="00B4494D" w:rsidRPr="00B4494D">
        <w:rPr>
          <w:rFonts w:ascii="Book Antiqua" w:hAnsi="Book Antiqua"/>
          <w:color w:val="000000" w:themeColor="text1"/>
          <w:szCs w:val="24"/>
          <w:lang w:val="es-PR"/>
        </w:rPr>
        <w:t xml:space="preserve"> </w:t>
      </w:r>
    </w:p>
    <w:p w14:paraId="6C6F8F25" w14:textId="77777777" w:rsidR="004A041D" w:rsidRPr="004A041D" w:rsidRDefault="00EF7D4E" w:rsidP="004A041D">
      <w:pPr>
        <w:tabs>
          <w:tab w:val="left" w:pos="-720"/>
        </w:tabs>
        <w:suppressAutoHyphens/>
        <w:jc w:val="both"/>
        <w:rPr>
          <w:rFonts w:ascii="Book Antiqua" w:hAnsi="Book Antiqua"/>
          <w:color w:val="000000" w:themeColor="text1"/>
          <w:lang w:val="es-PR"/>
        </w:rPr>
      </w:pPr>
      <w:r>
        <w:rPr>
          <w:rFonts w:ascii="Book Antiqua" w:hAnsi="Book Antiqua"/>
          <w:color w:val="000000" w:themeColor="text1"/>
          <w:szCs w:val="24"/>
          <w:lang w:val="es-PR"/>
        </w:rPr>
        <w:tab/>
      </w:r>
      <w:r w:rsidR="004A041D" w:rsidRPr="004A041D">
        <w:rPr>
          <w:rFonts w:ascii="Book Antiqua" w:hAnsi="Book Antiqua"/>
          <w:color w:val="000000" w:themeColor="text1"/>
          <w:lang w:val="es-PR"/>
        </w:rPr>
        <w:t>Luego de un análisis ponderado de la medida y de los memoriales sometidos por las distintas agencias y entidades consultadas, la Comisión de Educación, Arte y Cultura concluye que el Proyecto de la Cámara 475 resulta no solo meritorio, sino también indispensable para atender una problemática de salud pública y educativa que afecta a miles de niños, adolescentes y jóvenes en Puerto Rico.</w:t>
      </w:r>
    </w:p>
    <w:p w14:paraId="63729D33" w14:textId="77777777" w:rsidR="004A041D" w:rsidRDefault="004A041D" w:rsidP="004A041D">
      <w:pPr>
        <w:tabs>
          <w:tab w:val="left" w:pos="-720"/>
        </w:tabs>
        <w:suppressAutoHyphens/>
        <w:jc w:val="both"/>
        <w:rPr>
          <w:rFonts w:ascii="Book Antiqua" w:hAnsi="Book Antiqua"/>
          <w:color w:val="000000" w:themeColor="text1"/>
          <w:szCs w:val="24"/>
          <w:lang w:val="es-PR"/>
        </w:rPr>
      </w:pPr>
    </w:p>
    <w:p w14:paraId="0ED36F70" w14:textId="2BA7EA0D" w:rsidR="004A041D" w:rsidRPr="004A041D" w:rsidRDefault="004A041D" w:rsidP="004A041D">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4A041D">
        <w:rPr>
          <w:rFonts w:ascii="Book Antiqua" w:hAnsi="Book Antiqua"/>
          <w:color w:val="000000" w:themeColor="text1"/>
          <w:szCs w:val="24"/>
          <w:lang w:val="es-PR"/>
        </w:rPr>
        <w:t>Los trastornos de la conducta alimentaria (TCA)</w:t>
      </w:r>
      <w:r>
        <w:rPr>
          <w:rFonts w:ascii="Book Antiqua" w:hAnsi="Book Antiqua"/>
          <w:color w:val="000000" w:themeColor="text1"/>
          <w:szCs w:val="24"/>
          <w:lang w:val="es-PR"/>
        </w:rPr>
        <w:t xml:space="preserve">; </w:t>
      </w:r>
      <w:r w:rsidRPr="004A041D">
        <w:rPr>
          <w:rFonts w:ascii="Book Antiqua" w:hAnsi="Book Antiqua"/>
          <w:color w:val="000000" w:themeColor="text1"/>
          <w:szCs w:val="24"/>
          <w:lang w:val="es-PR"/>
        </w:rPr>
        <w:t>entre ellos la anorexia nerviosa, la bulimia nerviosa y el trastorno por atracón</w:t>
      </w:r>
      <w:r>
        <w:rPr>
          <w:rFonts w:ascii="Book Antiqua" w:hAnsi="Book Antiqua"/>
          <w:color w:val="000000" w:themeColor="text1"/>
          <w:szCs w:val="24"/>
          <w:lang w:val="es-PR"/>
        </w:rPr>
        <w:t xml:space="preserve">; </w:t>
      </w:r>
      <w:r w:rsidRPr="004A041D">
        <w:rPr>
          <w:rFonts w:ascii="Book Antiqua" w:hAnsi="Book Antiqua"/>
          <w:color w:val="000000" w:themeColor="text1"/>
          <w:szCs w:val="24"/>
          <w:lang w:val="es-PR"/>
        </w:rPr>
        <w:t>son condiciones complejas, multifactoriales y de graves consecuencias físicas, emocionales y sociales. Los datos presentados reflejan que estos desórdenes suelen iniciarse en la adolescencia, etapa en la cual la presión social, los estigmas de la imagen corporal y la influencia de los medios pueden impactar de manera devastadora la autoestima y el bienestar integral de los estudiantes. Las estadísticas evidencian que estas condiciones no solo afectan la salud física, sino que también están asociadas con mayores índices de depresión, ansiedad, conductas autolesivas e, incluso, con intentos y casos de suicidio.</w:t>
      </w:r>
    </w:p>
    <w:p w14:paraId="75A2A4A5" w14:textId="77777777" w:rsidR="004A041D" w:rsidRDefault="004A041D" w:rsidP="004A041D">
      <w:pPr>
        <w:tabs>
          <w:tab w:val="left" w:pos="-720"/>
        </w:tabs>
        <w:suppressAutoHyphens/>
        <w:jc w:val="both"/>
        <w:rPr>
          <w:rFonts w:ascii="Book Antiqua" w:hAnsi="Book Antiqua"/>
          <w:color w:val="000000" w:themeColor="text1"/>
          <w:szCs w:val="24"/>
          <w:lang w:val="es-PR"/>
        </w:rPr>
      </w:pPr>
    </w:p>
    <w:p w14:paraId="6066CBDD" w14:textId="7B935542" w:rsidR="004A041D" w:rsidRPr="004A041D" w:rsidRDefault="004A041D" w:rsidP="004A041D">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4A041D">
        <w:rPr>
          <w:rFonts w:ascii="Book Antiqua" w:hAnsi="Book Antiqua"/>
          <w:color w:val="000000" w:themeColor="text1"/>
          <w:szCs w:val="24"/>
          <w:lang w:val="es-PR"/>
        </w:rPr>
        <w:t>El consenso de los memoriales recibidos reafirma que la prevención es la herramienta más poderosa en la lucha contra los TCA. En este sentido, la inclusión expresa de orientación y educación sobre su prevención dentro de los talleres y campañas escolares representa una medida proactiva, necesaria y urgente, que permitirá educar desde temprana edad, fomentar una imagen corporal positiva, derribar mitos dañinos sobre la alimentación y el peso, y normalizar hábitos alimentarios saludables.</w:t>
      </w:r>
    </w:p>
    <w:p w14:paraId="0FF0445B" w14:textId="77777777" w:rsidR="004A041D" w:rsidRDefault="004A041D" w:rsidP="004A041D">
      <w:pPr>
        <w:tabs>
          <w:tab w:val="left" w:pos="-720"/>
        </w:tabs>
        <w:suppressAutoHyphens/>
        <w:jc w:val="both"/>
        <w:rPr>
          <w:rFonts w:ascii="Book Antiqua" w:hAnsi="Book Antiqua"/>
          <w:color w:val="000000" w:themeColor="text1"/>
          <w:szCs w:val="24"/>
          <w:lang w:val="es-PR"/>
        </w:rPr>
      </w:pPr>
    </w:p>
    <w:p w14:paraId="62A7D59E" w14:textId="0F7B213E" w:rsidR="004A041D" w:rsidRPr="004A041D" w:rsidRDefault="004A041D" w:rsidP="004A041D">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4A041D">
        <w:rPr>
          <w:rFonts w:ascii="Book Antiqua" w:hAnsi="Book Antiqua"/>
          <w:color w:val="000000" w:themeColor="text1"/>
          <w:szCs w:val="24"/>
          <w:lang w:val="es-PR"/>
        </w:rPr>
        <w:t xml:space="preserve">El Departamento de Educación, como principal entidad a cargo del sistema público escolar, destacó la pertinencia de esta medida al integrarse con programas ya existentes, como el Programa de Enfermería Escolar y los equipos interdisciplinarios socioemocionales, y recomendó fortalecer la colaboración </w:t>
      </w:r>
      <w:proofErr w:type="spellStart"/>
      <w:r w:rsidRPr="004A041D">
        <w:rPr>
          <w:rFonts w:ascii="Book Antiqua" w:hAnsi="Book Antiqua"/>
          <w:color w:val="000000" w:themeColor="text1"/>
          <w:szCs w:val="24"/>
          <w:lang w:val="es-PR"/>
        </w:rPr>
        <w:t>interagencial</w:t>
      </w:r>
      <w:proofErr w:type="spellEnd"/>
      <w:r w:rsidRPr="004A041D">
        <w:rPr>
          <w:rFonts w:ascii="Book Antiqua" w:hAnsi="Book Antiqua"/>
          <w:color w:val="000000" w:themeColor="text1"/>
          <w:szCs w:val="24"/>
          <w:lang w:val="es-PR"/>
        </w:rPr>
        <w:t xml:space="preserve"> para lograr un impacto mayor. Por su parte, el Departamento de Salud y la Comisión de Alimentación y Nutrición enfatizaron que la medida permitirá ampliar y formalizar esfuerzos ya en marcha, como el Día de la Lucha contra los Trastornos de la Conducta Alimentaria, y recomendaron ajustes técnicos al lenguaje legal para asegurar una cobertura más amplia y precisa. El Departamento de la Familia reafirmó la importancia de la medida en tanto </w:t>
      </w:r>
      <w:r w:rsidRPr="004A041D">
        <w:rPr>
          <w:rFonts w:ascii="Book Antiqua" w:hAnsi="Book Antiqua"/>
          <w:color w:val="000000" w:themeColor="text1"/>
          <w:szCs w:val="24"/>
          <w:lang w:val="es-PR"/>
        </w:rPr>
        <w:lastRenderedPageBreak/>
        <w:t>complementa su rol de agencia de protección social y su trabajo en programas que promueven la nutrición adecuada y accesible.</w:t>
      </w:r>
    </w:p>
    <w:p w14:paraId="62C54C4F" w14:textId="77777777" w:rsidR="004A041D" w:rsidRDefault="004A041D" w:rsidP="004A041D">
      <w:pPr>
        <w:tabs>
          <w:tab w:val="left" w:pos="-720"/>
        </w:tabs>
        <w:suppressAutoHyphens/>
        <w:jc w:val="both"/>
        <w:rPr>
          <w:rFonts w:ascii="Book Antiqua" w:hAnsi="Book Antiqua"/>
          <w:color w:val="000000" w:themeColor="text1"/>
          <w:szCs w:val="24"/>
          <w:lang w:val="es-PR"/>
        </w:rPr>
      </w:pPr>
    </w:p>
    <w:p w14:paraId="5BBB03A9" w14:textId="460D65B7" w:rsidR="004A041D" w:rsidRPr="004A041D" w:rsidRDefault="004A041D" w:rsidP="004A041D">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4A041D">
        <w:rPr>
          <w:rFonts w:ascii="Book Antiqua" w:hAnsi="Book Antiqua"/>
          <w:color w:val="000000" w:themeColor="text1"/>
          <w:szCs w:val="24"/>
          <w:lang w:val="es-PR"/>
        </w:rPr>
        <w:t>Asimismo, ASSMCA recalcó la urgencia de la aprobación a la luz de los datos de la Consulta Juvenil 2020-2022, que revelan cómo el acoso por apariencia física y peso impacta directamente a decenas de miles de estudiantes y aumenta el riesgo de desarrollar TCA. Finalmente, la Asociación de Psicología de Puerto Rico resaltó la necesidad de que la medida se complemente con intervenciones de detección temprana, adiestramiento a maestros y familias, y la inclusión de profesionales de la salud mental y nutricional en las campañas escolares, de manera que se garantice una atención integral.</w:t>
      </w:r>
    </w:p>
    <w:p w14:paraId="4FFFC0F6" w14:textId="30884E80" w:rsidR="00007633" w:rsidRPr="004A041D" w:rsidRDefault="00007633" w:rsidP="00007633">
      <w:pPr>
        <w:tabs>
          <w:tab w:val="left" w:pos="-720"/>
        </w:tabs>
        <w:suppressAutoHyphens/>
        <w:jc w:val="both"/>
        <w:rPr>
          <w:rFonts w:ascii="Book Antiqua" w:hAnsi="Book Antiqua"/>
          <w:color w:val="000000" w:themeColor="text1"/>
          <w:szCs w:val="24"/>
          <w:lang w:val="es-PR"/>
        </w:rPr>
      </w:pPr>
    </w:p>
    <w:p w14:paraId="02877E53" w14:textId="0B04075C" w:rsidR="004A041D" w:rsidRDefault="004A041D" w:rsidP="00007633">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4A041D">
        <w:rPr>
          <w:rFonts w:ascii="Book Antiqua" w:hAnsi="Book Antiqua"/>
          <w:color w:val="000000" w:themeColor="text1"/>
          <w:szCs w:val="24"/>
          <w:lang w:val="es-PR"/>
        </w:rPr>
        <w:t>En conjunto, estos memoriales confirman que el P. de la C. 475 armoniza con la política pública vigente, responde a una necesidad real y urgente de nuestro sistema educativo y de salud, y refuerza el compromiso del Estado con la protección de la niñez y juventud puertorriqueña. Su aprobación permitirá crear comunidades escolares más seguras, informadas y saludables; empoderar a padres, maestros y estudiantes en la identificación temprana de señales de alerta; y, sobre todo, contribuir a la formación de ciudadanos más resilientes, con mayor bienestar físico, emocional y social.</w:t>
      </w:r>
    </w:p>
    <w:p w14:paraId="641932EF" w14:textId="77777777" w:rsidR="00E2606F" w:rsidRDefault="00E2606F" w:rsidP="00007633">
      <w:pPr>
        <w:tabs>
          <w:tab w:val="left" w:pos="-720"/>
        </w:tabs>
        <w:suppressAutoHyphens/>
        <w:jc w:val="both"/>
        <w:rPr>
          <w:rFonts w:ascii="Book Antiqua" w:hAnsi="Book Antiqua"/>
          <w:color w:val="000000" w:themeColor="text1"/>
          <w:szCs w:val="24"/>
          <w:lang w:val="es-PR"/>
        </w:rPr>
      </w:pPr>
    </w:p>
    <w:p w14:paraId="3779F022" w14:textId="48C7625C" w:rsidR="00E2606F" w:rsidRPr="00007633" w:rsidRDefault="00E2606F" w:rsidP="00007633">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E2606F">
        <w:rPr>
          <w:rFonts w:ascii="Book Antiqua" w:hAnsi="Book Antiqua"/>
          <w:color w:val="000000" w:themeColor="text1"/>
          <w:szCs w:val="24"/>
          <w:lang w:val="es-PR"/>
        </w:rPr>
        <w:t>Cabe señalar que en su versión original la medida indicaba que se trataba de una enmienda al Artículo 9.10 de la Ley 85-2018; no obstante, tras las últimas enmiendas realizadas a la Ley de Reforma Educativa, el artículo al que se hace referencia es el Artículo 9.11, por lo que se realizaron las correspondientes enmiendas en el entirillado electrónico que se acompaña para atemperarlo a la realidad jurídica.</w:t>
      </w:r>
    </w:p>
    <w:p w14:paraId="4CC427B8" w14:textId="0B4C9D89" w:rsidR="00262084" w:rsidRPr="004A041D" w:rsidRDefault="00007633" w:rsidP="004A041D">
      <w:pPr>
        <w:tabs>
          <w:tab w:val="left" w:pos="-720"/>
        </w:tabs>
        <w:suppressAutoHyphens/>
        <w:jc w:val="both"/>
        <w:rPr>
          <w:rFonts w:ascii="Book Antiqua" w:hAnsi="Book Antiqua"/>
          <w:color w:val="000000" w:themeColor="text1"/>
          <w:szCs w:val="24"/>
          <w:lang w:val="es-PR"/>
        </w:rPr>
      </w:pPr>
      <w:r w:rsidRPr="004A041D">
        <w:rPr>
          <w:rFonts w:ascii="Book Antiqua" w:hAnsi="Book Antiqua"/>
          <w:color w:val="000000" w:themeColor="text1"/>
          <w:szCs w:val="24"/>
          <w:lang w:val="es-PR"/>
        </w:rPr>
        <w:tab/>
      </w:r>
    </w:p>
    <w:p w14:paraId="7A139BE2" w14:textId="5D8AAA1F" w:rsidR="0083442F" w:rsidRPr="008C481C" w:rsidRDefault="00A5099F" w:rsidP="0083442F">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0083442F" w:rsidRPr="008C481C">
        <w:rPr>
          <w:rFonts w:ascii="Book Antiqua" w:hAnsi="Book Antiqua"/>
          <w:color w:val="000000" w:themeColor="text1"/>
          <w:szCs w:val="24"/>
          <w:lang w:val="es-PR"/>
        </w:rPr>
        <w:t xml:space="preserve">A TENOR CON LO ANTES EXPUESTO, la Comisión de Educación, Arte y Cultura del Senado de Puerto Rico previo al estudio y consideración del Proyecto de la Cámara </w:t>
      </w:r>
      <w:r w:rsidR="00FB2878">
        <w:rPr>
          <w:rFonts w:ascii="Book Antiqua" w:hAnsi="Book Antiqua"/>
          <w:color w:val="000000" w:themeColor="text1"/>
          <w:szCs w:val="24"/>
          <w:lang w:val="es-PR"/>
        </w:rPr>
        <w:t>4</w:t>
      </w:r>
      <w:r w:rsidR="004A041D">
        <w:rPr>
          <w:rFonts w:ascii="Book Antiqua" w:hAnsi="Book Antiqua"/>
          <w:color w:val="000000" w:themeColor="text1"/>
          <w:szCs w:val="24"/>
          <w:lang w:val="es-PR"/>
        </w:rPr>
        <w:t>75</w:t>
      </w:r>
      <w:r w:rsidR="0083442F" w:rsidRPr="008C481C">
        <w:rPr>
          <w:rFonts w:ascii="Book Antiqua" w:hAnsi="Book Antiqua"/>
          <w:color w:val="000000" w:themeColor="text1"/>
          <w:szCs w:val="24"/>
          <w:lang w:val="es-PR"/>
        </w:rPr>
        <w:t>, recomienda la aprobación de la medida, con las enmiendas contenidas en el entirillado electrónico que se acompaña.</w:t>
      </w:r>
    </w:p>
    <w:p w14:paraId="77FB2DA9" w14:textId="77777777" w:rsidR="0083442F" w:rsidRPr="0083442F" w:rsidRDefault="0083442F" w:rsidP="00A83E37">
      <w:pPr>
        <w:tabs>
          <w:tab w:val="left" w:pos="-720"/>
        </w:tabs>
        <w:suppressAutoHyphens/>
        <w:jc w:val="both"/>
        <w:rPr>
          <w:rFonts w:ascii="Book Antiqua" w:hAnsi="Book Antiqua"/>
          <w:color w:val="000000" w:themeColor="text1"/>
          <w:lang w:val="es-PR"/>
        </w:rPr>
      </w:pPr>
    </w:p>
    <w:p w14:paraId="46AF9CD3" w14:textId="2D1AE3DB"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AF773" w14:textId="77777777" w:rsidR="00BB49DE" w:rsidRDefault="00BB49DE">
      <w:r>
        <w:separator/>
      </w:r>
    </w:p>
  </w:endnote>
  <w:endnote w:type="continuationSeparator" w:id="0">
    <w:p w14:paraId="1E6A8647" w14:textId="77777777" w:rsidR="00BB49DE" w:rsidRDefault="00BB4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B305F" w14:textId="77777777" w:rsidR="00BB49DE" w:rsidRDefault="00BB49DE">
      <w:r>
        <w:separator/>
      </w:r>
    </w:p>
  </w:footnote>
  <w:footnote w:type="continuationSeparator" w:id="0">
    <w:p w14:paraId="241E1D7A" w14:textId="77777777" w:rsidR="00BB49DE" w:rsidRDefault="00BB49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534854E8"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w:t>
    </w:r>
    <w:r w:rsidR="002C082A">
      <w:rPr>
        <w:rStyle w:val="PageNumber"/>
        <w:rFonts w:ascii="Book Antiqua" w:hAnsi="Book Antiqua"/>
        <w:b/>
        <w:bCs/>
        <w:lang w:val="es-PR"/>
      </w:rPr>
      <w:t xml:space="preserve"> la C</w:t>
    </w:r>
    <w:r w:rsidRPr="00FF1768">
      <w:rPr>
        <w:rStyle w:val="PageNumber"/>
        <w:rFonts w:ascii="Book Antiqua" w:hAnsi="Book Antiqua"/>
        <w:b/>
        <w:bCs/>
        <w:lang w:val="es-PR"/>
      </w:rPr>
      <w:t xml:space="preserve">. </w:t>
    </w:r>
    <w:r w:rsidR="00D73F64">
      <w:rPr>
        <w:rStyle w:val="PageNumber"/>
        <w:rFonts w:ascii="Book Antiqua" w:hAnsi="Book Antiqua"/>
        <w:b/>
        <w:bCs/>
        <w:lang w:val="es-PR"/>
      </w:rPr>
      <w:t>4</w:t>
    </w:r>
    <w:r w:rsidR="005B77D0">
      <w:rPr>
        <w:rStyle w:val="PageNumber"/>
        <w:rFonts w:ascii="Book Antiqua" w:hAnsi="Book Antiqua"/>
        <w:b/>
        <w:bCs/>
        <w:lang w:val="es-PR"/>
      </w:rPr>
      <w:t>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23CB5"/>
    <w:multiLevelType w:val="hybridMultilevel"/>
    <w:tmpl w:val="3B663B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EC4B4D"/>
    <w:multiLevelType w:val="hybridMultilevel"/>
    <w:tmpl w:val="1D584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817D20"/>
    <w:multiLevelType w:val="multilevel"/>
    <w:tmpl w:val="F7F6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896028"/>
    <w:multiLevelType w:val="multilevel"/>
    <w:tmpl w:val="6DDCF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1C25B8"/>
    <w:multiLevelType w:val="multilevel"/>
    <w:tmpl w:val="8F16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3332A7"/>
    <w:multiLevelType w:val="multilevel"/>
    <w:tmpl w:val="E8E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793C81"/>
    <w:multiLevelType w:val="multilevel"/>
    <w:tmpl w:val="B6208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19074F"/>
    <w:multiLevelType w:val="multilevel"/>
    <w:tmpl w:val="0D8C3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BA0705"/>
    <w:multiLevelType w:val="multilevel"/>
    <w:tmpl w:val="F884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345452"/>
    <w:multiLevelType w:val="hybridMultilevel"/>
    <w:tmpl w:val="48541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FE7A11"/>
    <w:multiLevelType w:val="multilevel"/>
    <w:tmpl w:val="7EBE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12" w15:restartNumberingAfterBreak="0">
    <w:nsid w:val="548B140D"/>
    <w:multiLevelType w:val="multilevel"/>
    <w:tmpl w:val="B650C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34655A"/>
    <w:multiLevelType w:val="multilevel"/>
    <w:tmpl w:val="0558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081AAB"/>
    <w:multiLevelType w:val="multilevel"/>
    <w:tmpl w:val="9524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D84A87"/>
    <w:multiLevelType w:val="multilevel"/>
    <w:tmpl w:val="C2DE72B0"/>
    <w:lvl w:ilvl="0">
      <w:start w:val="1"/>
      <w:numFmt w:val="bullet"/>
      <w:lvlText w:val=""/>
      <w:lvlJc w:val="left"/>
      <w:pPr>
        <w:tabs>
          <w:tab w:val="decimal" w:pos="432"/>
        </w:tabs>
        <w:ind w:left="720" w:firstLine="0"/>
      </w:pPr>
      <w:rPr>
        <w:rFonts w:ascii="Symbol" w:hAnsi="Symbol"/>
        <w:strike w:val="0"/>
        <w:dstrike w:val="0"/>
        <w:color w:val="000000"/>
        <w:spacing w:val="2"/>
        <w:w w:val="100"/>
        <w:sz w:val="22"/>
        <w:u w:val="none"/>
        <w:effect w:val="none"/>
        <w:vertAlign w:val="baseline"/>
        <w:lang w:val="es-E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65A007A8"/>
    <w:multiLevelType w:val="multilevel"/>
    <w:tmpl w:val="7C54144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D14C49"/>
    <w:multiLevelType w:val="multilevel"/>
    <w:tmpl w:val="A710A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6D7BF4"/>
    <w:multiLevelType w:val="multilevel"/>
    <w:tmpl w:val="36F8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977D25"/>
    <w:multiLevelType w:val="multilevel"/>
    <w:tmpl w:val="8AE60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9B00D8"/>
    <w:multiLevelType w:val="multilevel"/>
    <w:tmpl w:val="20C20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E375D0"/>
    <w:multiLevelType w:val="multilevel"/>
    <w:tmpl w:val="07F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B61761"/>
    <w:multiLevelType w:val="multilevel"/>
    <w:tmpl w:val="1780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E41008"/>
    <w:multiLevelType w:val="multilevel"/>
    <w:tmpl w:val="5EEC0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627413">
    <w:abstractNumId w:val="11"/>
  </w:num>
  <w:num w:numId="2" w16cid:durableId="1731150234">
    <w:abstractNumId w:val="4"/>
  </w:num>
  <w:num w:numId="3" w16cid:durableId="1153179368">
    <w:abstractNumId w:val="5"/>
  </w:num>
  <w:num w:numId="4" w16cid:durableId="586430059">
    <w:abstractNumId w:val="14"/>
  </w:num>
  <w:num w:numId="5" w16cid:durableId="2108958154">
    <w:abstractNumId w:val="21"/>
  </w:num>
  <w:num w:numId="6" w16cid:durableId="1296570562">
    <w:abstractNumId w:val="10"/>
  </w:num>
  <w:num w:numId="7" w16cid:durableId="884173321">
    <w:abstractNumId w:val="17"/>
  </w:num>
  <w:num w:numId="8" w16cid:durableId="270361426">
    <w:abstractNumId w:val="22"/>
  </w:num>
  <w:num w:numId="9" w16cid:durableId="211842500">
    <w:abstractNumId w:val="7"/>
  </w:num>
  <w:num w:numId="10" w16cid:durableId="1376929020">
    <w:abstractNumId w:val="2"/>
  </w:num>
  <w:num w:numId="11" w16cid:durableId="1594585851">
    <w:abstractNumId w:val="8"/>
  </w:num>
  <w:num w:numId="12" w16cid:durableId="1229878876">
    <w:abstractNumId w:val="19"/>
  </w:num>
  <w:num w:numId="13" w16cid:durableId="2064130602">
    <w:abstractNumId w:val="18"/>
  </w:num>
  <w:num w:numId="14" w16cid:durableId="461963312">
    <w:abstractNumId w:val="12"/>
  </w:num>
  <w:num w:numId="15" w16cid:durableId="730275367">
    <w:abstractNumId w:val="23"/>
  </w:num>
  <w:num w:numId="16" w16cid:durableId="1100182562">
    <w:abstractNumId w:val="1"/>
  </w:num>
  <w:num w:numId="17" w16cid:durableId="1656496620">
    <w:abstractNumId w:val="0"/>
  </w:num>
  <w:num w:numId="18" w16cid:durableId="1551116118">
    <w:abstractNumId w:val="13"/>
  </w:num>
  <w:num w:numId="19" w16cid:durableId="1658224360">
    <w:abstractNumId w:val="6"/>
  </w:num>
  <w:num w:numId="20" w16cid:durableId="280843">
    <w:abstractNumId w:val="20"/>
  </w:num>
  <w:num w:numId="21" w16cid:durableId="245456377">
    <w:abstractNumId w:val="16"/>
  </w:num>
  <w:num w:numId="22" w16cid:durableId="331179362">
    <w:abstractNumId w:val="3"/>
  </w:num>
  <w:num w:numId="23" w16cid:durableId="1881355726">
    <w:abstractNumId w:val="15"/>
  </w:num>
  <w:num w:numId="24" w16cid:durableId="9134407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033DF"/>
    <w:rsid w:val="00007633"/>
    <w:rsid w:val="00013F34"/>
    <w:rsid w:val="000216BB"/>
    <w:rsid w:val="00023454"/>
    <w:rsid w:val="000235A7"/>
    <w:rsid w:val="00024F6E"/>
    <w:rsid w:val="0002603A"/>
    <w:rsid w:val="000318E7"/>
    <w:rsid w:val="00034E11"/>
    <w:rsid w:val="0004088C"/>
    <w:rsid w:val="000428E3"/>
    <w:rsid w:val="0004421B"/>
    <w:rsid w:val="00046F56"/>
    <w:rsid w:val="000502EA"/>
    <w:rsid w:val="000560CB"/>
    <w:rsid w:val="000667AB"/>
    <w:rsid w:val="000736A1"/>
    <w:rsid w:val="000776E8"/>
    <w:rsid w:val="00080CAF"/>
    <w:rsid w:val="00080E3B"/>
    <w:rsid w:val="00084122"/>
    <w:rsid w:val="0008569E"/>
    <w:rsid w:val="0009448A"/>
    <w:rsid w:val="000971D8"/>
    <w:rsid w:val="000A06C9"/>
    <w:rsid w:val="000A3EB9"/>
    <w:rsid w:val="000B081B"/>
    <w:rsid w:val="000B3575"/>
    <w:rsid w:val="000B75FB"/>
    <w:rsid w:val="000C20D3"/>
    <w:rsid w:val="000C415C"/>
    <w:rsid w:val="000C48FC"/>
    <w:rsid w:val="000C7CB0"/>
    <w:rsid w:val="000D3AA4"/>
    <w:rsid w:val="000D45CC"/>
    <w:rsid w:val="000D619B"/>
    <w:rsid w:val="000E06B7"/>
    <w:rsid w:val="000E0B63"/>
    <w:rsid w:val="000E0E63"/>
    <w:rsid w:val="000E13D9"/>
    <w:rsid w:val="000E2480"/>
    <w:rsid w:val="000E274B"/>
    <w:rsid w:val="000E40C9"/>
    <w:rsid w:val="000E5747"/>
    <w:rsid w:val="000E6911"/>
    <w:rsid w:val="000F6729"/>
    <w:rsid w:val="000F7701"/>
    <w:rsid w:val="000F7E9A"/>
    <w:rsid w:val="00102299"/>
    <w:rsid w:val="00103419"/>
    <w:rsid w:val="00104137"/>
    <w:rsid w:val="001119D3"/>
    <w:rsid w:val="00112D46"/>
    <w:rsid w:val="00120444"/>
    <w:rsid w:val="00126D61"/>
    <w:rsid w:val="00132276"/>
    <w:rsid w:val="00132E93"/>
    <w:rsid w:val="001354F9"/>
    <w:rsid w:val="00137678"/>
    <w:rsid w:val="00140F42"/>
    <w:rsid w:val="0014780A"/>
    <w:rsid w:val="0015637D"/>
    <w:rsid w:val="00156AA0"/>
    <w:rsid w:val="00160BD0"/>
    <w:rsid w:val="00161224"/>
    <w:rsid w:val="00162460"/>
    <w:rsid w:val="00162E59"/>
    <w:rsid w:val="00163BA1"/>
    <w:rsid w:val="00170254"/>
    <w:rsid w:val="00172ADF"/>
    <w:rsid w:val="00173F53"/>
    <w:rsid w:val="00180D52"/>
    <w:rsid w:val="00191FA4"/>
    <w:rsid w:val="00193104"/>
    <w:rsid w:val="00196FA9"/>
    <w:rsid w:val="00197C46"/>
    <w:rsid w:val="001A32E4"/>
    <w:rsid w:val="001B20CB"/>
    <w:rsid w:val="001C3D3E"/>
    <w:rsid w:val="001C4866"/>
    <w:rsid w:val="001C4B24"/>
    <w:rsid w:val="001C6503"/>
    <w:rsid w:val="001D1DC4"/>
    <w:rsid w:val="001D3A06"/>
    <w:rsid w:val="001D401B"/>
    <w:rsid w:val="001D46C3"/>
    <w:rsid w:val="001D7277"/>
    <w:rsid w:val="001E364D"/>
    <w:rsid w:val="001E3726"/>
    <w:rsid w:val="001F15F7"/>
    <w:rsid w:val="001F47D9"/>
    <w:rsid w:val="001F6090"/>
    <w:rsid w:val="00200A9F"/>
    <w:rsid w:val="00201DF5"/>
    <w:rsid w:val="00205201"/>
    <w:rsid w:val="00207735"/>
    <w:rsid w:val="0021216B"/>
    <w:rsid w:val="0021453D"/>
    <w:rsid w:val="00221DCF"/>
    <w:rsid w:val="00230152"/>
    <w:rsid w:val="00231017"/>
    <w:rsid w:val="00232427"/>
    <w:rsid w:val="0023567C"/>
    <w:rsid w:val="002370F8"/>
    <w:rsid w:val="00242D7A"/>
    <w:rsid w:val="00243F0D"/>
    <w:rsid w:val="002507FE"/>
    <w:rsid w:val="00253FDF"/>
    <w:rsid w:val="0025406F"/>
    <w:rsid w:val="00262084"/>
    <w:rsid w:val="00262BF9"/>
    <w:rsid w:val="00262CF7"/>
    <w:rsid w:val="00263E28"/>
    <w:rsid w:val="00263F1B"/>
    <w:rsid w:val="0027068E"/>
    <w:rsid w:val="00272CFC"/>
    <w:rsid w:val="00283054"/>
    <w:rsid w:val="0028497D"/>
    <w:rsid w:val="00286C08"/>
    <w:rsid w:val="00294AB4"/>
    <w:rsid w:val="002A0893"/>
    <w:rsid w:val="002A14BD"/>
    <w:rsid w:val="002A1B2B"/>
    <w:rsid w:val="002A2B29"/>
    <w:rsid w:val="002A557B"/>
    <w:rsid w:val="002A5D09"/>
    <w:rsid w:val="002A60B4"/>
    <w:rsid w:val="002B01B5"/>
    <w:rsid w:val="002B05B3"/>
    <w:rsid w:val="002B58A3"/>
    <w:rsid w:val="002B6EE4"/>
    <w:rsid w:val="002B7A94"/>
    <w:rsid w:val="002C082A"/>
    <w:rsid w:val="002C3E4A"/>
    <w:rsid w:val="002D0E98"/>
    <w:rsid w:val="002D7FB1"/>
    <w:rsid w:val="002E1104"/>
    <w:rsid w:val="002E42EC"/>
    <w:rsid w:val="002E5763"/>
    <w:rsid w:val="002E6CA8"/>
    <w:rsid w:val="00303731"/>
    <w:rsid w:val="00307B20"/>
    <w:rsid w:val="0031084D"/>
    <w:rsid w:val="00315B3A"/>
    <w:rsid w:val="003219C9"/>
    <w:rsid w:val="00324320"/>
    <w:rsid w:val="00326D98"/>
    <w:rsid w:val="003317FC"/>
    <w:rsid w:val="00332883"/>
    <w:rsid w:val="00340519"/>
    <w:rsid w:val="00341BB6"/>
    <w:rsid w:val="00344F7F"/>
    <w:rsid w:val="003507D1"/>
    <w:rsid w:val="00366311"/>
    <w:rsid w:val="00371871"/>
    <w:rsid w:val="0037314F"/>
    <w:rsid w:val="00375DF1"/>
    <w:rsid w:val="00377C61"/>
    <w:rsid w:val="00386E65"/>
    <w:rsid w:val="003909DD"/>
    <w:rsid w:val="003912A4"/>
    <w:rsid w:val="0039139D"/>
    <w:rsid w:val="00391980"/>
    <w:rsid w:val="003956CD"/>
    <w:rsid w:val="0039667F"/>
    <w:rsid w:val="003A1341"/>
    <w:rsid w:val="003A4452"/>
    <w:rsid w:val="003A4992"/>
    <w:rsid w:val="003B61F9"/>
    <w:rsid w:val="003B6391"/>
    <w:rsid w:val="003B751D"/>
    <w:rsid w:val="003C1518"/>
    <w:rsid w:val="003D4F89"/>
    <w:rsid w:val="003D7CE2"/>
    <w:rsid w:val="003E36E3"/>
    <w:rsid w:val="003E5401"/>
    <w:rsid w:val="003E5D3A"/>
    <w:rsid w:val="003F1D78"/>
    <w:rsid w:val="003F575E"/>
    <w:rsid w:val="00403016"/>
    <w:rsid w:val="00414EE7"/>
    <w:rsid w:val="00416A52"/>
    <w:rsid w:val="0042043D"/>
    <w:rsid w:val="00420CA3"/>
    <w:rsid w:val="00422A92"/>
    <w:rsid w:val="004256DA"/>
    <w:rsid w:val="004321E3"/>
    <w:rsid w:val="004476EC"/>
    <w:rsid w:val="00447AA2"/>
    <w:rsid w:val="004578FF"/>
    <w:rsid w:val="00465547"/>
    <w:rsid w:val="00466547"/>
    <w:rsid w:val="00473E56"/>
    <w:rsid w:val="0047496C"/>
    <w:rsid w:val="00477789"/>
    <w:rsid w:val="00484E71"/>
    <w:rsid w:val="004915E5"/>
    <w:rsid w:val="00492156"/>
    <w:rsid w:val="00497331"/>
    <w:rsid w:val="004A041D"/>
    <w:rsid w:val="004A5A11"/>
    <w:rsid w:val="004A730C"/>
    <w:rsid w:val="004B5BD3"/>
    <w:rsid w:val="004B73D4"/>
    <w:rsid w:val="004C527D"/>
    <w:rsid w:val="004C5BFA"/>
    <w:rsid w:val="004D29B2"/>
    <w:rsid w:val="004D31DB"/>
    <w:rsid w:val="004D3A7D"/>
    <w:rsid w:val="004E335D"/>
    <w:rsid w:val="004E4097"/>
    <w:rsid w:val="004E5427"/>
    <w:rsid w:val="004F1947"/>
    <w:rsid w:val="004F4D10"/>
    <w:rsid w:val="004F56CC"/>
    <w:rsid w:val="004F574A"/>
    <w:rsid w:val="00505AFD"/>
    <w:rsid w:val="00505F50"/>
    <w:rsid w:val="00511BD7"/>
    <w:rsid w:val="005133FA"/>
    <w:rsid w:val="00515D79"/>
    <w:rsid w:val="00517236"/>
    <w:rsid w:val="0052092C"/>
    <w:rsid w:val="00532097"/>
    <w:rsid w:val="00532580"/>
    <w:rsid w:val="00534D99"/>
    <w:rsid w:val="0054012D"/>
    <w:rsid w:val="00563929"/>
    <w:rsid w:val="00567513"/>
    <w:rsid w:val="00574692"/>
    <w:rsid w:val="00575139"/>
    <w:rsid w:val="00576119"/>
    <w:rsid w:val="005861E6"/>
    <w:rsid w:val="00586B5C"/>
    <w:rsid w:val="00591C37"/>
    <w:rsid w:val="00592A08"/>
    <w:rsid w:val="00593C5E"/>
    <w:rsid w:val="0059606B"/>
    <w:rsid w:val="00596C9F"/>
    <w:rsid w:val="005A265A"/>
    <w:rsid w:val="005A27A8"/>
    <w:rsid w:val="005B77D0"/>
    <w:rsid w:val="005C03C9"/>
    <w:rsid w:val="005C1289"/>
    <w:rsid w:val="005C2E80"/>
    <w:rsid w:val="005C3438"/>
    <w:rsid w:val="005C5E50"/>
    <w:rsid w:val="005D1109"/>
    <w:rsid w:val="005D1313"/>
    <w:rsid w:val="005D131F"/>
    <w:rsid w:val="005D1EBF"/>
    <w:rsid w:val="005D5AFB"/>
    <w:rsid w:val="005E2192"/>
    <w:rsid w:val="005E5973"/>
    <w:rsid w:val="005F3890"/>
    <w:rsid w:val="005F6ADA"/>
    <w:rsid w:val="0060427C"/>
    <w:rsid w:val="00607D66"/>
    <w:rsid w:val="00612577"/>
    <w:rsid w:val="00613E0B"/>
    <w:rsid w:val="00620BA5"/>
    <w:rsid w:val="006244DA"/>
    <w:rsid w:val="00626956"/>
    <w:rsid w:val="0062705C"/>
    <w:rsid w:val="00627154"/>
    <w:rsid w:val="00637621"/>
    <w:rsid w:val="00637A2F"/>
    <w:rsid w:val="006477FA"/>
    <w:rsid w:val="00653F5B"/>
    <w:rsid w:val="006547BF"/>
    <w:rsid w:val="00672914"/>
    <w:rsid w:val="0067316B"/>
    <w:rsid w:val="00674415"/>
    <w:rsid w:val="00677043"/>
    <w:rsid w:val="0068117A"/>
    <w:rsid w:val="006834E9"/>
    <w:rsid w:val="00683B7B"/>
    <w:rsid w:val="00691E44"/>
    <w:rsid w:val="00692A2B"/>
    <w:rsid w:val="00696278"/>
    <w:rsid w:val="006977AA"/>
    <w:rsid w:val="006A3F44"/>
    <w:rsid w:val="006A6960"/>
    <w:rsid w:val="006A7159"/>
    <w:rsid w:val="006B352C"/>
    <w:rsid w:val="006B3F39"/>
    <w:rsid w:val="006B7388"/>
    <w:rsid w:val="006B7E26"/>
    <w:rsid w:val="006C247C"/>
    <w:rsid w:val="006C3C92"/>
    <w:rsid w:val="006C5F9B"/>
    <w:rsid w:val="006D6C03"/>
    <w:rsid w:val="006E1DF9"/>
    <w:rsid w:val="006E26D6"/>
    <w:rsid w:val="006E27EE"/>
    <w:rsid w:val="006E5352"/>
    <w:rsid w:val="006E789B"/>
    <w:rsid w:val="006F309A"/>
    <w:rsid w:val="006F439F"/>
    <w:rsid w:val="006F4E24"/>
    <w:rsid w:val="00701FA9"/>
    <w:rsid w:val="0072499D"/>
    <w:rsid w:val="007364B8"/>
    <w:rsid w:val="0074063E"/>
    <w:rsid w:val="00740645"/>
    <w:rsid w:val="00747388"/>
    <w:rsid w:val="00750974"/>
    <w:rsid w:val="00751EFA"/>
    <w:rsid w:val="00761D2C"/>
    <w:rsid w:val="007811A8"/>
    <w:rsid w:val="00783405"/>
    <w:rsid w:val="00787A9F"/>
    <w:rsid w:val="00787B94"/>
    <w:rsid w:val="00790034"/>
    <w:rsid w:val="00791358"/>
    <w:rsid w:val="007915FD"/>
    <w:rsid w:val="007A1A88"/>
    <w:rsid w:val="007A485A"/>
    <w:rsid w:val="007A487E"/>
    <w:rsid w:val="007A6ACF"/>
    <w:rsid w:val="007A7591"/>
    <w:rsid w:val="007B5941"/>
    <w:rsid w:val="007B5A2A"/>
    <w:rsid w:val="007B5BC2"/>
    <w:rsid w:val="007C0520"/>
    <w:rsid w:val="007C0C12"/>
    <w:rsid w:val="007C0DA8"/>
    <w:rsid w:val="007E3E6F"/>
    <w:rsid w:val="007E41AB"/>
    <w:rsid w:val="007E538D"/>
    <w:rsid w:val="007E6362"/>
    <w:rsid w:val="007E6D3F"/>
    <w:rsid w:val="007E717A"/>
    <w:rsid w:val="007F2A2C"/>
    <w:rsid w:val="007F30C2"/>
    <w:rsid w:val="007F75BB"/>
    <w:rsid w:val="00800740"/>
    <w:rsid w:val="008111FF"/>
    <w:rsid w:val="00811335"/>
    <w:rsid w:val="00814F2E"/>
    <w:rsid w:val="00816D27"/>
    <w:rsid w:val="00823F94"/>
    <w:rsid w:val="00824864"/>
    <w:rsid w:val="008259D4"/>
    <w:rsid w:val="00826864"/>
    <w:rsid w:val="00827BDF"/>
    <w:rsid w:val="008325EC"/>
    <w:rsid w:val="0083327E"/>
    <w:rsid w:val="0083442F"/>
    <w:rsid w:val="00834C51"/>
    <w:rsid w:val="008444B1"/>
    <w:rsid w:val="008452CC"/>
    <w:rsid w:val="0084725D"/>
    <w:rsid w:val="00847FB4"/>
    <w:rsid w:val="008533D0"/>
    <w:rsid w:val="00853D6F"/>
    <w:rsid w:val="0085560E"/>
    <w:rsid w:val="00857284"/>
    <w:rsid w:val="00857500"/>
    <w:rsid w:val="00861625"/>
    <w:rsid w:val="00877BBD"/>
    <w:rsid w:val="008938FB"/>
    <w:rsid w:val="00896242"/>
    <w:rsid w:val="00896CF6"/>
    <w:rsid w:val="008A2520"/>
    <w:rsid w:val="008A2E04"/>
    <w:rsid w:val="008A438F"/>
    <w:rsid w:val="008A7894"/>
    <w:rsid w:val="008A7E42"/>
    <w:rsid w:val="008B0792"/>
    <w:rsid w:val="008B279A"/>
    <w:rsid w:val="008B4C54"/>
    <w:rsid w:val="008C481C"/>
    <w:rsid w:val="008D0714"/>
    <w:rsid w:val="008D1849"/>
    <w:rsid w:val="008D3D76"/>
    <w:rsid w:val="008E4DAB"/>
    <w:rsid w:val="008E614D"/>
    <w:rsid w:val="008F3049"/>
    <w:rsid w:val="008F4698"/>
    <w:rsid w:val="008F4B5E"/>
    <w:rsid w:val="008F540A"/>
    <w:rsid w:val="00903579"/>
    <w:rsid w:val="009127BC"/>
    <w:rsid w:val="0091367E"/>
    <w:rsid w:val="0091791A"/>
    <w:rsid w:val="00922EEE"/>
    <w:rsid w:val="009242F0"/>
    <w:rsid w:val="00924C41"/>
    <w:rsid w:val="00927F0A"/>
    <w:rsid w:val="0093120A"/>
    <w:rsid w:val="00935B73"/>
    <w:rsid w:val="00950FD3"/>
    <w:rsid w:val="00951D5A"/>
    <w:rsid w:val="00952AEC"/>
    <w:rsid w:val="00953022"/>
    <w:rsid w:val="00953076"/>
    <w:rsid w:val="00953B24"/>
    <w:rsid w:val="0095526D"/>
    <w:rsid w:val="00956882"/>
    <w:rsid w:val="00963AA0"/>
    <w:rsid w:val="00967178"/>
    <w:rsid w:val="009709A7"/>
    <w:rsid w:val="00972F33"/>
    <w:rsid w:val="00987449"/>
    <w:rsid w:val="00991236"/>
    <w:rsid w:val="00992673"/>
    <w:rsid w:val="0099501D"/>
    <w:rsid w:val="009977F8"/>
    <w:rsid w:val="00997CEC"/>
    <w:rsid w:val="009A0032"/>
    <w:rsid w:val="009A1440"/>
    <w:rsid w:val="009A369E"/>
    <w:rsid w:val="009A69B0"/>
    <w:rsid w:val="009B5C77"/>
    <w:rsid w:val="009C1B25"/>
    <w:rsid w:val="009C74B2"/>
    <w:rsid w:val="009D4532"/>
    <w:rsid w:val="009E2197"/>
    <w:rsid w:val="009E4459"/>
    <w:rsid w:val="009F3B8E"/>
    <w:rsid w:val="009F4930"/>
    <w:rsid w:val="00A00629"/>
    <w:rsid w:val="00A03617"/>
    <w:rsid w:val="00A03A6E"/>
    <w:rsid w:val="00A04B14"/>
    <w:rsid w:val="00A05D7F"/>
    <w:rsid w:val="00A06287"/>
    <w:rsid w:val="00A11F03"/>
    <w:rsid w:val="00A128EA"/>
    <w:rsid w:val="00A210E0"/>
    <w:rsid w:val="00A2357C"/>
    <w:rsid w:val="00A340C6"/>
    <w:rsid w:val="00A420F3"/>
    <w:rsid w:val="00A5099F"/>
    <w:rsid w:val="00A50F87"/>
    <w:rsid w:val="00A56440"/>
    <w:rsid w:val="00A57245"/>
    <w:rsid w:val="00A62F10"/>
    <w:rsid w:val="00A67ED9"/>
    <w:rsid w:val="00A73989"/>
    <w:rsid w:val="00A739A7"/>
    <w:rsid w:val="00A753F4"/>
    <w:rsid w:val="00A765BC"/>
    <w:rsid w:val="00A77A85"/>
    <w:rsid w:val="00A77D6F"/>
    <w:rsid w:val="00A82206"/>
    <w:rsid w:val="00A83E37"/>
    <w:rsid w:val="00A83E4D"/>
    <w:rsid w:val="00A841D5"/>
    <w:rsid w:val="00A847D1"/>
    <w:rsid w:val="00A85159"/>
    <w:rsid w:val="00A85389"/>
    <w:rsid w:val="00AA219B"/>
    <w:rsid w:val="00AA7B63"/>
    <w:rsid w:val="00AB0FE1"/>
    <w:rsid w:val="00AC5746"/>
    <w:rsid w:val="00AE2377"/>
    <w:rsid w:val="00AE34D4"/>
    <w:rsid w:val="00AE404B"/>
    <w:rsid w:val="00AE4B90"/>
    <w:rsid w:val="00AE5CBC"/>
    <w:rsid w:val="00AF1F99"/>
    <w:rsid w:val="00AF4615"/>
    <w:rsid w:val="00B00405"/>
    <w:rsid w:val="00B01F61"/>
    <w:rsid w:val="00B05041"/>
    <w:rsid w:val="00B120AF"/>
    <w:rsid w:val="00B14F15"/>
    <w:rsid w:val="00B16754"/>
    <w:rsid w:val="00B2217C"/>
    <w:rsid w:val="00B226CE"/>
    <w:rsid w:val="00B24548"/>
    <w:rsid w:val="00B31419"/>
    <w:rsid w:val="00B31A10"/>
    <w:rsid w:val="00B4494D"/>
    <w:rsid w:val="00B510E1"/>
    <w:rsid w:val="00B54361"/>
    <w:rsid w:val="00B54A67"/>
    <w:rsid w:val="00B56C88"/>
    <w:rsid w:val="00B62DBD"/>
    <w:rsid w:val="00B64B3E"/>
    <w:rsid w:val="00B710E6"/>
    <w:rsid w:val="00B726DF"/>
    <w:rsid w:val="00B73062"/>
    <w:rsid w:val="00B74D98"/>
    <w:rsid w:val="00B81EF0"/>
    <w:rsid w:val="00B86A17"/>
    <w:rsid w:val="00B91F6C"/>
    <w:rsid w:val="00B96646"/>
    <w:rsid w:val="00BB2B1C"/>
    <w:rsid w:val="00BB2EDB"/>
    <w:rsid w:val="00BB301A"/>
    <w:rsid w:val="00BB3C34"/>
    <w:rsid w:val="00BB49DE"/>
    <w:rsid w:val="00BB7ABB"/>
    <w:rsid w:val="00BC74F8"/>
    <w:rsid w:val="00BD331F"/>
    <w:rsid w:val="00BD61EB"/>
    <w:rsid w:val="00BE7F3B"/>
    <w:rsid w:val="00C0420A"/>
    <w:rsid w:val="00C07BED"/>
    <w:rsid w:val="00C12094"/>
    <w:rsid w:val="00C20E59"/>
    <w:rsid w:val="00C23687"/>
    <w:rsid w:val="00C274D1"/>
    <w:rsid w:val="00C32B6B"/>
    <w:rsid w:val="00C40D4A"/>
    <w:rsid w:val="00C40E18"/>
    <w:rsid w:val="00C515E3"/>
    <w:rsid w:val="00C52E71"/>
    <w:rsid w:val="00C55DEB"/>
    <w:rsid w:val="00C60C5E"/>
    <w:rsid w:val="00C63F6D"/>
    <w:rsid w:val="00C6649B"/>
    <w:rsid w:val="00C66897"/>
    <w:rsid w:val="00C75116"/>
    <w:rsid w:val="00C76FA2"/>
    <w:rsid w:val="00C8079A"/>
    <w:rsid w:val="00C95F62"/>
    <w:rsid w:val="00CA3BC3"/>
    <w:rsid w:val="00CA4407"/>
    <w:rsid w:val="00CA4466"/>
    <w:rsid w:val="00CA79C3"/>
    <w:rsid w:val="00CA7DF5"/>
    <w:rsid w:val="00CB1FD5"/>
    <w:rsid w:val="00CB43BF"/>
    <w:rsid w:val="00CC58CD"/>
    <w:rsid w:val="00CD7FE1"/>
    <w:rsid w:val="00CE2C01"/>
    <w:rsid w:val="00CE3B80"/>
    <w:rsid w:val="00D028BF"/>
    <w:rsid w:val="00D10802"/>
    <w:rsid w:val="00D10F4A"/>
    <w:rsid w:val="00D13F13"/>
    <w:rsid w:val="00D1732E"/>
    <w:rsid w:val="00D269F2"/>
    <w:rsid w:val="00D271A9"/>
    <w:rsid w:val="00D32B81"/>
    <w:rsid w:val="00D332DE"/>
    <w:rsid w:val="00D36F46"/>
    <w:rsid w:val="00D410EB"/>
    <w:rsid w:val="00D43527"/>
    <w:rsid w:val="00D45DC1"/>
    <w:rsid w:val="00D50266"/>
    <w:rsid w:val="00D52C7B"/>
    <w:rsid w:val="00D53F1B"/>
    <w:rsid w:val="00D541C2"/>
    <w:rsid w:val="00D65F72"/>
    <w:rsid w:val="00D67278"/>
    <w:rsid w:val="00D73F64"/>
    <w:rsid w:val="00D777DA"/>
    <w:rsid w:val="00D9469E"/>
    <w:rsid w:val="00DB5338"/>
    <w:rsid w:val="00DC065F"/>
    <w:rsid w:val="00DC32CC"/>
    <w:rsid w:val="00DD28BD"/>
    <w:rsid w:val="00DE09A9"/>
    <w:rsid w:val="00DE2902"/>
    <w:rsid w:val="00DE65DE"/>
    <w:rsid w:val="00DF3CFE"/>
    <w:rsid w:val="00E00787"/>
    <w:rsid w:val="00E15A15"/>
    <w:rsid w:val="00E231A4"/>
    <w:rsid w:val="00E2606F"/>
    <w:rsid w:val="00E26E4F"/>
    <w:rsid w:val="00E436F2"/>
    <w:rsid w:val="00E43801"/>
    <w:rsid w:val="00E4403C"/>
    <w:rsid w:val="00E450F4"/>
    <w:rsid w:val="00E53CC2"/>
    <w:rsid w:val="00E54713"/>
    <w:rsid w:val="00E611AE"/>
    <w:rsid w:val="00E65D3F"/>
    <w:rsid w:val="00E72311"/>
    <w:rsid w:val="00E87E99"/>
    <w:rsid w:val="00E93E7E"/>
    <w:rsid w:val="00E9477C"/>
    <w:rsid w:val="00EA031F"/>
    <w:rsid w:val="00EA4F74"/>
    <w:rsid w:val="00EA67A4"/>
    <w:rsid w:val="00EB7919"/>
    <w:rsid w:val="00ED552B"/>
    <w:rsid w:val="00ED6612"/>
    <w:rsid w:val="00ED71D0"/>
    <w:rsid w:val="00EE189D"/>
    <w:rsid w:val="00EE7981"/>
    <w:rsid w:val="00EF5E84"/>
    <w:rsid w:val="00EF75F1"/>
    <w:rsid w:val="00EF7B8E"/>
    <w:rsid w:val="00EF7D4E"/>
    <w:rsid w:val="00F0004B"/>
    <w:rsid w:val="00F037F9"/>
    <w:rsid w:val="00F04B07"/>
    <w:rsid w:val="00F162A1"/>
    <w:rsid w:val="00F162B3"/>
    <w:rsid w:val="00F20802"/>
    <w:rsid w:val="00F24D45"/>
    <w:rsid w:val="00F25C4B"/>
    <w:rsid w:val="00F269DA"/>
    <w:rsid w:val="00F26E86"/>
    <w:rsid w:val="00F332DC"/>
    <w:rsid w:val="00F33CDC"/>
    <w:rsid w:val="00F36F83"/>
    <w:rsid w:val="00F41601"/>
    <w:rsid w:val="00F439DC"/>
    <w:rsid w:val="00F561F8"/>
    <w:rsid w:val="00F60CBE"/>
    <w:rsid w:val="00F65E46"/>
    <w:rsid w:val="00F66A8F"/>
    <w:rsid w:val="00F773C6"/>
    <w:rsid w:val="00F77766"/>
    <w:rsid w:val="00F779FC"/>
    <w:rsid w:val="00F8037D"/>
    <w:rsid w:val="00F83DC8"/>
    <w:rsid w:val="00F92ADB"/>
    <w:rsid w:val="00F95679"/>
    <w:rsid w:val="00F97447"/>
    <w:rsid w:val="00FA5204"/>
    <w:rsid w:val="00FB2878"/>
    <w:rsid w:val="00FB2E20"/>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221DC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uiPriority w:val="39"/>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character" w:customStyle="1" w:styleId="Heading4Char">
    <w:name w:val="Heading 4 Char"/>
    <w:basedOn w:val="DefaultParagraphFont"/>
    <w:link w:val="Heading4"/>
    <w:semiHidden/>
    <w:rsid w:val="00221DCF"/>
    <w:rPr>
      <w:rFonts w:asciiTheme="majorHAnsi" w:eastAsiaTheme="majorEastAsia" w:hAnsiTheme="majorHAnsi" w:cstheme="majorBidi"/>
      <w:i/>
      <w:iCs/>
      <w:color w:val="2F5496" w:themeColor="accent1" w:themeShade="BF"/>
      <w:sz w:val="24"/>
      <w:lang w:val="en-US" w:eastAsia="en-US"/>
    </w:rPr>
  </w:style>
  <w:style w:type="paragraph" w:styleId="ListParagraph">
    <w:name w:val="List Paragraph"/>
    <w:basedOn w:val="Normal"/>
    <w:uiPriority w:val="34"/>
    <w:qFormat/>
    <w:rsid w:val="00221DCF"/>
    <w:pPr>
      <w:ind w:left="720"/>
      <w:contextualSpacing/>
    </w:pPr>
  </w:style>
  <w:style w:type="character" w:styleId="Emphasis">
    <w:name w:val="Emphasis"/>
    <w:uiPriority w:val="20"/>
    <w:qFormat/>
    <w:rsid w:val="00EE7981"/>
    <w:rPr>
      <w:b/>
      <w:bCs/>
      <w:i w:val="0"/>
      <w:iCs w:val="0"/>
    </w:rPr>
  </w:style>
  <w:style w:type="character" w:customStyle="1" w:styleId="st">
    <w:name w:val="st"/>
    <w:basedOn w:val="DefaultParagraphFont"/>
    <w:rsid w:val="00EE7981"/>
  </w:style>
  <w:style w:type="character" w:styleId="Hyperlink">
    <w:name w:val="Hyperlink"/>
    <w:basedOn w:val="DefaultParagraphFont"/>
    <w:rsid w:val="00ED71D0"/>
    <w:rPr>
      <w:color w:val="0563C1" w:themeColor="hyperlink"/>
      <w:u w:val="single"/>
    </w:rPr>
  </w:style>
  <w:style w:type="character" w:styleId="UnresolvedMention">
    <w:name w:val="Unresolved Mention"/>
    <w:basedOn w:val="DefaultParagraphFont"/>
    <w:uiPriority w:val="99"/>
    <w:semiHidden/>
    <w:unhideWhenUsed/>
    <w:rsid w:val="00ED71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6320">
      <w:bodyDiv w:val="1"/>
      <w:marLeft w:val="0"/>
      <w:marRight w:val="0"/>
      <w:marTop w:val="0"/>
      <w:marBottom w:val="0"/>
      <w:divBdr>
        <w:top w:val="none" w:sz="0" w:space="0" w:color="auto"/>
        <w:left w:val="none" w:sz="0" w:space="0" w:color="auto"/>
        <w:bottom w:val="none" w:sz="0" w:space="0" w:color="auto"/>
        <w:right w:val="none" w:sz="0" w:space="0" w:color="auto"/>
      </w:divBdr>
    </w:div>
    <w:div w:id="10845029">
      <w:bodyDiv w:val="1"/>
      <w:marLeft w:val="0"/>
      <w:marRight w:val="0"/>
      <w:marTop w:val="0"/>
      <w:marBottom w:val="0"/>
      <w:divBdr>
        <w:top w:val="none" w:sz="0" w:space="0" w:color="auto"/>
        <w:left w:val="none" w:sz="0" w:space="0" w:color="auto"/>
        <w:bottom w:val="none" w:sz="0" w:space="0" w:color="auto"/>
        <w:right w:val="none" w:sz="0" w:space="0" w:color="auto"/>
      </w:divBdr>
    </w:div>
    <w:div w:id="17656607">
      <w:bodyDiv w:val="1"/>
      <w:marLeft w:val="0"/>
      <w:marRight w:val="0"/>
      <w:marTop w:val="0"/>
      <w:marBottom w:val="0"/>
      <w:divBdr>
        <w:top w:val="none" w:sz="0" w:space="0" w:color="auto"/>
        <w:left w:val="none" w:sz="0" w:space="0" w:color="auto"/>
        <w:bottom w:val="none" w:sz="0" w:space="0" w:color="auto"/>
        <w:right w:val="none" w:sz="0" w:space="0" w:color="auto"/>
      </w:divBdr>
    </w:div>
    <w:div w:id="29110412">
      <w:bodyDiv w:val="1"/>
      <w:marLeft w:val="0"/>
      <w:marRight w:val="0"/>
      <w:marTop w:val="0"/>
      <w:marBottom w:val="0"/>
      <w:divBdr>
        <w:top w:val="none" w:sz="0" w:space="0" w:color="auto"/>
        <w:left w:val="none" w:sz="0" w:space="0" w:color="auto"/>
        <w:bottom w:val="none" w:sz="0" w:space="0" w:color="auto"/>
        <w:right w:val="none" w:sz="0" w:space="0" w:color="auto"/>
      </w:divBdr>
    </w:div>
    <w:div w:id="35471389">
      <w:bodyDiv w:val="1"/>
      <w:marLeft w:val="0"/>
      <w:marRight w:val="0"/>
      <w:marTop w:val="0"/>
      <w:marBottom w:val="0"/>
      <w:divBdr>
        <w:top w:val="none" w:sz="0" w:space="0" w:color="auto"/>
        <w:left w:val="none" w:sz="0" w:space="0" w:color="auto"/>
        <w:bottom w:val="none" w:sz="0" w:space="0" w:color="auto"/>
        <w:right w:val="none" w:sz="0" w:space="0" w:color="auto"/>
      </w:divBdr>
    </w:div>
    <w:div w:id="51075555">
      <w:bodyDiv w:val="1"/>
      <w:marLeft w:val="0"/>
      <w:marRight w:val="0"/>
      <w:marTop w:val="0"/>
      <w:marBottom w:val="0"/>
      <w:divBdr>
        <w:top w:val="none" w:sz="0" w:space="0" w:color="auto"/>
        <w:left w:val="none" w:sz="0" w:space="0" w:color="auto"/>
        <w:bottom w:val="none" w:sz="0" w:space="0" w:color="auto"/>
        <w:right w:val="none" w:sz="0" w:space="0" w:color="auto"/>
      </w:divBdr>
    </w:div>
    <w:div w:id="60907646">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99222507">
      <w:bodyDiv w:val="1"/>
      <w:marLeft w:val="0"/>
      <w:marRight w:val="0"/>
      <w:marTop w:val="0"/>
      <w:marBottom w:val="0"/>
      <w:divBdr>
        <w:top w:val="none" w:sz="0" w:space="0" w:color="auto"/>
        <w:left w:val="none" w:sz="0" w:space="0" w:color="auto"/>
        <w:bottom w:val="none" w:sz="0" w:space="0" w:color="auto"/>
        <w:right w:val="none" w:sz="0" w:space="0" w:color="auto"/>
      </w:divBdr>
    </w:div>
    <w:div w:id="11483008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07483">
      <w:bodyDiv w:val="1"/>
      <w:marLeft w:val="0"/>
      <w:marRight w:val="0"/>
      <w:marTop w:val="0"/>
      <w:marBottom w:val="0"/>
      <w:divBdr>
        <w:top w:val="none" w:sz="0" w:space="0" w:color="auto"/>
        <w:left w:val="none" w:sz="0" w:space="0" w:color="auto"/>
        <w:bottom w:val="none" w:sz="0" w:space="0" w:color="auto"/>
        <w:right w:val="none" w:sz="0" w:space="0" w:color="auto"/>
      </w:divBdr>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55996738">
      <w:bodyDiv w:val="1"/>
      <w:marLeft w:val="0"/>
      <w:marRight w:val="0"/>
      <w:marTop w:val="0"/>
      <w:marBottom w:val="0"/>
      <w:divBdr>
        <w:top w:val="none" w:sz="0" w:space="0" w:color="auto"/>
        <w:left w:val="none" w:sz="0" w:space="0" w:color="auto"/>
        <w:bottom w:val="none" w:sz="0" w:space="0" w:color="auto"/>
        <w:right w:val="none" w:sz="0" w:space="0" w:color="auto"/>
      </w:divBdr>
    </w:div>
    <w:div w:id="174880501">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07450923">
      <w:bodyDiv w:val="1"/>
      <w:marLeft w:val="0"/>
      <w:marRight w:val="0"/>
      <w:marTop w:val="0"/>
      <w:marBottom w:val="0"/>
      <w:divBdr>
        <w:top w:val="none" w:sz="0" w:space="0" w:color="auto"/>
        <w:left w:val="none" w:sz="0" w:space="0" w:color="auto"/>
        <w:bottom w:val="none" w:sz="0" w:space="0" w:color="auto"/>
        <w:right w:val="none" w:sz="0" w:space="0" w:color="auto"/>
      </w:divBdr>
    </w:div>
    <w:div w:id="215317563">
      <w:bodyDiv w:val="1"/>
      <w:marLeft w:val="0"/>
      <w:marRight w:val="0"/>
      <w:marTop w:val="0"/>
      <w:marBottom w:val="0"/>
      <w:divBdr>
        <w:top w:val="none" w:sz="0" w:space="0" w:color="auto"/>
        <w:left w:val="none" w:sz="0" w:space="0" w:color="auto"/>
        <w:bottom w:val="none" w:sz="0" w:space="0" w:color="auto"/>
        <w:right w:val="none" w:sz="0" w:space="0" w:color="auto"/>
      </w:divBdr>
    </w:div>
    <w:div w:id="255990488">
      <w:bodyDiv w:val="1"/>
      <w:marLeft w:val="0"/>
      <w:marRight w:val="0"/>
      <w:marTop w:val="0"/>
      <w:marBottom w:val="0"/>
      <w:divBdr>
        <w:top w:val="none" w:sz="0" w:space="0" w:color="auto"/>
        <w:left w:val="none" w:sz="0" w:space="0" w:color="auto"/>
        <w:bottom w:val="none" w:sz="0" w:space="0" w:color="auto"/>
        <w:right w:val="none" w:sz="0" w:space="0" w:color="auto"/>
      </w:divBdr>
    </w:div>
    <w:div w:id="256015491">
      <w:bodyDiv w:val="1"/>
      <w:marLeft w:val="0"/>
      <w:marRight w:val="0"/>
      <w:marTop w:val="0"/>
      <w:marBottom w:val="0"/>
      <w:divBdr>
        <w:top w:val="none" w:sz="0" w:space="0" w:color="auto"/>
        <w:left w:val="none" w:sz="0" w:space="0" w:color="auto"/>
        <w:bottom w:val="none" w:sz="0" w:space="0" w:color="auto"/>
        <w:right w:val="none" w:sz="0" w:space="0" w:color="auto"/>
      </w:divBdr>
    </w:div>
    <w:div w:id="258955636">
      <w:bodyDiv w:val="1"/>
      <w:marLeft w:val="0"/>
      <w:marRight w:val="0"/>
      <w:marTop w:val="0"/>
      <w:marBottom w:val="0"/>
      <w:divBdr>
        <w:top w:val="none" w:sz="0" w:space="0" w:color="auto"/>
        <w:left w:val="none" w:sz="0" w:space="0" w:color="auto"/>
        <w:bottom w:val="none" w:sz="0" w:space="0" w:color="auto"/>
        <w:right w:val="none" w:sz="0" w:space="0" w:color="auto"/>
      </w:divBdr>
    </w:div>
    <w:div w:id="288584493">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200965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4626428">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14602567">
      <w:bodyDiv w:val="1"/>
      <w:marLeft w:val="0"/>
      <w:marRight w:val="0"/>
      <w:marTop w:val="0"/>
      <w:marBottom w:val="0"/>
      <w:divBdr>
        <w:top w:val="none" w:sz="0" w:space="0" w:color="auto"/>
        <w:left w:val="none" w:sz="0" w:space="0" w:color="auto"/>
        <w:bottom w:val="none" w:sz="0" w:space="0" w:color="auto"/>
        <w:right w:val="none" w:sz="0" w:space="0" w:color="auto"/>
      </w:divBdr>
    </w:div>
    <w:div w:id="382171562">
      <w:bodyDiv w:val="1"/>
      <w:marLeft w:val="0"/>
      <w:marRight w:val="0"/>
      <w:marTop w:val="0"/>
      <w:marBottom w:val="0"/>
      <w:divBdr>
        <w:top w:val="none" w:sz="0" w:space="0" w:color="auto"/>
        <w:left w:val="none" w:sz="0" w:space="0" w:color="auto"/>
        <w:bottom w:val="none" w:sz="0" w:space="0" w:color="auto"/>
        <w:right w:val="none" w:sz="0" w:space="0" w:color="auto"/>
      </w:divBdr>
    </w:div>
    <w:div w:id="389232979">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14860631">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52989998">
      <w:bodyDiv w:val="1"/>
      <w:marLeft w:val="0"/>
      <w:marRight w:val="0"/>
      <w:marTop w:val="0"/>
      <w:marBottom w:val="0"/>
      <w:divBdr>
        <w:top w:val="none" w:sz="0" w:space="0" w:color="auto"/>
        <w:left w:val="none" w:sz="0" w:space="0" w:color="auto"/>
        <w:bottom w:val="none" w:sz="0" w:space="0" w:color="auto"/>
        <w:right w:val="none" w:sz="0" w:space="0" w:color="auto"/>
      </w:divBdr>
    </w:div>
    <w:div w:id="466893767">
      <w:bodyDiv w:val="1"/>
      <w:marLeft w:val="0"/>
      <w:marRight w:val="0"/>
      <w:marTop w:val="0"/>
      <w:marBottom w:val="0"/>
      <w:divBdr>
        <w:top w:val="none" w:sz="0" w:space="0" w:color="auto"/>
        <w:left w:val="none" w:sz="0" w:space="0" w:color="auto"/>
        <w:bottom w:val="none" w:sz="0" w:space="0" w:color="auto"/>
        <w:right w:val="none" w:sz="0" w:space="0" w:color="auto"/>
      </w:divBdr>
    </w:div>
    <w:div w:id="467092493">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476461282">
      <w:bodyDiv w:val="1"/>
      <w:marLeft w:val="0"/>
      <w:marRight w:val="0"/>
      <w:marTop w:val="0"/>
      <w:marBottom w:val="0"/>
      <w:divBdr>
        <w:top w:val="none" w:sz="0" w:space="0" w:color="auto"/>
        <w:left w:val="none" w:sz="0" w:space="0" w:color="auto"/>
        <w:bottom w:val="none" w:sz="0" w:space="0" w:color="auto"/>
        <w:right w:val="none" w:sz="0" w:space="0" w:color="auto"/>
      </w:divBdr>
    </w:div>
    <w:div w:id="498544095">
      <w:bodyDiv w:val="1"/>
      <w:marLeft w:val="0"/>
      <w:marRight w:val="0"/>
      <w:marTop w:val="0"/>
      <w:marBottom w:val="0"/>
      <w:divBdr>
        <w:top w:val="none" w:sz="0" w:space="0" w:color="auto"/>
        <w:left w:val="none" w:sz="0" w:space="0" w:color="auto"/>
        <w:bottom w:val="none" w:sz="0" w:space="0" w:color="auto"/>
        <w:right w:val="none" w:sz="0" w:space="0" w:color="auto"/>
      </w:divBdr>
    </w:div>
    <w:div w:id="499464323">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20704094">
      <w:bodyDiv w:val="1"/>
      <w:marLeft w:val="0"/>
      <w:marRight w:val="0"/>
      <w:marTop w:val="0"/>
      <w:marBottom w:val="0"/>
      <w:divBdr>
        <w:top w:val="none" w:sz="0" w:space="0" w:color="auto"/>
        <w:left w:val="none" w:sz="0" w:space="0" w:color="auto"/>
        <w:bottom w:val="none" w:sz="0" w:space="0" w:color="auto"/>
        <w:right w:val="none" w:sz="0" w:space="0" w:color="auto"/>
      </w:divBdr>
    </w:div>
    <w:div w:id="56842217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706470">
      <w:bodyDiv w:val="1"/>
      <w:marLeft w:val="0"/>
      <w:marRight w:val="0"/>
      <w:marTop w:val="0"/>
      <w:marBottom w:val="0"/>
      <w:divBdr>
        <w:top w:val="none" w:sz="0" w:space="0" w:color="auto"/>
        <w:left w:val="none" w:sz="0" w:space="0" w:color="auto"/>
        <w:bottom w:val="none" w:sz="0" w:space="0" w:color="auto"/>
        <w:right w:val="none" w:sz="0" w:space="0" w:color="auto"/>
      </w:divBdr>
    </w:div>
    <w:div w:id="609969077">
      <w:bodyDiv w:val="1"/>
      <w:marLeft w:val="0"/>
      <w:marRight w:val="0"/>
      <w:marTop w:val="0"/>
      <w:marBottom w:val="0"/>
      <w:divBdr>
        <w:top w:val="none" w:sz="0" w:space="0" w:color="auto"/>
        <w:left w:val="none" w:sz="0" w:space="0" w:color="auto"/>
        <w:bottom w:val="none" w:sz="0" w:space="0" w:color="auto"/>
        <w:right w:val="none" w:sz="0" w:space="0" w:color="auto"/>
      </w:divBdr>
    </w:div>
    <w:div w:id="614750816">
      <w:bodyDiv w:val="1"/>
      <w:marLeft w:val="0"/>
      <w:marRight w:val="0"/>
      <w:marTop w:val="0"/>
      <w:marBottom w:val="0"/>
      <w:divBdr>
        <w:top w:val="none" w:sz="0" w:space="0" w:color="auto"/>
        <w:left w:val="none" w:sz="0" w:space="0" w:color="auto"/>
        <w:bottom w:val="none" w:sz="0" w:space="0" w:color="auto"/>
        <w:right w:val="none" w:sz="0" w:space="0" w:color="auto"/>
      </w:divBdr>
    </w:div>
    <w:div w:id="620499720">
      <w:bodyDiv w:val="1"/>
      <w:marLeft w:val="0"/>
      <w:marRight w:val="0"/>
      <w:marTop w:val="0"/>
      <w:marBottom w:val="0"/>
      <w:divBdr>
        <w:top w:val="none" w:sz="0" w:space="0" w:color="auto"/>
        <w:left w:val="none" w:sz="0" w:space="0" w:color="auto"/>
        <w:bottom w:val="none" w:sz="0" w:space="0" w:color="auto"/>
        <w:right w:val="none" w:sz="0" w:space="0" w:color="auto"/>
      </w:divBdr>
    </w:div>
    <w:div w:id="634725603">
      <w:bodyDiv w:val="1"/>
      <w:marLeft w:val="0"/>
      <w:marRight w:val="0"/>
      <w:marTop w:val="0"/>
      <w:marBottom w:val="0"/>
      <w:divBdr>
        <w:top w:val="none" w:sz="0" w:space="0" w:color="auto"/>
        <w:left w:val="none" w:sz="0" w:space="0" w:color="auto"/>
        <w:bottom w:val="none" w:sz="0" w:space="0" w:color="auto"/>
        <w:right w:val="none" w:sz="0" w:space="0" w:color="auto"/>
      </w:divBdr>
    </w:div>
    <w:div w:id="642806583">
      <w:bodyDiv w:val="1"/>
      <w:marLeft w:val="0"/>
      <w:marRight w:val="0"/>
      <w:marTop w:val="0"/>
      <w:marBottom w:val="0"/>
      <w:divBdr>
        <w:top w:val="none" w:sz="0" w:space="0" w:color="auto"/>
        <w:left w:val="none" w:sz="0" w:space="0" w:color="auto"/>
        <w:bottom w:val="none" w:sz="0" w:space="0" w:color="auto"/>
        <w:right w:val="none" w:sz="0" w:space="0" w:color="auto"/>
      </w:divBdr>
    </w:div>
    <w:div w:id="655112823">
      <w:bodyDiv w:val="1"/>
      <w:marLeft w:val="0"/>
      <w:marRight w:val="0"/>
      <w:marTop w:val="0"/>
      <w:marBottom w:val="0"/>
      <w:divBdr>
        <w:top w:val="none" w:sz="0" w:space="0" w:color="auto"/>
        <w:left w:val="none" w:sz="0" w:space="0" w:color="auto"/>
        <w:bottom w:val="none" w:sz="0" w:space="0" w:color="auto"/>
        <w:right w:val="none" w:sz="0" w:space="0" w:color="auto"/>
      </w:divBdr>
    </w:div>
    <w:div w:id="670571149">
      <w:bodyDiv w:val="1"/>
      <w:marLeft w:val="0"/>
      <w:marRight w:val="0"/>
      <w:marTop w:val="0"/>
      <w:marBottom w:val="0"/>
      <w:divBdr>
        <w:top w:val="none" w:sz="0" w:space="0" w:color="auto"/>
        <w:left w:val="none" w:sz="0" w:space="0" w:color="auto"/>
        <w:bottom w:val="none" w:sz="0" w:space="0" w:color="auto"/>
        <w:right w:val="none" w:sz="0" w:space="0" w:color="auto"/>
      </w:divBdr>
    </w:div>
    <w:div w:id="682899191">
      <w:bodyDiv w:val="1"/>
      <w:marLeft w:val="0"/>
      <w:marRight w:val="0"/>
      <w:marTop w:val="0"/>
      <w:marBottom w:val="0"/>
      <w:divBdr>
        <w:top w:val="none" w:sz="0" w:space="0" w:color="auto"/>
        <w:left w:val="none" w:sz="0" w:space="0" w:color="auto"/>
        <w:bottom w:val="none" w:sz="0" w:space="0" w:color="auto"/>
        <w:right w:val="none" w:sz="0" w:space="0" w:color="auto"/>
      </w:divBdr>
    </w:div>
    <w:div w:id="696732222">
      <w:bodyDiv w:val="1"/>
      <w:marLeft w:val="0"/>
      <w:marRight w:val="0"/>
      <w:marTop w:val="0"/>
      <w:marBottom w:val="0"/>
      <w:divBdr>
        <w:top w:val="none" w:sz="0" w:space="0" w:color="auto"/>
        <w:left w:val="none" w:sz="0" w:space="0" w:color="auto"/>
        <w:bottom w:val="none" w:sz="0" w:space="0" w:color="auto"/>
        <w:right w:val="none" w:sz="0" w:space="0" w:color="auto"/>
      </w:divBdr>
    </w:div>
    <w:div w:id="703485188">
      <w:bodyDiv w:val="1"/>
      <w:marLeft w:val="0"/>
      <w:marRight w:val="0"/>
      <w:marTop w:val="0"/>
      <w:marBottom w:val="0"/>
      <w:divBdr>
        <w:top w:val="none" w:sz="0" w:space="0" w:color="auto"/>
        <w:left w:val="none" w:sz="0" w:space="0" w:color="auto"/>
        <w:bottom w:val="none" w:sz="0" w:space="0" w:color="auto"/>
        <w:right w:val="none" w:sz="0" w:space="0" w:color="auto"/>
      </w:divBdr>
    </w:div>
    <w:div w:id="736173288">
      <w:bodyDiv w:val="1"/>
      <w:marLeft w:val="0"/>
      <w:marRight w:val="0"/>
      <w:marTop w:val="0"/>
      <w:marBottom w:val="0"/>
      <w:divBdr>
        <w:top w:val="none" w:sz="0" w:space="0" w:color="auto"/>
        <w:left w:val="none" w:sz="0" w:space="0" w:color="auto"/>
        <w:bottom w:val="none" w:sz="0" w:space="0" w:color="auto"/>
        <w:right w:val="none" w:sz="0" w:space="0" w:color="auto"/>
      </w:divBdr>
    </w:div>
    <w:div w:id="739789932">
      <w:bodyDiv w:val="1"/>
      <w:marLeft w:val="0"/>
      <w:marRight w:val="0"/>
      <w:marTop w:val="0"/>
      <w:marBottom w:val="0"/>
      <w:divBdr>
        <w:top w:val="none" w:sz="0" w:space="0" w:color="auto"/>
        <w:left w:val="none" w:sz="0" w:space="0" w:color="auto"/>
        <w:bottom w:val="none" w:sz="0" w:space="0" w:color="auto"/>
        <w:right w:val="none" w:sz="0" w:space="0" w:color="auto"/>
      </w:divBdr>
    </w:div>
    <w:div w:id="743143595">
      <w:bodyDiv w:val="1"/>
      <w:marLeft w:val="0"/>
      <w:marRight w:val="0"/>
      <w:marTop w:val="0"/>
      <w:marBottom w:val="0"/>
      <w:divBdr>
        <w:top w:val="none" w:sz="0" w:space="0" w:color="auto"/>
        <w:left w:val="none" w:sz="0" w:space="0" w:color="auto"/>
        <w:bottom w:val="none" w:sz="0" w:space="0" w:color="auto"/>
        <w:right w:val="none" w:sz="0" w:space="0" w:color="auto"/>
      </w:divBdr>
    </w:div>
    <w:div w:id="749084062">
      <w:bodyDiv w:val="1"/>
      <w:marLeft w:val="0"/>
      <w:marRight w:val="0"/>
      <w:marTop w:val="0"/>
      <w:marBottom w:val="0"/>
      <w:divBdr>
        <w:top w:val="none" w:sz="0" w:space="0" w:color="auto"/>
        <w:left w:val="none" w:sz="0" w:space="0" w:color="auto"/>
        <w:bottom w:val="none" w:sz="0" w:space="0" w:color="auto"/>
        <w:right w:val="none" w:sz="0" w:space="0" w:color="auto"/>
      </w:divBdr>
    </w:div>
    <w:div w:id="755783355">
      <w:bodyDiv w:val="1"/>
      <w:marLeft w:val="0"/>
      <w:marRight w:val="0"/>
      <w:marTop w:val="0"/>
      <w:marBottom w:val="0"/>
      <w:divBdr>
        <w:top w:val="none" w:sz="0" w:space="0" w:color="auto"/>
        <w:left w:val="none" w:sz="0" w:space="0" w:color="auto"/>
        <w:bottom w:val="none" w:sz="0" w:space="0" w:color="auto"/>
        <w:right w:val="none" w:sz="0" w:space="0" w:color="auto"/>
      </w:divBdr>
    </w:div>
    <w:div w:id="793600556">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123466">
      <w:bodyDiv w:val="1"/>
      <w:marLeft w:val="0"/>
      <w:marRight w:val="0"/>
      <w:marTop w:val="0"/>
      <w:marBottom w:val="0"/>
      <w:divBdr>
        <w:top w:val="none" w:sz="0" w:space="0" w:color="auto"/>
        <w:left w:val="none" w:sz="0" w:space="0" w:color="auto"/>
        <w:bottom w:val="none" w:sz="0" w:space="0" w:color="auto"/>
        <w:right w:val="none" w:sz="0" w:space="0" w:color="auto"/>
      </w:divBdr>
    </w:div>
    <w:div w:id="872763585">
      <w:bodyDiv w:val="1"/>
      <w:marLeft w:val="0"/>
      <w:marRight w:val="0"/>
      <w:marTop w:val="0"/>
      <w:marBottom w:val="0"/>
      <w:divBdr>
        <w:top w:val="none" w:sz="0" w:space="0" w:color="auto"/>
        <w:left w:val="none" w:sz="0" w:space="0" w:color="auto"/>
        <w:bottom w:val="none" w:sz="0" w:space="0" w:color="auto"/>
        <w:right w:val="none" w:sz="0" w:space="0" w:color="auto"/>
      </w:divBdr>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883446592">
      <w:bodyDiv w:val="1"/>
      <w:marLeft w:val="0"/>
      <w:marRight w:val="0"/>
      <w:marTop w:val="0"/>
      <w:marBottom w:val="0"/>
      <w:divBdr>
        <w:top w:val="none" w:sz="0" w:space="0" w:color="auto"/>
        <w:left w:val="none" w:sz="0" w:space="0" w:color="auto"/>
        <w:bottom w:val="none" w:sz="0" w:space="0" w:color="auto"/>
        <w:right w:val="none" w:sz="0" w:space="0" w:color="auto"/>
      </w:divBdr>
    </w:div>
    <w:div w:id="883521468">
      <w:bodyDiv w:val="1"/>
      <w:marLeft w:val="0"/>
      <w:marRight w:val="0"/>
      <w:marTop w:val="0"/>
      <w:marBottom w:val="0"/>
      <w:divBdr>
        <w:top w:val="none" w:sz="0" w:space="0" w:color="auto"/>
        <w:left w:val="none" w:sz="0" w:space="0" w:color="auto"/>
        <w:bottom w:val="none" w:sz="0" w:space="0" w:color="auto"/>
        <w:right w:val="none" w:sz="0" w:space="0" w:color="auto"/>
      </w:divBdr>
    </w:div>
    <w:div w:id="887031934">
      <w:bodyDiv w:val="1"/>
      <w:marLeft w:val="0"/>
      <w:marRight w:val="0"/>
      <w:marTop w:val="0"/>
      <w:marBottom w:val="0"/>
      <w:divBdr>
        <w:top w:val="none" w:sz="0" w:space="0" w:color="auto"/>
        <w:left w:val="none" w:sz="0" w:space="0" w:color="auto"/>
        <w:bottom w:val="none" w:sz="0" w:space="0" w:color="auto"/>
        <w:right w:val="none" w:sz="0" w:space="0" w:color="auto"/>
      </w:divBdr>
    </w:div>
    <w:div w:id="934704796">
      <w:bodyDiv w:val="1"/>
      <w:marLeft w:val="0"/>
      <w:marRight w:val="0"/>
      <w:marTop w:val="0"/>
      <w:marBottom w:val="0"/>
      <w:divBdr>
        <w:top w:val="none" w:sz="0" w:space="0" w:color="auto"/>
        <w:left w:val="none" w:sz="0" w:space="0" w:color="auto"/>
        <w:bottom w:val="none" w:sz="0" w:space="0" w:color="auto"/>
        <w:right w:val="none" w:sz="0" w:space="0" w:color="auto"/>
      </w:divBdr>
    </w:div>
    <w:div w:id="944077718">
      <w:bodyDiv w:val="1"/>
      <w:marLeft w:val="0"/>
      <w:marRight w:val="0"/>
      <w:marTop w:val="0"/>
      <w:marBottom w:val="0"/>
      <w:divBdr>
        <w:top w:val="none" w:sz="0" w:space="0" w:color="auto"/>
        <w:left w:val="none" w:sz="0" w:space="0" w:color="auto"/>
        <w:bottom w:val="none" w:sz="0" w:space="0" w:color="auto"/>
        <w:right w:val="none" w:sz="0" w:space="0" w:color="auto"/>
      </w:divBdr>
    </w:div>
    <w:div w:id="950553862">
      <w:bodyDiv w:val="1"/>
      <w:marLeft w:val="0"/>
      <w:marRight w:val="0"/>
      <w:marTop w:val="0"/>
      <w:marBottom w:val="0"/>
      <w:divBdr>
        <w:top w:val="none" w:sz="0" w:space="0" w:color="auto"/>
        <w:left w:val="none" w:sz="0" w:space="0" w:color="auto"/>
        <w:bottom w:val="none" w:sz="0" w:space="0" w:color="auto"/>
        <w:right w:val="none" w:sz="0" w:space="0" w:color="auto"/>
      </w:divBdr>
    </w:div>
    <w:div w:id="983001164">
      <w:bodyDiv w:val="1"/>
      <w:marLeft w:val="0"/>
      <w:marRight w:val="0"/>
      <w:marTop w:val="0"/>
      <w:marBottom w:val="0"/>
      <w:divBdr>
        <w:top w:val="none" w:sz="0" w:space="0" w:color="auto"/>
        <w:left w:val="none" w:sz="0" w:space="0" w:color="auto"/>
        <w:bottom w:val="none" w:sz="0" w:space="0" w:color="auto"/>
        <w:right w:val="none" w:sz="0" w:space="0" w:color="auto"/>
      </w:divBdr>
    </w:div>
    <w:div w:id="1000473849">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09867914">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40134596">
      <w:bodyDiv w:val="1"/>
      <w:marLeft w:val="0"/>
      <w:marRight w:val="0"/>
      <w:marTop w:val="0"/>
      <w:marBottom w:val="0"/>
      <w:divBdr>
        <w:top w:val="none" w:sz="0" w:space="0" w:color="auto"/>
        <w:left w:val="none" w:sz="0" w:space="0" w:color="auto"/>
        <w:bottom w:val="none" w:sz="0" w:space="0" w:color="auto"/>
        <w:right w:val="none" w:sz="0" w:space="0" w:color="auto"/>
      </w:divBdr>
    </w:div>
    <w:div w:id="1044671431">
      <w:bodyDiv w:val="1"/>
      <w:marLeft w:val="0"/>
      <w:marRight w:val="0"/>
      <w:marTop w:val="0"/>
      <w:marBottom w:val="0"/>
      <w:divBdr>
        <w:top w:val="none" w:sz="0" w:space="0" w:color="auto"/>
        <w:left w:val="none" w:sz="0" w:space="0" w:color="auto"/>
        <w:bottom w:val="none" w:sz="0" w:space="0" w:color="auto"/>
        <w:right w:val="none" w:sz="0" w:space="0" w:color="auto"/>
      </w:divBdr>
    </w:div>
    <w:div w:id="1051421058">
      <w:bodyDiv w:val="1"/>
      <w:marLeft w:val="0"/>
      <w:marRight w:val="0"/>
      <w:marTop w:val="0"/>
      <w:marBottom w:val="0"/>
      <w:divBdr>
        <w:top w:val="none" w:sz="0" w:space="0" w:color="auto"/>
        <w:left w:val="none" w:sz="0" w:space="0" w:color="auto"/>
        <w:bottom w:val="none" w:sz="0" w:space="0" w:color="auto"/>
        <w:right w:val="none" w:sz="0" w:space="0" w:color="auto"/>
      </w:divBdr>
    </w:div>
    <w:div w:id="1071663306">
      <w:bodyDiv w:val="1"/>
      <w:marLeft w:val="0"/>
      <w:marRight w:val="0"/>
      <w:marTop w:val="0"/>
      <w:marBottom w:val="0"/>
      <w:divBdr>
        <w:top w:val="none" w:sz="0" w:space="0" w:color="auto"/>
        <w:left w:val="none" w:sz="0" w:space="0" w:color="auto"/>
        <w:bottom w:val="none" w:sz="0" w:space="0" w:color="auto"/>
        <w:right w:val="none" w:sz="0" w:space="0" w:color="auto"/>
      </w:divBdr>
    </w:div>
    <w:div w:id="1078556170">
      <w:bodyDiv w:val="1"/>
      <w:marLeft w:val="0"/>
      <w:marRight w:val="0"/>
      <w:marTop w:val="0"/>
      <w:marBottom w:val="0"/>
      <w:divBdr>
        <w:top w:val="none" w:sz="0" w:space="0" w:color="auto"/>
        <w:left w:val="none" w:sz="0" w:space="0" w:color="auto"/>
        <w:bottom w:val="none" w:sz="0" w:space="0" w:color="auto"/>
        <w:right w:val="none" w:sz="0" w:space="0" w:color="auto"/>
      </w:divBdr>
    </w:div>
    <w:div w:id="1079137505">
      <w:bodyDiv w:val="1"/>
      <w:marLeft w:val="0"/>
      <w:marRight w:val="0"/>
      <w:marTop w:val="0"/>
      <w:marBottom w:val="0"/>
      <w:divBdr>
        <w:top w:val="none" w:sz="0" w:space="0" w:color="auto"/>
        <w:left w:val="none" w:sz="0" w:space="0" w:color="auto"/>
        <w:bottom w:val="none" w:sz="0" w:space="0" w:color="auto"/>
        <w:right w:val="none" w:sz="0" w:space="0" w:color="auto"/>
      </w:divBdr>
    </w:div>
    <w:div w:id="1098646244">
      <w:bodyDiv w:val="1"/>
      <w:marLeft w:val="0"/>
      <w:marRight w:val="0"/>
      <w:marTop w:val="0"/>
      <w:marBottom w:val="0"/>
      <w:divBdr>
        <w:top w:val="none" w:sz="0" w:space="0" w:color="auto"/>
        <w:left w:val="none" w:sz="0" w:space="0" w:color="auto"/>
        <w:bottom w:val="none" w:sz="0" w:space="0" w:color="auto"/>
        <w:right w:val="none" w:sz="0" w:space="0" w:color="auto"/>
      </w:divBdr>
    </w:div>
    <w:div w:id="1114716593">
      <w:bodyDiv w:val="1"/>
      <w:marLeft w:val="0"/>
      <w:marRight w:val="0"/>
      <w:marTop w:val="0"/>
      <w:marBottom w:val="0"/>
      <w:divBdr>
        <w:top w:val="none" w:sz="0" w:space="0" w:color="auto"/>
        <w:left w:val="none" w:sz="0" w:space="0" w:color="auto"/>
        <w:bottom w:val="none" w:sz="0" w:space="0" w:color="auto"/>
        <w:right w:val="none" w:sz="0" w:space="0" w:color="auto"/>
      </w:divBdr>
    </w:div>
    <w:div w:id="1145120439">
      <w:bodyDiv w:val="1"/>
      <w:marLeft w:val="0"/>
      <w:marRight w:val="0"/>
      <w:marTop w:val="0"/>
      <w:marBottom w:val="0"/>
      <w:divBdr>
        <w:top w:val="none" w:sz="0" w:space="0" w:color="auto"/>
        <w:left w:val="none" w:sz="0" w:space="0" w:color="auto"/>
        <w:bottom w:val="none" w:sz="0" w:space="0" w:color="auto"/>
        <w:right w:val="none" w:sz="0" w:space="0" w:color="auto"/>
      </w:divBdr>
    </w:div>
    <w:div w:id="1165240600">
      <w:bodyDiv w:val="1"/>
      <w:marLeft w:val="0"/>
      <w:marRight w:val="0"/>
      <w:marTop w:val="0"/>
      <w:marBottom w:val="0"/>
      <w:divBdr>
        <w:top w:val="none" w:sz="0" w:space="0" w:color="auto"/>
        <w:left w:val="none" w:sz="0" w:space="0" w:color="auto"/>
        <w:bottom w:val="none" w:sz="0" w:space="0" w:color="auto"/>
        <w:right w:val="none" w:sz="0" w:space="0" w:color="auto"/>
      </w:divBdr>
    </w:div>
    <w:div w:id="1170801992">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186947728">
      <w:bodyDiv w:val="1"/>
      <w:marLeft w:val="0"/>
      <w:marRight w:val="0"/>
      <w:marTop w:val="0"/>
      <w:marBottom w:val="0"/>
      <w:divBdr>
        <w:top w:val="none" w:sz="0" w:space="0" w:color="auto"/>
        <w:left w:val="none" w:sz="0" w:space="0" w:color="auto"/>
        <w:bottom w:val="none" w:sz="0" w:space="0" w:color="auto"/>
        <w:right w:val="none" w:sz="0" w:space="0" w:color="auto"/>
      </w:divBdr>
    </w:div>
    <w:div w:id="1189291083">
      <w:bodyDiv w:val="1"/>
      <w:marLeft w:val="0"/>
      <w:marRight w:val="0"/>
      <w:marTop w:val="0"/>
      <w:marBottom w:val="0"/>
      <w:divBdr>
        <w:top w:val="none" w:sz="0" w:space="0" w:color="auto"/>
        <w:left w:val="none" w:sz="0" w:space="0" w:color="auto"/>
        <w:bottom w:val="none" w:sz="0" w:space="0" w:color="auto"/>
        <w:right w:val="none" w:sz="0" w:space="0" w:color="auto"/>
      </w:divBdr>
    </w:div>
    <w:div w:id="1202136649">
      <w:bodyDiv w:val="1"/>
      <w:marLeft w:val="0"/>
      <w:marRight w:val="0"/>
      <w:marTop w:val="0"/>
      <w:marBottom w:val="0"/>
      <w:divBdr>
        <w:top w:val="none" w:sz="0" w:space="0" w:color="auto"/>
        <w:left w:val="none" w:sz="0" w:space="0" w:color="auto"/>
        <w:bottom w:val="none" w:sz="0" w:space="0" w:color="auto"/>
        <w:right w:val="none" w:sz="0" w:space="0" w:color="auto"/>
      </w:divBdr>
    </w:div>
    <w:div w:id="1227497114">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47961644">
      <w:bodyDiv w:val="1"/>
      <w:marLeft w:val="0"/>
      <w:marRight w:val="0"/>
      <w:marTop w:val="0"/>
      <w:marBottom w:val="0"/>
      <w:divBdr>
        <w:top w:val="none" w:sz="0" w:space="0" w:color="auto"/>
        <w:left w:val="none" w:sz="0" w:space="0" w:color="auto"/>
        <w:bottom w:val="none" w:sz="0" w:space="0" w:color="auto"/>
        <w:right w:val="none" w:sz="0" w:space="0" w:color="auto"/>
      </w:divBdr>
    </w:div>
    <w:div w:id="1285889744">
      <w:bodyDiv w:val="1"/>
      <w:marLeft w:val="0"/>
      <w:marRight w:val="0"/>
      <w:marTop w:val="0"/>
      <w:marBottom w:val="0"/>
      <w:divBdr>
        <w:top w:val="none" w:sz="0" w:space="0" w:color="auto"/>
        <w:left w:val="none" w:sz="0" w:space="0" w:color="auto"/>
        <w:bottom w:val="none" w:sz="0" w:space="0" w:color="auto"/>
        <w:right w:val="none" w:sz="0" w:space="0" w:color="auto"/>
      </w:divBdr>
    </w:div>
    <w:div w:id="1307121511">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35493993">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0856979">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16979425">
      <w:bodyDiv w:val="1"/>
      <w:marLeft w:val="0"/>
      <w:marRight w:val="0"/>
      <w:marTop w:val="0"/>
      <w:marBottom w:val="0"/>
      <w:divBdr>
        <w:top w:val="none" w:sz="0" w:space="0" w:color="auto"/>
        <w:left w:val="none" w:sz="0" w:space="0" w:color="auto"/>
        <w:bottom w:val="none" w:sz="0" w:space="0" w:color="auto"/>
        <w:right w:val="none" w:sz="0" w:space="0" w:color="auto"/>
      </w:divBdr>
    </w:div>
    <w:div w:id="1431315749">
      <w:bodyDiv w:val="1"/>
      <w:marLeft w:val="0"/>
      <w:marRight w:val="0"/>
      <w:marTop w:val="0"/>
      <w:marBottom w:val="0"/>
      <w:divBdr>
        <w:top w:val="none" w:sz="0" w:space="0" w:color="auto"/>
        <w:left w:val="none" w:sz="0" w:space="0" w:color="auto"/>
        <w:bottom w:val="none" w:sz="0" w:space="0" w:color="auto"/>
        <w:right w:val="none" w:sz="0" w:space="0" w:color="auto"/>
      </w:divBdr>
    </w:div>
    <w:div w:id="1431776595">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457677928">
      <w:bodyDiv w:val="1"/>
      <w:marLeft w:val="0"/>
      <w:marRight w:val="0"/>
      <w:marTop w:val="0"/>
      <w:marBottom w:val="0"/>
      <w:divBdr>
        <w:top w:val="none" w:sz="0" w:space="0" w:color="auto"/>
        <w:left w:val="none" w:sz="0" w:space="0" w:color="auto"/>
        <w:bottom w:val="none" w:sz="0" w:space="0" w:color="auto"/>
        <w:right w:val="none" w:sz="0" w:space="0" w:color="auto"/>
      </w:divBdr>
    </w:div>
    <w:div w:id="1460879350">
      <w:bodyDiv w:val="1"/>
      <w:marLeft w:val="0"/>
      <w:marRight w:val="0"/>
      <w:marTop w:val="0"/>
      <w:marBottom w:val="0"/>
      <w:divBdr>
        <w:top w:val="none" w:sz="0" w:space="0" w:color="auto"/>
        <w:left w:val="none" w:sz="0" w:space="0" w:color="auto"/>
        <w:bottom w:val="none" w:sz="0" w:space="0" w:color="auto"/>
        <w:right w:val="none" w:sz="0" w:space="0" w:color="auto"/>
      </w:divBdr>
    </w:div>
    <w:div w:id="1474443987">
      <w:bodyDiv w:val="1"/>
      <w:marLeft w:val="0"/>
      <w:marRight w:val="0"/>
      <w:marTop w:val="0"/>
      <w:marBottom w:val="0"/>
      <w:divBdr>
        <w:top w:val="none" w:sz="0" w:space="0" w:color="auto"/>
        <w:left w:val="none" w:sz="0" w:space="0" w:color="auto"/>
        <w:bottom w:val="none" w:sz="0" w:space="0" w:color="auto"/>
        <w:right w:val="none" w:sz="0" w:space="0" w:color="auto"/>
      </w:divBdr>
    </w:div>
    <w:div w:id="1526015841">
      <w:bodyDiv w:val="1"/>
      <w:marLeft w:val="0"/>
      <w:marRight w:val="0"/>
      <w:marTop w:val="0"/>
      <w:marBottom w:val="0"/>
      <w:divBdr>
        <w:top w:val="none" w:sz="0" w:space="0" w:color="auto"/>
        <w:left w:val="none" w:sz="0" w:space="0" w:color="auto"/>
        <w:bottom w:val="none" w:sz="0" w:space="0" w:color="auto"/>
        <w:right w:val="none" w:sz="0" w:space="0" w:color="auto"/>
      </w:divBdr>
    </w:div>
    <w:div w:id="1526483360">
      <w:bodyDiv w:val="1"/>
      <w:marLeft w:val="0"/>
      <w:marRight w:val="0"/>
      <w:marTop w:val="0"/>
      <w:marBottom w:val="0"/>
      <w:divBdr>
        <w:top w:val="none" w:sz="0" w:space="0" w:color="auto"/>
        <w:left w:val="none" w:sz="0" w:space="0" w:color="auto"/>
        <w:bottom w:val="none" w:sz="0" w:space="0" w:color="auto"/>
        <w:right w:val="none" w:sz="0" w:space="0" w:color="auto"/>
      </w:divBdr>
    </w:div>
    <w:div w:id="1578787701">
      <w:bodyDiv w:val="1"/>
      <w:marLeft w:val="0"/>
      <w:marRight w:val="0"/>
      <w:marTop w:val="0"/>
      <w:marBottom w:val="0"/>
      <w:divBdr>
        <w:top w:val="none" w:sz="0" w:space="0" w:color="auto"/>
        <w:left w:val="none" w:sz="0" w:space="0" w:color="auto"/>
        <w:bottom w:val="none" w:sz="0" w:space="0" w:color="auto"/>
        <w:right w:val="none" w:sz="0" w:space="0" w:color="auto"/>
      </w:divBdr>
    </w:div>
    <w:div w:id="1612010093">
      <w:bodyDiv w:val="1"/>
      <w:marLeft w:val="0"/>
      <w:marRight w:val="0"/>
      <w:marTop w:val="0"/>
      <w:marBottom w:val="0"/>
      <w:divBdr>
        <w:top w:val="none" w:sz="0" w:space="0" w:color="auto"/>
        <w:left w:val="none" w:sz="0" w:space="0" w:color="auto"/>
        <w:bottom w:val="none" w:sz="0" w:space="0" w:color="auto"/>
        <w:right w:val="none" w:sz="0" w:space="0" w:color="auto"/>
      </w:divBdr>
    </w:div>
    <w:div w:id="1621109115">
      <w:bodyDiv w:val="1"/>
      <w:marLeft w:val="0"/>
      <w:marRight w:val="0"/>
      <w:marTop w:val="0"/>
      <w:marBottom w:val="0"/>
      <w:divBdr>
        <w:top w:val="none" w:sz="0" w:space="0" w:color="auto"/>
        <w:left w:val="none" w:sz="0" w:space="0" w:color="auto"/>
        <w:bottom w:val="none" w:sz="0" w:space="0" w:color="auto"/>
        <w:right w:val="none" w:sz="0" w:space="0" w:color="auto"/>
      </w:divBdr>
    </w:div>
    <w:div w:id="1648900834">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58606553">
      <w:bodyDiv w:val="1"/>
      <w:marLeft w:val="0"/>
      <w:marRight w:val="0"/>
      <w:marTop w:val="0"/>
      <w:marBottom w:val="0"/>
      <w:divBdr>
        <w:top w:val="none" w:sz="0" w:space="0" w:color="auto"/>
        <w:left w:val="none" w:sz="0" w:space="0" w:color="auto"/>
        <w:bottom w:val="none" w:sz="0" w:space="0" w:color="auto"/>
        <w:right w:val="none" w:sz="0" w:space="0" w:color="auto"/>
      </w:divBdr>
    </w:div>
    <w:div w:id="1659535063">
      <w:bodyDiv w:val="1"/>
      <w:marLeft w:val="0"/>
      <w:marRight w:val="0"/>
      <w:marTop w:val="0"/>
      <w:marBottom w:val="0"/>
      <w:divBdr>
        <w:top w:val="none" w:sz="0" w:space="0" w:color="auto"/>
        <w:left w:val="none" w:sz="0" w:space="0" w:color="auto"/>
        <w:bottom w:val="none" w:sz="0" w:space="0" w:color="auto"/>
        <w:right w:val="none" w:sz="0" w:space="0" w:color="auto"/>
      </w:divBdr>
    </w:div>
    <w:div w:id="1662537444">
      <w:bodyDiv w:val="1"/>
      <w:marLeft w:val="0"/>
      <w:marRight w:val="0"/>
      <w:marTop w:val="0"/>
      <w:marBottom w:val="0"/>
      <w:divBdr>
        <w:top w:val="none" w:sz="0" w:space="0" w:color="auto"/>
        <w:left w:val="none" w:sz="0" w:space="0" w:color="auto"/>
        <w:bottom w:val="none" w:sz="0" w:space="0" w:color="auto"/>
        <w:right w:val="none" w:sz="0" w:space="0" w:color="auto"/>
      </w:divBdr>
    </w:div>
    <w:div w:id="1689335024">
      <w:bodyDiv w:val="1"/>
      <w:marLeft w:val="0"/>
      <w:marRight w:val="0"/>
      <w:marTop w:val="0"/>
      <w:marBottom w:val="0"/>
      <w:divBdr>
        <w:top w:val="none" w:sz="0" w:space="0" w:color="auto"/>
        <w:left w:val="none" w:sz="0" w:space="0" w:color="auto"/>
        <w:bottom w:val="none" w:sz="0" w:space="0" w:color="auto"/>
        <w:right w:val="none" w:sz="0" w:space="0" w:color="auto"/>
      </w:divBdr>
    </w:div>
    <w:div w:id="1725983738">
      <w:bodyDiv w:val="1"/>
      <w:marLeft w:val="0"/>
      <w:marRight w:val="0"/>
      <w:marTop w:val="0"/>
      <w:marBottom w:val="0"/>
      <w:divBdr>
        <w:top w:val="none" w:sz="0" w:space="0" w:color="auto"/>
        <w:left w:val="none" w:sz="0" w:space="0" w:color="auto"/>
        <w:bottom w:val="none" w:sz="0" w:space="0" w:color="auto"/>
        <w:right w:val="none" w:sz="0" w:space="0" w:color="auto"/>
      </w:divBdr>
    </w:div>
    <w:div w:id="1732844624">
      <w:bodyDiv w:val="1"/>
      <w:marLeft w:val="0"/>
      <w:marRight w:val="0"/>
      <w:marTop w:val="0"/>
      <w:marBottom w:val="0"/>
      <w:divBdr>
        <w:top w:val="none" w:sz="0" w:space="0" w:color="auto"/>
        <w:left w:val="none" w:sz="0" w:space="0" w:color="auto"/>
        <w:bottom w:val="none" w:sz="0" w:space="0" w:color="auto"/>
        <w:right w:val="none" w:sz="0" w:space="0" w:color="auto"/>
      </w:divBdr>
    </w:div>
    <w:div w:id="1736707651">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64838882">
      <w:bodyDiv w:val="1"/>
      <w:marLeft w:val="0"/>
      <w:marRight w:val="0"/>
      <w:marTop w:val="0"/>
      <w:marBottom w:val="0"/>
      <w:divBdr>
        <w:top w:val="none" w:sz="0" w:space="0" w:color="auto"/>
        <w:left w:val="none" w:sz="0" w:space="0" w:color="auto"/>
        <w:bottom w:val="none" w:sz="0" w:space="0" w:color="auto"/>
        <w:right w:val="none" w:sz="0" w:space="0" w:color="auto"/>
      </w:divBdr>
    </w:div>
    <w:div w:id="1794057353">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01680170">
      <w:bodyDiv w:val="1"/>
      <w:marLeft w:val="0"/>
      <w:marRight w:val="0"/>
      <w:marTop w:val="0"/>
      <w:marBottom w:val="0"/>
      <w:divBdr>
        <w:top w:val="none" w:sz="0" w:space="0" w:color="auto"/>
        <w:left w:val="none" w:sz="0" w:space="0" w:color="auto"/>
        <w:bottom w:val="none" w:sz="0" w:space="0" w:color="auto"/>
        <w:right w:val="none" w:sz="0" w:space="0" w:color="auto"/>
      </w:divBdr>
    </w:div>
    <w:div w:id="1804807750">
      <w:bodyDiv w:val="1"/>
      <w:marLeft w:val="0"/>
      <w:marRight w:val="0"/>
      <w:marTop w:val="0"/>
      <w:marBottom w:val="0"/>
      <w:divBdr>
        <w:top w:val="none" w:sz="0" w:space="0" w:color="auto"/>
        <w:left w:val="none" w:sz="0" w:space="0" w:color="auto"/>
        <w:bottom w:val="none" w:sz="0" w:space="0" w:color="auto"/>
        <w:right w:val="none" w:sz="0" w:space="0" w:color="auto"/>
      </w:divBdr>
    </w:div>
    <w:div w:id="1820491637">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7672697">
      <w:bodyDiv w:val="1"/>
      <w:marLeft w:val="0"/>
      <w:marRight w:val="0"/>
      <w:marTop w:val="0"/>
      <w:marBottom w:val="0"/>
      <w:divBdr>
        <w:top w:val="none" w:sz="0" w:space="0" w:color="auto"/>
        <w:left w:val="none" w:sz="0" w:space="0" w:color="auto"/>
        <w:bottom w:val="none" w:sz="0" w:space="0" w:color="auto"/>
        <w:right w:val="none" w:sz="0" w:space="0" w:color="auto"/>
      </w:divBdr>
    </w:div>
    <w:div w:id="1830442704">
      <w:bodyDiv w:val="1"/>
      <w:marLeft w:val="0"/>
      <w:marRight w:val="0"/>
      <w:marTop w:val="0"/>
      <w:marBottom w:val="0"/>
      <w:divBdr>
        <w:top w:val="none" w:sz="0" w:space="0" w:color="auto"/>
        <w:left w:val="none" w:sz="0" w:space="0" w:color="auto"/>
        <w:bottom w:val="none" w:sz="0" w:space="0" w:color="auto"/>
        <w:right w:val="none" w:sz="0" w:space="0" w:color="auto"/>
      </w:divBdr>
    </w:div>
    <w:div w:id="1845172251">
      <w:bodyDiv w:val="1"/>
      <w:marLeft w:val="0"/>
      <w:marRight w:val="0"/>
      <w:marTop w:val="0"/>
      <w:marBottom w:val="0"/>
      <w:divBdr>
        <w:top w:val="none" w:sz="0" w:space="0" w:color="auto"/>
        <w:left w:val="none" w:sz="0" w:space="0" w:color="auto"/>
        <w:bottom w:val="none" w:sz="0" w:space="0" w:color="auto"/>
        <w:right w:val="none" w:sz="0" w:space="0" w:color="auto"/>
      </w:divBdr>
    </w:div>
    <w:div w:id="1889796578">
      <w:bodyDiv w:val="1"/>
      <w:marLeft w:val="0"/>
      <w:marRight w:val="0"/>
      <w:marTop w:val="0"/>
      <w:marBottom w:val="0"/>
      <w:divBdr>
        <w:top w:val="none" w:sz="0" w:space="0" w:color="auto"/>
        <w:left w:val="none" w:sz="0" w:space="0" w:color="auto"/>
        <w:bottom w:val="none" w:sz="0" w:space="0" w:color="auto"/>
        <w:right w:val="none" w:sz="0" w:space="0" w:color="auto"/>
      </w:divBdr>
    </w:div>
    <w:div w:id="1900706837">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75250">
      <w:bodyDiv w:val="1"/>
      <w:marLeft w:val="0"/>
      <w:marRight w:val="0"/>
      <w:marTop w:val="0"/>
      <w:marBottom w:val="0"/>
      <w:divBdr>
        <w:top w:val="none" w:sz="0" w:space="0" w:color="auto"/>
        <w:left w:val="none" w:sz="0" w:space="0" w:color="auto"/>
        <w:bottom w:val="none" w:sz="0" w:space="0" w:color="auto"/>
        <w:right w:val="none" w:sz="0" w:space="0" w:color="auto"/>
      </w:divBdr>
    </w:div>
    <w:div w:id="1953784117">
      <w:bodyDiv w:val="1"/>
      <w:marLeft w:val="0"/>
      <w:marRight w:val="0"/>
      <w:marTop w:val="0"/>
      <w:marBottom w:val="0"/>
      <w:divBdr>
        <w:top w:val="none" w:sz="0" w:space="0" w:color="auto"/>
        <w:left w:val="none" w:sz="0" w:space="0" w:color="auto"/>
        <w:bottom w:val="none" w:sz="0" w:space="0" w:color="auto"/>
        <w:right w:val="none" w:sz="0" w:space="0" w:color="auto"/>
      </w:divBdr>
    </w:div>
    <w:div w:id="1980760746">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386172">
      <w:bodyDiv w:val="1"/>
      <w:marLeft w:val="0"/>
      <w:marRight w:val="0"/>
      <w:marTop w:val="0"/>
      <w:marBottom w:val="0"/>
      <w:divBdr>
        <w:top w:val="none" w:sz="0" w:space="0" w:color="auto"/>
        <w:left w:val="none" w:sz="0" w:space="0" w:color="auto"/>
        <w:bottom w:val="none" w:sz="0" w:space="0" w:color="auto"/>
        <w:right w:val="none" w:sz="0" w:space="0" w:color="auto"/>
      </w:divBdr>
    </w:div>
    <w:div w:id="2095200200">
      <w:bodyDiv w:val="1"/>
      <w:marLeft w:val="0"/>
      <w:marRight w:val="0"/>
      <w:marTop w:val="0"/>
      <w:marBottom w:val="0"/>
      <w:divBdr>
        <w:top w:val="none" w:sz="0" w:space="0" w:color="auto"/>
        <w:left w:val="none" w:sz="0" w:space="0" w:color="auto"/>
        <w:bottom w:val="none" w:sz="0" w:space="0" w:color="auto"/>
        <w:right w:val="none" w:sz="0" w:space="0" w:color="auto"/>
      </w:divBdr>
    </w:div>
    <w:div w:id="2101902198">
      <w:bodyDiv w:val="1"/>
      <w:marLeft w:val="0"/>
      <w:marRight w:val="0"/>
      <w:marTop w:val="0"/>
      <w:marBottom w:val="0"/>
      <w:divBdr>
        <w:top w:val="none" w:sz="0" w:space="0" w:color="auto"/>
        <w:left w:val="none" w:sz="0" w:space="0" w:color="auto"/>
        <w:bottom w:val="none" w:sz="0" w:space="0" w:color="auto"/>
        <w:right w:val="none" w:sz="0" w:space="0" w:color="auto"/>
      </w:divBdr>
    </w:div>
    <w:div w:id="2102682200">
      <w:bodyDiv w:val="1"/>
      <w:marLeft w:val="0"/>
      <w:marRight w:val="0"/>
      <w:marTop w:val="0"/>
      <w:marBottom w:val="0"/>
      <w:divBdr>
        <w:top w:val="none" w:sz="0" w:space="0" w:color="auto"/>
        <w:left w:val="none" w:sz="0" w:space="0" w:color="auto"/>
        <w:bottom w:val="none" w:sz="0" w:space="0" w:color="auto"/>
        <w:right w:val="none" w:sz="0" w:space="0" w:color="auto"/>
      </w:divBdr>
    </w:div>
    <w:div w:id="2111195253">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139369">
      <w:bodyDiv w:val="1"/>
      <w:marLeft w:val="0"/>
      <w:marRight w:val="0"/>
      <w:marTop w:val="0"/>
      <w:marBottom w:val="0"/>
      <w:divBdr>
        <w:top w:val="none" w:sz="0" w:space="0" w:color="auto"/>
        <w:left w:val="none" w:sz="0" w:space="0" w:color="auto"/>
        <w:bottom w:val="none" w:sz="0" w:space="0" w:color="auto"/>
        <w:right w:val="none" w:sz="0" w:space="0" w:color="auto"/>
      </w:divBdr>
    </w:div>
    <w:div w:id="2131822188">
      <w:bodyDiv w:val="1"/>
      <w:marLeft w:val="0"/>
      <w:marRight w:val="0"/>
      <w:marTop w:val="0"/>
      <w:marBottom w:val="0"/>
      <w:divBdr>
        <w:top w:val="none" w:sz="0" w:space="0" w:color="auto"/>
        <w:left w:val="none" w:sz="0" w:space="0" w:color="auto"/>
        <w:bottom w:val="none" w:sz="0" w:space="0" w:color="auto"/>
        <w:right w:val="none" w:sz="0" w:space="0" w:color="auto"/>
      </w:divBdr>
    </w:div>
    <w:div w:id="213393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4SQX5P7U7WPY-958212181-818661</_dlc_DocId>
    <_ip_UnifiedCompliancePolicyUIAction xmlns="http://schemas.microsoft.com/sharepoint/v3" xsi:nil="true"/>
    <_dlc_DocIdUrl xmlns="c890fddd-4e87-4e08-8b51-545f2a3f7b06">
      <Url>https://senpr.sharepoint.com/sites/obralegislativa/_layouts/15/DocIdRedir.aspx?ID=4SQX5P7U7WPY-958212181-818661</Url>
      <Description>4SQX5P7U7WPY-958212181-818661</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3.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4.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6.xml><?xml version="1.0" encoding="utf-8"?>
<ds:datastoreItem xmlns:ds="http://schemas.openxmlformats.org/officeDocument/2006/customXml" ds:itemID="{B99F812C-A276-4D0C-B378-DFD98FA8A8E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2</TotalTime>
  <Pages>10</Pages>
  <Words>3477</Words>
  <Characters>19443</Characters>
  <Application>Microsoft Office Word</Application>
  <DocSecurity>0</DocSecurity>
  <Lines>162</Lines>
  <Paragraphs>45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(Trámites y Récords)</cp:lastModifiedBy>
  <cp:revision>2</cp:revision>
  <cp:lastPrinted>2025-08-28T14:54:00Z</cp:lastPrinted>
  <dcterms:created xsi:type="dcterms:W3CDTF">2025-09-17T18:45:00Z</dcterms:created>
  <dcterms:modified xsi:type="dcterms:W3CDTF">2025-09-17T18:45:00Z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4bbdad30-0002-4567-b77e-69303ea94d6b</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