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4EF9BD13"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790330">
        <w:rPr>
          <w:rFonts w:ascii="Book Antiqua" w:eastAsia="Book Antiqua" w:hAnsi="Book Antiqua" w:cs="Book Antiqua"/>
          <w:b/>
          <w:sz w:val="52"/>
          <w:szCs w:val="52"/>
        </w:rPr>
        <w:t>97</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129100E4" w:rsidR="003867AC" w:rsidRPr="00700566" w:rsidRDefault="006943F2">
      <w:pPr>
        <w:spacing w:line="360" w:lineRule="auto"/>
        <w:jc w:val="center"/>
        <w:rPr>
          <w:rFonts w:ascii="Book Antiqua" w:eastAsia="Book Antiqua" w:hAnsi="Book Antiqua" w:cs="Book Antiqua"/>
          <w:b/>
        </w:rPr>
      </w:pPr>
      <w:r>
        <w:rPr>
          <w:rFonts w:ascii="Book Antiqua" w:eastAsia="Book Antiqua" w:hAnsi="Book Antiqua" w:cs="Book Antiqua"/>
        </w:rPr>
        <w:t>30</w:t>
      </w:r>
      <w:r w:rsidR="0085373F" w:rsidRPr="00700566">
        <w:rPr>
          <w:rFonts w:ascii="Book Antiqua" w:eastAsia="Book Antiqua" w:hAnsi="Book Antiqua" w:cs="Book Antiqua"/>
        </w:rPr>
        <w:t xml:space="preserve"> de </w:t>
      </w:r>
      <w:r w:rsidR="00790330">
        <w:rPr>
          <w:rFonts w:ascii="Book Antiqua" w:eastAsia="Book Antiqua" w:hAnsi="Book Antiqua" w:cs="Book Antiqua"/>
        </w:rPr>
        <w:t>octubre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34A8F2A4"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790330">
        <w:rPr>
          <w:rFonts w:ascii="Book Antiqua" w:eastAsia="Book Antiqua" w:hAnsi="Book Antiqua" w:cs="Book Antiqua"/>
          <w:color w:val="000000" w:themeColor="text1"/>
        </w:rPr>
        <w:t>97</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7C04B398" w:rsidR="003867AC" w:rsidRPr="00A343C6" w:rsidRDefault="009E6F04" w:rsidP="004C1B5A">
      <w:pPr>
        <w:ind w:firstLine="720"/>
        <w:jc w:val="both"/>
        <w:rPr>
          <w:rFonts w:ascii="Book Antiqua" w:hAnsi="Book Antiqua"/>
          <w:szCs w:val="24"/>
        </w:rPr>
      </w:pPr>
      <w:bookmarkStart w:id="0" w:name="_heading=h.gjdgxs" w:colFirst="0" w:colLast="0"/>
      <w:bookmarkEnd w:id="0"/>
      <w:r w:rsidRPr="00A343C6">
        <w:rPr>
          <w:rFonts w:ascii="Book Antiqua" w:eastAsia="Book Antiqua" w:hAnsi="Book Antiqua" w:cs="Book Antiqua"/>
          <w:color w:val="000000" w:themeColor="text1"/>
          <w:szCs w:val="24"/>
        </w:rPr>
        <w:t xml:space="preserve">La </w:t>
      </w:r>
      <w:r w:rsidR="00162E99" w:rsidRPr="00A343C6">
        <w:rPr>
          <w:rFonts w:ascii="Book Antiqua" w:eastAsia="Book Antiqua" w:hAnsi="Book Antiqua" w:cs="Book Antiqua"/>
          <w:color w:val="000000" w:themeColor="text1"/>
          <w:szCs w:val="24"/>
        </w:rPr>
        <w:t>Resolución</w:t>
      </w:r>
      <w:r w:rsidRPr="00A343C6">
        <w:rPr>
          <w:rFonts w:ascii="Book Antiqua" w:eastAsia="Book Antiqua" w:hAnsi="Book Antiqua" w:cs="Book Antiqua"/>
          <w:color w:val="000000" w:themeColor="text1"/>
          <w:szCs w:val="24"/>
        </w:rPr>
        <w:t xml:space="preserve"> Conj</w:t>
      </w:r>
      <w:r w:rsidR="00162E99" w:rsidRPr="00A343C6">
        <w:rPr>
          <w:rFonts w:ascii="Book Antiqua" w:eastAsia="Book Antiqua" w:hAnsi="Book Antiqua" w:cs="Book Antiqua"/>
          <w:color w:val="000000" w:themeColor="text1"/>
          <w:szCs w:val="24"/>
        </w:rPr>
        <w:t>unta de la Cámara</w:t>
      </w:r>
      <w:r w:rsidR="00A343C6">
        <w:rPr>
          <w:rFonts w:ascii="Book Antiqua" w:eastAsia="Book Antiqua" w:hAnsi="Book Antiqua" w:cs="Book Antiqua"/>
          <w:color w:val="000000" w:themeColor="text1"/>
          <w:szCs w:val="24"/>
        </w:rPr>
        <w:t xml:space="preserve"> Núm.</w:t>
      </w:r>
      <w:r w:rsidR="00162E99" w:rsidRPr="00A343C6">
        <w:rPr>
          <w:rFonts w:ascii="Book Antiqua" w:eastAsia="Book Antiqua" w:hAnsi="Book Antiqua" w:cs="Book Antiqua"/>
          <w:color w:val="000000" w:themeColor="text1"/>
          <w:szCs w:val="24"/>
        </w:rPr>
        <w:t xml:space="preserve"> 97 </w:t>
      </w:r>
      <w:r w:rsidR="00A343C6" w:rsidRPr="00A343C6">
        <w:rPr>
          <w:rFonts w:ascii="Book Antiqua" w:hAnsi="Book Antiqua"/>
          <w:szCs w:val="24"/>
        </w:rPr>
        <w:t>ordenar a la Autoridad de Carreteras y Transportación y al Departamento de Transportación y Obras Públicas de Puerto Rico realizar un estudio de tránsito entre la Carretera Estatal PR-177 (Avenida Los Filtros) y la intersección con la Carretera Estatal PR-833 (área del semáforo donde ubica el “Hogar Crea”) en el Municipio de Guaynabo, con el propósito de identificar alternativas viables dirigidas a descongestionar el tránsito de vehículos de motor en dicha área</w:t>
      </w:r>
      <w:r w:rsidR="00A343C6">
        <w:rPr>
          <w:rFonts w:ascii="Book Antiqua" w:hAnsi="Book Antiqua"/>
          <w:szCs w:val="24"/>
        </w:rPr>
        <w:t>.</w:t>
      </w:r>
    </w:p>
    <w:p w14:paraId="146C203E" w14:textId="77777777" w:rsidR="00D52A5D" w:rsidRDefault="00D52A5D" w:rsidP="004C1B5A">
      <w:pPr>
        <w:ind w:firstLine="720"/>
        <w:jc w:val="both"/>
        <w:rPr>
          <w:rFonts w:ascii="Book Antiqua" w:hAnsi="Book Antiqua"/>
          <w:szCs w:val="24"/>
        </w:rPr>
      </w:pPr>
    </w:p>
    <w:p w14:paraId="62CC4925" w14:textId="18FEC102" w:rsidR="008434BF" w:rsidRPr="008434BF" w:rsidRDefault="009E6F04" w:rsidP="008434BF">
      <w:pPr>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rPr>
        <w:t>Esta</w:t>
      </w:r>
      <w:r w:rsidR="008434BF" w:rsidRPr="008434BF">
        <w:rPr>
          <w:rFonts w:ascii="Book Antiqua" w:eastAsia="Book Antiqua" w:hAnsi="Book Antiqua" w:cs="Book Antiqua"/>
          <w:color w:val="000000" w:themeColor="text1"/>
          <w:szCs w:val="24"/>
          <w:lang w:val="es-PR"/>
        </w:rPr>
        <w:t xml:space="preserve"> Resolución Conjunta surge de la preocupación ciudadana por la congestión vehicular que se experimenta en el área entre la Carretera Estatal PR-177 (Avenida Los Filtros) y la intersección con la Carretera Estatal PR-833 (área del semáforo donde ubica el “Hogar Crea”), en el Municipio de Guaynabo. Según la exposición de motivos, la alta densidad residencial y comercial en la zona genera un flujo vehicular constante que afecta el tránsito diario y provoca riesgos a la seguridad de los conductores y peatones.</w:t>
      </w:r>
    </w:p>
    <w:p w14:paraId="521EFE83" w14:textId="77777777" w:rsidR="008434BF" w:rsidRPr="008434BF" w:rsidRDefault="008434BF" w:rsidP="008434BF">
      <w:pPr>
        <w:ind w:firstLine="720"/>
        <w:jc w:val="both"/>
        <w:rPr>
          <w:rFonts w:ascii="Book Antiqua" w:eastAsia="Book Antiqua" w:hAnsi="Book Antiqua" w:cs="Book Antiqua"/>
          <w:color w:val="000000" w:themeColor="text1"/>
          <w:szCs w:val="24"/>
          <w:lang w:val="es-PR"/>
        </w:rPr>
      </w:pPr>
    </w:p>
    <w:p w14:paraId="0A16BAEA" w14:textId="558A969B" w:rsidR="008434BF" w:rsidRPr="008434BF" w:rsidRDefault="008434BF" w:rsidP="008434BF">
      <w:pPr>
        <w:ind w:firstLine="720"/>
        <w:jc w:val="both"/>
        <w:rPr>
          <w:rFonts w:ascii="Book Antiqua" w:eastAsia="Book Antiqua" w:hAnsi="Book Antiqua" w:cs="Book Antiqua"/>
          <w:color w:val="000000" w:themeColor="text1"/>
          <w:szCs w:val="24"/>
          <w:lang w:val="es-PR"/>
        </w:rPr>
      </w:pPr>
      <w:r w:rsidRPr="008434BF">
        <w:rPr>
          <w:rFonts w:ascii="Book Antiqua" w:eastAsia="Book Antiqua" w:hAnsi="Book Antiqua" w:cs="Book Antiqua"/>
          <w:color w:val="000000" w:themeColor="text1"/>
          <w:szCs w:val="24"/>
          <w:lang w:val="es-PR"/>
        </w:rPr>
        <w:t xml:space="preserve">La medida propone ordenar a la Autoridad de Carreteras y Transportación (ACT) y al Departamento de Transportación y Obras Públicas (DTOP) a realizar un estudio sobre el tránsito en dicha intersección, y evaluar alternativas viables incluyendo la posible </w:t>
      </w:r>
      <w:r w:rsidRPr="008434BF">
        <w:rPr>
          <w:rFonts w:ascii="Book Antiqua" w:eastAsia="Book Antiqua" w:hAnsi="Book Antiqua" w:cs="Book Antiqua"/>
          <w:color w:val="000000" w:themeColor="text1"/>
          <w:szCs w:val="24"/>
          <w:lang w:val="es-PR"/>
        </w:rPr>
        <w:lastRenderedPageBreak/>
        <w:t>instalación de una rotonda</w:t>
      </w:r>
      <w:r>
        <w:rPr>
          <w:rFonts w:ascii="Book Antiqua" w:eastAsia="Book Antiqua" w:hAnsi="Book Antiqua" w:cs="Book Antiqua"/>
          <w:color w:val="000000" w:themeColor="text1"/>
          <w:szCs w:val="24"/>
          <w:lang w:val="es-PR"/>
        </w:rPr>
        <w:t xml:space="preserve"> </w:t>
      </w:r>
      <w:r w:rsidRPr="008434BF">
        <w:rPr>
          <w:rFonts w:ascii="Book Antiqua" w:eastAsia="Book Antiqua" w:hAnsi="Book Antiqua" w:cs="Book Antiqua"/>
          <w:color w:val="000000" w:themeColor="text1"/>
          <w:szCs w:val="24"/>
          <w:lang w:val="es-PR"/>
        </w:rPr>
        <w:t>para descongestionar la vía y mejorar la seguridad vial. El estudio deberá completarse en o antes de 180 días y se autoriza a ambas entidades a adoptar las normas internas necesarias para cumplir con los fines de esta resolución.</w:t>
      </w:r>
    </w:p>
    <w:p w14:paraId="715A6225" w14:textId="77777777" w:rsidR="00D52A5D" w:rsidRPr="00D52A5D" w:rsidRDefault="00D52A5D" w:rsidP="004C1B5A">
      <w:pPr>
        <w:ind w:firstLine="720"/>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3AD6E68B"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2205F4">
        <w:rPr>
          <w:rFonts w:ascii="Book Antiqua" w:eastAsia="Book Antiqua" w:hAnsi="Book Antiqua" w:cs="Book Antiqua"/>
        </w:rPr>
        <w:t>97</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w:t>
      </w:r>
      <w:r w:rsidR="002205F4">
        <w:rPr>
          <w:rFonts w:ascii="Book Antiqua" w:eastAsia="Book Antiqua" w:hAnsi="Book Antiqua" w:cs="Book Antiqua"/>
        </w:rPr>
        <w:t>es</w:t>
      </w:r>
      <w:r>
        <w:rPr>
          <w:rFonts w:ascii="Book Antiqua" w:eastAsia="Book Antiqua" w:hAnsi="Book Antiqua" w:cs="Book Antiqua"/>
        </w:rPr>
        <w:t xml:space="preserve"> explicativo</w:t>
      </w:r>
      <w:r w:rsidR="002205F4">
        <w:rPr>
          <w:rFonts w:ascii="Book Antiqua" w:eastAsia="Book Antiqua" w:hAnsi="Book Antiqua" w:cs="Book Antiqua"/>
        </w:rPr>
        <w:t>s desde</w:t>
      </w:r>
      <w:r w:rsidR="00627800">
        <w:rPr>
          <w:rFonts w:ascii="Book Antiqua" w:eastAsia="Book Antiqua" w:hAnsi="Book Antiqua" w:cs="Book Antiqua"/>
        </w:rPr>
        <w:t xml:space="preserve"> el mes de abril</w:t>
      </w:r>
      <w:r w:rsidR="00EC70DA">
        <w:rPr>
          <w:rFonts w:ascii="Book Antiqua" w:eastAsia="Book Antiqua" w:hAnsi="Book Antiqua" w:cs="Book Antiqua"/>
        </w:rPr>
        <w:t xml:space="preserve"> </w:t>
      </w:r>
      <w:r w:rsidR="008E0700">
        <w:rPr>
          <w:rFonts w:ascii="Book Antiqua" w:eastAsia="Book Antiqua" w:hAnsi="Book Antiqua" w:cs="Book Antiqua"/>
        </w:rPr>
        <w:t>al Departamento de Transportación y Obras Públicas</w:t>
      </w:r>
      <w:r w:rsidR="00074381">
        <w:rPr>
          <w:rFonts w:ascii="Book Antiqua" w:eastAsia="Book Antiqua" w:hAnsi="Book Antiqua" w:cs="Book Antiqua"/>
        </w:rPr>
        <w:t xml:space="preserve"> (DTOP)</w:t>
      </w:r>
      <w:r w:rsidR="00627800">
        <w:rPr>
          <w:rFonts w:ascii="Book Antiqua" w:eastAsia="Book Antiqua" w:hAnsi="Book Antiqua" w:cs="Book Antiqua"/>
        </w:rPr>
        <w:t xml:space="preserve">, Autoridad de Carreteras y Transportacion </w:t>
      </w:r>
      <w:r w:rsidR="00E21032">
        <w:rPr>
          <w:rFonts w:ascii="Book Antiqua" w:eastAsia="Book Antiqua" w:hAnsi="Book Antiqua" w:cs="Book Antiqua"/>
        </w:rPr>
        <w:t>(ACT) y el Municipio de Guaynabo</w:t>
      </w:r>
      <w:r w:rsidR="008E0700">
        <w:rPr>
          <w:rFonts w:ascii="Book Antiqua" w:eastAsia="Book Antiqua" w:hAnsi="Book Antiqua" w:cs="Book Antiqua"/>
        </w:rPr>
        <w:t xml:space="preserve">. </w:t>
      </w:r>
      <w:r w:rsidR="00E21032">
        <w:rPr>
          <w:rFonts w:ascii="Book Antiqua" w:eastAsia="Book Antiqua" w:hAnsi="Book Antiqua" w:cs="Book Antiqua"/>
        </w:rPr>
        <w:t>Al momento de la redacción de este informe, solo la Oficina de Servicios Legisla</w:t>
      </w:r>
      <w:r w:rsidR="00E640A8">
        <w:rPr>
          <w:rFonts w:ascii="Book Antiqua" w:eastAsia="Book Antiqua" w:hAnsi="Book Antiqua" w:cs="Book Antiqua"/>
        </w:rPr>
        <w:t xml:space="preserve">tivos (OSL) envió sus comentarios.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4031EE75" w:rsidR="00DC6066" w:rsidRDefault="00E640A8" w:rsidP="00074381">
      <w:pPr>
        <w:jc w:val="center"/>
        <w:rPr>
          <w:rFonts w:ascii="Book Antiqua" w:hAnsi="Book Antiqua"/>
          <w:b/>
          <w:bCs/>
          <w:color w:val="000000" w:themeColor="text1"/>
          <w:u w:val="single"/>
        </w:rPr>
      </w:pPr>
      <w:r>
        <w:rPr>
          <w:rFonts w:ascii="Book Antiqua" w:hAnsi="Book Antiqua"/>
          <w:b/>
          <w:bCs/>
          <w:color w:val="000000" w:themeColor="text1"/>
          <w:u w:val="single"/>
        </w:rPr>
        <w:t>Oficina de Servicios Legislativos (OSL)</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7DD61B6F" w14:textId="77777777" w:rsidR="009E3E69" w:rsidRPr="00610BDF" w:rsidRDefault="007E0FCE" w:rsidP="009E3E69">
      <w:pPr>
        <w:jc w:val="both"/>
        <w:rPr>
          <w:rFonts w:ascii="Book Antiqua" w:hAnsi="Book Antiqua"/>
          <w:color w:val="000000" w:themeColor="text1"/>
          <w:lang w:val="es-PR"/>
        </w:rPr>
      </w:pPr>
      <w:r>
        <w:rPr>
          <w:rFonts w:ascii="Book Antiqua" w:hAnsi="Book Antiqua"/>
          <w:color w:val="000000" w:themeColor="text1"/>
        </w:rPr>
        <w:tab/>
      </w:r>
      <w:r w:rsidR="009E3E69" w:rsidRPr="009E3E69">
        <w:rPr>
          <w:rFonts w:ascii="Book Antiqua" w:hAnsi="Book Antiqua"/>
          <w:color w:val="000000" w:themeColor="text1"/>
          <w:lang w:val="es-PR"/>
        </w:rPr>
        <w:t xml:space="preserve">La Oficina de Servicios Legislativos (OSL) sometió un memorial explicativo en el cual concluye que no existe impedimento legal para la aprobación de la medida. </w:t>
      </w:r>
      <w:r w:rsidR="009E3E69" w:rsidRPr="00610BDF">
        <w:rPr>
          <w:rFonts w:ascii="Book Antiqua" w:hAnsi="Book Antiqua"/>
          <w:color w:val="000000" w:themeColor="text1"/>
          <w:lang w:val="es-PR"/>
        </w:rPr>
        <w:t>OSL resalta que las funciones delegadas por ley tanto a ACT como a DTOP incluyen la conservación, planificación y mejora del tránsito en las carreteras del país, por lo que el requerimiento de la R. C. de la C. 97 es totalmente compatible con su marco legal y administrativo.</w:t>
      </w:r>
    </w:p>
    <w:p w14:paraId="19E7707B" w14:textId="77777777" w:rsidR="009E3E69" w:rsidRPr="009E3E69" w:rsidRDefault="009E3E69" w:rsidP="009E3E69">
      <w:pPr>
        <w:jc w:val="both"/>
        <w:rPr>
          <w:rFonts w:ascii="Book Antiqua" w:hAnsi="Book Antiqua"/>
          <w:color w:val="000000" w:themeColor="text1"/>
          <w:lang w:val="es-PR"/>
        </w:rPr>
      </w:pPr>
    </w:p>
    <w:p w14:paraId="5ED2DB99" w14:textId="77777777" w:rsidR="009E3E69" w:rsidRPr="009E3E69" w:rsidRDefault="009E3E69" w:rsidP="00610BDF">
      <w:pPr>
        <w:ind w:firstLine="720"/>
        <w:jc w:val="both"/>
        <w:rPr>
          <w:rFonts w:ascii="Book Antiqua" w:hAnsi="Book Antiqua"/>
          <w:color w:val="000000" w:themeColor="text1"/>
          <w:lang w:val="es-PR"/>
        </w:rPr>
      </w:pPr>
      <w:r w:rsidRPr="009E3E69">
        <w:rPr>
          <w:rFonts w:ascii="Book Antiqua" w:hAnsi="Book Antiqua"/>
          <w:color w:val="000000" w:themeColor="text1"/>
          <w:lang w:val="es-PR"/>
        </w:rPr>
        <w:t>El análisis de OSL también destaca que la congestión vehicular en la zona constituye una problemática real que afecta la calidad de vida en el área metropolitana y que amerita ser atendida mediante evaluaciones técnicas como las que ordena esta medida. Además, la resolución es cónsona con acciones legislativas previas aprobadas para estudiar intersecciones similares por razones de seguridad y eficiencia vial.</w:t>
      </w:r>
    </w:p>
    <w:p w14:paraId="71C342F7" w14:textId="5A3F7045" w:rsidR="00333C82" w:rsidRPr="00333C82" w:rsidRDefault="00333C82" w:rsidP="009E3E69">
      <w:pPr>
        <w:jc w:val="both"/>
        <w:rPr>
          <w:rFonts w:ascii="Book Antiqua" w:hAnsi="Book Antiqua"/>
          <w:color w:val="000000" w:themeColor="text1"/>
          <w:lang w:val="es-PR"/>
        </w:rPr>
      </w:pPr>
    </w:p>
    <w:p w14:paraId="1C222181" w14:textId="6AECE19C" w:rsidR="00DA2B1C" w:rsidRDefault="00DA2B1C" w:rsidP="00333C82">
      <w:pPr>
        <w:jc w:val="both"/>
        <w:rPr>
          <w:rFonts w:ascii="Book Antiqua" w:hAnsi="Book Antiqua"/>
          <w:color w:val="000000" w:themeColor="text1"/>
          <w:lang w:val="es-PR"/>
        </w:rPr>
      </w:pPr>
    </w:p>
    <w:p w14:paraId="1DEF7D2C" w14:textId="77777777" w:rsidR="006D5E63" w:rsidRDefault="006D5E63" w:rsidP="00A44A22">
      <w:pPr>
        <w:ind w:firstLine="720"/>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Default="006D110C" w:rsidP="006D5E63">
      <w:pPr>
        <w:jc w:val="both"/>
        <w:rPr>
          <w:rFonts w:ascii="Book Antiqua" w:hAnsi="Book Antiqua"/>
          <w:color w:val="000000" w:themeColor="text1"/>
          <w:lang w:val="es-PR"/>
        </w:rPr>
      </w:pPr>
    </w:p>
    <w:p w14:paraId="2112696F" w14:textId="77777777" w:rsidR="00610BDF" w:rsidRDefault="00610BDF" w:rsidP="006D5E63">
      <w:pPr>
        <w:jc w:val="both"/>
        <w:rPr>
          <w:rFonts w:ascii="Book Antiqua" w:hAnsi="Book Antiqua"/>
          <w:color w:val="000000" w:themeColor="text1"/>
          <w:lang w:val="es-PR"/>
        </w:rPr>
      </w:pPr>
    </w:p>
    <w:p w14:paraId="3567FC46" w14:textId="77777777" w:rsidR="00610BDF" w:rsidRDefault="00610BDF" w:rsidP="006D5E63">
      <w:pPr>
        <w:jc w:val="both"/>
        <w:rPr>
          <w:rFonts w:ascii="Book Antiqua" w:hAnsi="Book Antiqua"/>
          <w:color w:val="000000" w:themeColor="text1"/>
          <w:lang w:val="es-PR"/>
        </w:rPr>
      </w:pPr>
    </w:p>
    <w:p w14:paraId="21B97967" w14:textId="77777777" w:rsidR="00610BDF" w:rsidRDefault="00610BDF" w:rsidP="006D5E63">
      <w:pPr>
        <w:jc w:val="both"/>
        <w:rPr>
          <w:rFonts w:ascii="Book Antiqua" w:hAnsi="Book Antiqua"/>
          <w:color w:val="000000" w:themeColor="text1"/>
          <w:lang w:val="es-PR"/>
        </w:rPr>
      </w:pPr>
    </w:p>
    <w:p w14:paraId="5595CDC1" w14:textId="77777777" w:rsidR="00610BDF" w:rsidRPr="006D5E63" w:rsidRDefault="00610BDF"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44EE98D9" w14:textId="28494911" w:rsidR="005A68D3" w:rsidRPr="000608B5" w:rsidRDefault="00987C5A" w:rsidP="005A68D3">
      <w:pPr>
        <w:ind w:firstLine="720"/>
        <w:jc w:val="both"/>
        <w:rPr>
          <w:rFonts w:ascii="Book Antiqua" w:hAnsi="Book Antiqua"/>
          <w:lang w:val="es-PR"/>
        </w:rPr>
      </w:pPr>
      <w:r w:rsidRPr="000608B5">
        <w:rPr>
          <w:rFonts w:ascii="Book Antiqua" w:eastAsia="Book Antiqua" w:hAnsi="Book Antiqua" w:cs="Book Antiqua"/>
        </w:rPr>
        <w:t xml:space="preserve">La Comisión de Transportación e Infraestructura, luego de evaluar la Resolución Conjunta de la Cámara Núm. </w:t>
      </w:r>
      <w:r w:rsidR="00806873" w:rsidRPr="000608B5">
        <w:rPr>
          <w:rFonts w:ascii="Book Antiqua" w:eastAsia="Book Antiqua" w:hAnsi="Book Antiqua" w:cs="Book Antiqua"/>
        </w:rPr>
        <w:t>97</w:t>
      </w:r>
      <w:r w:rsidRPr="000608B5">
        <w:rPr>
          <w:rFonts w:ascii="Book Antiqua" w:eastAsia="Book Antiqua" w:hAnsi="Book Antiqua" w:cs="Book Antiqua"/>
        </w:rPr>
        <w:t>,</w:t>
      </w:r>
      <w:r w:rsidR="00E606CC" w:rsidRPr="000608B5">
        <w:rPr>
          <w:rFonts w:ascii="Book Antiqua" w:hAnsi="Book Antiqua"/>
        </w:rPr>
        <w:t xml:space="preserve"> </w:t>
      </w:r>
      <w:r w:rsidR="00806873" w:rsidRPr="000608B5">
        <w:rPr>
          <w:rFonts w:ascii="Book Antiqua" w:hAnsi="Book Antiqua"/>
        </w:rPr>
        <w:t xml:space="preserve">entiende que </w:t>
      </w:r>
      <w:r w:rsidR="005A68D3" w:rsidRPr="000608B5">
        <w:rPr>
          <w:rFonts w:ascii="Book Antiqua" w:hAnsi="Book Antiqua"/>
          <w:lang w:val="es-PR"/>
        </w:rPr>
        <w:t>la medida es meritoria y responde a una necesidad legítima de planificación vial y seguridad en el Municipio de Guaynabo. La congestión vehicular en la zona de la Avenida Los Filtros y la intersección con la PR-833 representa un problema que impacta directamente la movilidad, la seguridad de los conductores y el desarrollo ordenado del área.</w:t>
      </w:r>
    </w:p>
    <w:p w14:paraId="04EB59A5" w14:textId="77777777" w:rsidR="00806873" w:rsidRPr="000608B5" w:rsidRDefault="00806873" w:rsidP="005A68D3">
      <w:pPr>
        <w:ind w:firstLine="720"/>
        <w:jc w:val="both"/>
        <w:rPr>
          <w:rFonts w:ascii="Book Antiqua" w:hAnsi="Book Antiqua"/>
          <w:lang w:val="es-PR"/>
        </w:rPr>
      </w:pPr>
    </w:p>
    <w:p w14:paraId="5744C945" w14:textId="71C440A8" w:rsidR="009B476A" w:rsidRPr="000608B5" w:rsidRDefault="005A68D3" w:rsidP="00806873">
      <w:pPr>
        <w:ind w:firstLine="720"/>
        <w:jc w:val="both"/>
        <w:rPr>
          <w:rFonts w:ascii="Book Antiqua" w:hAnsi="Book Antiqua"/>
          <w:lang w:val="es-PR"/>
        </w:rPr>
      </w:pPr>
      <w:r w:rsidRPr="000608B5">
        <w:rPr>
          <w:rFonts w:ascii="Book Antiqua" w:hAnsi="Book Antiqua"/>
          <w:lang w:val="es-PR"/>
        </w:rPr>
        <w:t xml:space="preserve">La Comisión reconoce que el estudio propuesto proveerá información técnica esencial para la identificación de soluciones sostenibles, incluyendo la posibilidad de rediseñar la intersección o implementar otras medidas de control de tránsito. </w:t>
      </w:r>
    </w:p>
    <w:p w14:paraId="6F7F137F" w14:textId="024F1F46" w:rsidR="00D862EE" w:rsidRPr="000608B5" w:rsidRDefault="00D862EE" w:rsidP="00454E88">
      <w:pPr>
        <w:jc w:val="both"/>
        <w:rPr>
          <w:rFonts w:ascii="Book Antiqua" w:eastAsia="Book Antiqua" w:hAnsi="Book Antiqua" w:cs="Book Antiqua"/>
        </w:rPr>
      </w:pPr>
    </w:p>
    <w:p w14:paraId="00000025" w14:textId="7B76FD23" w:rsidR="003867AC" w:rsidRPr="000608B5" w:rsidRDefault="0085373F" w:rsidP="004C1B5A">
      <w:pPr>
        <w:ind w:firstLine="720"/>
        <w:jc w:val="both"/>
        <w:rPr>
          <w:rFonts w:ascii="Book Antiqua" w:eastAsia="Book Antiqua" w:hAnsi="Book Antiqua" w:cs="Book Antiqua"/>
        </w:rPr>
      </w:pPr>
      <w:r w:rsidRPr="000608B5">
        <w:rPr>
          <w:rFonts w:ascii="Book Antiqua" w:eastAsia="Book Antiqua" w:hAnsi="Book Antiqua" w:cs="Book Antiqua"/>
        </w:rPr>
        <w:t>Por los fundamentos antes expuestos, la Comisión de Transportación e Infraestructura, somete el presente Informe Positivo</w:t>
      </w:r>
      <w:r w:rsidR="00785D01" w:rsidRPr="000608B5">
        <w:rPr>
          <w:rFonts w:ascii="Book Antiqua" w:eastAsia="Book Antiqua" w:hAnsi="Book Antiqua" w:cs="Book Antiqua"/>
        </w:rPr>
        <w:t xml:space="preserve"> de la Resolución Conjunta de la Cámara Núm. </w:t>
      </w:r>
      <w:r w:rsidR="00B73354" w:rsidRPr="000608B5">
        <w:rPr>
          <w:rFonts w:ascii="Book Antiqua" w:eastAsia="Book Antiqua" w:hAnsi="Book Antiqua" w:cs="Book Antiqua"/>
        </w:rPr>
        <w:t>97</w:t>
      </w:r>
      <w:r w:rsidRPr="000608B5">
        <w:rPr>
          <w:rFonts w:ascii="Book Antiqua" w:eastAsia="Book Antiqua" w:hAnsi="Book Antiqua" w:cs="Book Antiqua"/>
        </w:rPr>
        <w:t xml:space="preserve"> en el que recomendamos a este Honorable Cuerpo </w:t>
      </w:r>
      <w:r w:rsidR="00142992" w:rsidRPr="000608B5">
        <w:rPr>
          <w:rFonts w:ascii="Book Antiqua" w:eastAsia="Book Antiqua" w:hAnsi="Book Antiqua" w:cs="Book Antiqua"/>
        </w:rPr>
        <w:t>su</w:t>
      </w:r>
      <w:r w:rsidRPr="000608B5">
        <w:rPr>
          <w:rFonts w:ascii="Book Antiqua" w:eastAsia="Book Antiqua" w:hAnsi="Book Antiqua" w:cs="Book Antiqua"/>
        </w:rPr>
        <w:t xml:space="preserve"> aprobación</w:t>
      </w:r>
      <w:r w:rsidR="00142992" w:rsidRPr="000608B5">
        <w:rPr>
          <w:rFonts w:ascii="Book Antiqua" w:eastAsia="Book Antiqua" w:hAnsi="Book Antiqua" w:cs="Book Antiqua"/>
        </w:rPr>
        <w:t>,</w:t>
      </w:r>
      <w:r w:rsidRPr="000608B5">
        <w:rPr>
          <w:rFonts w:ascii="Book Antiqua" w:eastAsia="Book Antiqua" w:hAnsi="Book Antiqua" w:cs="Book Antiqua"/>
        </w:rPr>
        <w:t xml:space="preserve"> con enmiendas</w:t>
      </w:r>
      <w:r w:rsidR="00142992" w:rsidRPr="000608B5">
        <w:rPr>
          <w:rFonts w:ascii="Book Antiqua" w:eastAsia="Book Antiqua" w:hAnsi="Book Antiqua" w:cs="Book Antiqua"/>
        </w:rPr>
        <w:t xml:space="preserve"> incluidas en el </w:t>
      </w:r>
      <w:proofErr w:type="spellStart"/>
      <w:r w:rsidR="00142992" w:rsidRPr="000608B5">
        <w:rPr>
          <w:rFonts w:ascii="Book Antiqua" w:eastAsia="Book Antiqua" w:hAnsi="Book Antiqua" w:cs="Book Antiqua"/>
        </w:rPr>
        <w:t>entirillado</w:t>
      </w:r>
      <w:proofErr w:type="spellEnd"/>
      <w:r w:rsidR="00142992" w:rsidRPr="000608B5">
        <w:rPr>
          <w:rFonts w:ascii="Book Antiqua" w:eastAsia="Book Antiqua" w:hAnsi="Book Antiqua" w:cs="Book Antiqua"/>
        </w:rPr>
        <w:t xml:space="preserve"> electrónico que se acompaña</w:t>
      </w:r>
      <w:r w:rsidRPr="000608B5">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E2E7" w14:textId="77777777" w:rsidR="00B83F9F" w:rsidRDefault="00B83F9F">
      <w:r>
        <w:separator/>
      </w:r>
    </w:p>
  </w:endnote>
  <w:endnote w:type="continuationSeparator" w:id="0">
    <w:p w14:paraId="60AA212F" w14:textId="77777777" w:rsidR="00B83F9F" w:rsidRDefault="00B8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E55ECE1-2FD3-449A-ABD7-895378EF490B}"/>
  </w:font>
  <w:font w:name="Helvetica">
    <w:panose1 w:val="020B0604020202020204"/>
    <w:charset w:val="00"/>
    <w:family w:val="swiss"/>
    <w:pitch w:val="variable"/>
    <w:sig w:usb0="E0002EFF" w:usb1="C000785B" w:usb2="00000009" w:usb3="00000000" w:csb0="000001FF" w:csb1="00000000"/>
    <w:embedRegular r:id="rId2" w:fontKey="{0580F41C-DB03-4063-99C2-CB20C7ECE4FC}"/>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221A6CCA-CCE3-49CF-81C0-F7B9C2421C2A}"/>
  </w:font>
  <w:font w:name="Georgia">
    <w:panose1 w:val="02040502050405020303"/>
    <w:charset w:val="00"/>
    <w:family w:val="roman"/>
    <w:pitch w:val="variable"/>
    <w:sig w:usb0="00000287" w:usb1="00000000" w:usb2="00000000" w:usb3="00000000" w:csb0="0000009F" w:csb1="00000000"/>
    <w:embedRegular r:id="rId4" w:fontKey="{98C64CA3-F945-434D-AECC-63CB2CCD2C51}"/>
    <w:embedItalic r:id="rId5" w:fontKey="{6A3D4A6C-7BF7-4516-A150-91C060E7C572}"/>
  </w:font>
  <w:font w:name="Book Antiqua">
    <w:panose1 w:val="02040602050305030304"/>
    <w:charset w:val="00"/>
    <w:family w:val="roman"/>
    <w:pitch w:val="variable"/>
    <w:sig w:usb0="00000287" w:usb1="00000000" w:usb2="00000000" w:usb3="00000000" w:csb0="0000009F" w:csb1="00000000"/>
    <w:embedRegular r:id="rId6" w:fontKey="{C88D97B9-53D3-4B1B-B0B4-C3C0C86508E5}"/>
    <w:embedBold r:id="rId7" w:fontKey="{0A6C5476-A627-4E19-93C9-3AD63BEF279B}"/>
  </w:font>
  <w:font w:name="Helvetica Neue">
    <w:charset w:val="00"/>
    <w:family w:val="auto"/>
    <w:pitch w:val="default"/>
    <w:embedRegular r:id="rId8" w:fontKey="{6F2A08CE-7A0E-473B-92DA-F2C6C5253A4F}"/>
  </w:font>
  <w:font w:name="Lustria">
    <w:altName w:val="Calibri"/>
    <w:charset w:val="00"/>
    <w:family w:val="auto"/>
    <w:pitch w:val="default"/>
    <w:embedRegular r:id="rId9" w:fontKey="{F6A38151-E8D8-49A1-8DE2-C6F2DC963F71}"/>
    <w:embedBoldItalic r:id="rId10" w:fontKey="{26A46300-0A3B-4A7F-A8F9-CA4A49878C70}"/>
  </w:font>
  <w:font w:name="Cambria">
    <w:panose1 w:val="02040503050406030204"/>
    <w:charset w:val="00"/>
    <w:family w:val="roman"/>
    <w:pitch w:val="variable"/>
    <w:sig w:usb0="E00006FF" w:usb1="420024FF" w:usb2="02000000" w:usb3="00000000" w:csb0="0000019F" w:csb1="00000000"/>
    <w:embedRegular r:id="rId11" w:fontKey="{64E75B08-4D5F-4D66-BCA2-5A8051B8604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F3B4" w14:textId="77777777" w:rsidR="00B83F9F" w:rsidRDefault="00B83F9F">
      <w:r>
        <w:separator/>
      </w:r>
    </w:p>
  </w:footnote>
  <w:footnote w:type="continuationSeparator" w:id="0">
    <w:p w14:paraId="6CF0CF4B" w14:textId="77777777" w:rsidR="00B83F9F" w:rsidRDefault="00B83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66346116"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2205F4">
      <w:rPr>
        <w:rFonts w:ascii="Lustria" w:eastAsia="Lustria" w:hAnsi="Lustria" w:cs="Lustria"/>
        <w:b/>
        <w:i/>
        <w:sz w:val="22"/>
        <w:szCs w:val="22"/>
      </w:rPr>
      <w:t>97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716B"/>
    <w:rsid w:val="000474BF"/>
    <w:rsid w:val="0005078D"/>
    <w:rsid w:val="000608B5"/>
    <w:rsid w:val="00073383"/>
    <w:rsid w:val="00074381"/>
    <w:rsid w:val="00081999"/>
    <w:rsid w:val="000954FA"/>
    <w:rsid w:val="000A24B5"/>
    <w:rsid w:val="000D0AEC"/>
    <w:rsid w:val="000D6E2D"/>
    <w:rsid w:val="001120D5"/>
    <w:rsid w:val="00123556"/>
    <w:rsid w:val="0012621A"/>
    <w:rsid w:val="00136F66"/>
    <w:rsid w:val="00142992"/>
    <w:rsid w:val="00162E99"/>
    <w:rsid w:val="00166443"/>
    <w:rsid w:val="00166DBA"/>
    <w:rsid w:val="001740BA"/>
    <w:rsid w:val="001B7B4C"/>
    <w:rsid w:val="001D2E22"/>
    <w:rsid w:val="001E27E2"/>
    <w:rsid w:val="001F4438"/>
    <w:rsid w:val="002205F4"/>
    <w:rsid w:val="0022375C"/>
    <w:rsid w:val="00223F0B"/>
    <w:rsid w:val="002360DD"/>
    <w:rsid w:val="0025299B"/>
    <w:rsid w:val="00262649"/>
    <w:rsid w:val="00294E5A"/>
    <w:rsid w:val="002F1B49"/>
    <w:rsid w:val="00330BEF"/>
    <w:rsid w:val="00333C82"/>
    <w:rsid w:val="00336056"/>
    <w:rsid w:val="00337D03"/>
    <w:rsid w:val="0036416B"/>
    <w:rsid w:val="00371165"/>
    <w:rsid w:val="003867AC"/>
    <w:rsid w:val="003C7C26"/>
    <w:rsid w:val="003D5C07"/>
    <w:rsid w:val="003E1347"/>
    <w:rsid w:val="0043560D"/>
    <w:rsid w:val="00452828"/>
    <w:rsid w:val="00454E88"/>
    <w:rsid w:val="00465ECA"/>
    <w:rsid w:val="00483EF1"/>
    <w:rsid w:val="004C1B5A"/>
    <w:rsid w:val="004D4B21"/>
    <w:rsid w:val="00507562"/>
    <w:rsid w:val="00515AD9"/>
    <w:rsid w:val="00517E2C"/>
    <w:rsid w:val="005416C7"/>
    <w:rsid w:val="0054777A"/>
    <w:rsid w:val="00563BA1"/>
    <w:rsid w:val="00577950"/>
    <w:rsid w:val="00577FD5"/>
    <w:rsid w:val="005A68D3"/>
    <w:rsid w:val="005E1146"/>
    <w:rsid w:val="005F333D"/>
    <w:rsid w:val="00610BDF"/>
    <w:rsid w:val="006212C5"/>
    <w:rsid w:val="00627800"/>
    <w:rsid w:val="006943F2"/>
    <w:rsid w:val="006A27D3"/>
    <w:rsid w:val="006D110C"/>
    <w:rsid w:val="006D5E63"/>
    <w:rsid w:val="00700566"/>
    <w:rsid w:val="007017B9"/>
    <w:rsid w:val="00726DD5"/>
    <w:rsid w:val="007276A1"/>
    <w:rsid w:val="00734787"/>
    <w:rsid w:val="0076596B"/>
    <w:rsid w:val="00770E7B"/>
    <w:rsid w:val="00782181"/>
    <w:rsid w:val="00785D01"/>
    <w:rsid w:val="00790330"/>
    <w:rsid w:val="007C60D2"/>
    <w:rsid w:val="007D7D6A"/>
    <w:rsid w:val="007E0FCE"/>
    <w:rsid w:val="00806873"/>
    <w:rsid w:val="008258F9"/>
    <w:rsid w:val="008355BE"/>
    <w:rsid w:val="008434BF"/>
    <w:rsid w:val="0085373F"/>
    <w:rsid w:val="0087061E"/>
    <w:rsid w:val="008E0700"/>
    <w:rsid w:val="008F30F0"/>
    <w:rsid w:val="009078E7"/>
    <w:rsid w:val="00914A7F"/>
    <w:rsid w:val="0094342D"/>
    <w:rsid w:val="00943961"/>
    <w:rsid w:val="00965742"/>
    <w:rsid w:val="00987C5A"/>
    <w:rsid w:val="009A5A17"/>
    <w:rsid w:val="009B476A"/>
    <w:rsid w:val="009C2352"/>
    <w:rsid w:val="009E3E69"/>
    <w:rsid w:val="009E6F04"/>
    <w:rsid w:val="009F0BB7"/>
    <w:rsid w:val="00A343C6"/>
    <w:rsid w:val="00A42594"/>
    <w:rsid w:val="00A44A22"/>
    <w:rsid w:val="00A75C45"/>
    <w:rsid w:val="00AC77D8"/>
    <w:rsid w:val="00AD5D26"/>
    <w:rsid w:val="00AF6BB6"/>
    <w:rsid w:val="00B03AA1"/>
    <w:rsid w:val="00B172FA"/>
    <w:rsid w:val="00B32650"/>
    <w:rsid w:val="00B54CC1"/>
    <w:rsid w:val="00B61637"/>
    <w:rsid w:val="00B73354"/>
    <w:rsid w:val="00B83F9F"/>
    <w:rsid w:val="00B90788"/>
    <w:rsid w:val="00B94F42"/>
    <w:rsid w:val="00C3772E"/>
    <w:rsid w:val="00C577BB"/>
    <w:rsid w:val="00C86EC0"/>
    <w:rsid w:val="00C9741A"/>
    <w:rsid w:val="00CB45A2"/>
    <w:rsid w:val="00CC0F52"/>
    <w:rsid w:val="00CE31D2"/>
    <w:rsid w:val="00CE34E6"/>
    <w:rsid w:val="00CE3E07"/>
    <w:rsid w:val="00CE5944"/>
    <w:rsid w:val="00D14ED7"/>
    <w:rsid w:val="00D4238A"/>
    <w:rsid w:val="00D51C4E"/>
    <w:rsid w:val="00D52A5D"/>
    <w:rsid w:val="00D7350C"/>
    <w:rsid w:val="00D74285"/>
    <w:rsid w:val="00D862EE"/>
    <w:rsid w:val="00D92BD8"/>
    <w:rsid w:val="00DA0DAF"/>
    <w:rsid w:val="00DA2B1C"/>
    <w:rsid w:val="00DB2246"/>
    <w:rsid w:val="00DC6066"/>
    <w:rsid w:val="00DD6D1E"/>
    <w:rsid w:val="00DE6D37"/>
    <w:rsid w:val="00DF2F20"/>
    <w:rsid w:val="00E04691"/>
    <w:rsid w:val="00E1221C"/>
    <w:rsid w:val="00E13DED"/>
    <w:rsid w:val="00E20394"/>
    <w:rsid w:val="00E21032"/>
    <w:rsid w:val="00E27ECE"/>
    <w:rsid w:val="00E34937"/>
    <w:rsid w:val="00E606CC"/>
    <w:rsid w:val="00E611E8"/>
    <w:rsid w:val="00E640A8"/>
    <w:rsid w:val="00EB0218"/>
    <w:rsid w:val="00EC70DA"/>
    <w:rsid w:val="00EE4E71"/>
    <w:rsid w:val="00F2205D"/>
    <w:rsid w:val="00F42078"/>
    <w:rsid w:val="00F841A9"/>
    <w:rsid w:val="00F86041"/>
    <w:rsid w:val="00F96E64"/>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753</Words>
  <Characters>4293</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2025-04-23T21:07:00Z</cp:lastPrinted>
  <dcterms:created xsi:type="dcterms:W3CDTF">2025-10-30T19:05:00Z</dcterms:created>
  <dcterms:modified xsi:type="dcterms:W3CDTF">2025-10-30T19:05:00Z</dcterms:modified>
</cp:coreProperties>
</file>