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3019BFA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41C5B">
        <w:rPr>
          <w:rFonts w:ascii="Book Antiqua" w:hAnsi="Book Antiqua" w:cs="Tahoma"/>
          <w:b/>
          <w:sz w:val="52"/>
          <w:szCs w:val="52"/>
          <w:lang w:val="es-ES_tradnl"/>
        </w:rPr>
        <w:t>246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C9A2A47" w:rsidR="002670C1" w:rsidRPr="00EB66D5" w:rsidRDefault="009045F3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24</w:t>
      </w:r>
      <w:r w:rsidR="002670C1" w:rsidRPr="00EB66D5">
        <w:rPr>
          <w:rFonts w:ascii="Book Antiqua" w:hAnsi="Book Antiqua" w:cs="Tahoma"/>
          <w:lang w:val="es-ES_tradnl"/>
        </w:rPr>
        <w:t xml:space="preserve"> de </w:t>
      </w:r>
      <w:r w:rsidR="00812C0F" w:rsidRPr="00EB66D5">
        <w:rPr>
          <w:rFonts w:ascii="Book Antiqua" w:hAnsi="Book Antiqua" w:cs="Tahoma"/>
          <w:lang w:val="es-ES_tradnl"/>
        </w:rPr>
        <w:t>julio</w:t>
      </w:r>
      <w:r w:rsidR="002670C1"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56CF72E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941C5B">
        <w:rPr>
          <w:rFonts w:ascii="Book Antiqua" w:hAnsi="Book Antiqua" w:cs="Tahoma"/>
          <w:lang w:val="es-ES_tradnl"/>
        </w:rPr>
        <w:t>246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4F4D66">
        <w:rPr>
          <w:rFonts w:ascii="Book Antiqua" w:hAnsi="Book Antiqua" w:cs="Tahoma"/>
          <w:lang w:val="es-ES_tradnl"/>
        </w:rPr>
        <w:t xml:space="preserve">, </w:t>
      </w:r>
      <w:r w:rsidR="00FA6577">
        <w:rPr>
          <w:rFonts w:ascii="Book Antiqua" w:hAnsi="Book Antiqua" w:cs="Tahoma"/>
          <w:lang w:val="es-ES_tradnl"/>
        </w:rPr>
        <w:t>sin enmiendas</w:t>
      </w:r>
      <w:r w:rsidR="00A03BAD">
        <w:rPr>
          <w:rFonts w:ascii="Book Antiqua" w:hAnsi="Book Antiqua" w:cs="Tahoma"/>
          <w:lang w:val="es-ES_tradnl"/>
        </w:rPr>
        <w:t>,</w:t>
      </w:r>
      <w:r w:rsidR="00682883" w:rsidRPr="00EB66D5">
        <w:rPr>
          <w:rFonts w:ascii="Book Antiqua" w:hAnsi="Book Antiqua" w:cs="Tahoma"/>
          <w:lang w:val="es-ES_tradnl"/>
        </w:rPr>
        <w:t xml:space="preserve"> </w:t>
      </w:r>
      <w:r w:rsidR="00A03BAD">
        <w:rPr>
          <w:rFonts w:ascii="Book Antiqua" w:hAnsi="Book Antiqua" w:cs="Tahoma"/>
          <w:lang w:val="es-ES_tradnl"/>
        </w:rPr>
        <w:t xml:space="preserve">y </w:t>
      </w:r>
      <w:r w:rsidR="00682883" w:rsidRPr="00EB66D5">
        <w:rPr>
          <w:rFonts w:ascii="Book Antiqua" w:hAnsi="Book Antiqua" w:cs="Tahoma"/>
          <w:lang w:val="es-ES_tradnl"/>
        </w:rPr>
        <w:t>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EC9BF0E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r w:rsidR="00BA66C8" w:rsidRPr="00ED1E2F">
        <w:rPr>
          <w:rFonts w:ascii="Book Antiqua" w:hAnsi="Book Antiqua"/>
          <w:lang w:val="es-ES_tradnl"/>
        </w:rPr>
        <w:t xml:space="preserve">ordenar a la Comisión </w:t>
      </w:r>
      <w:r w:rsidR="00BA66C8" w:rsidRPr="005529E8">
        <w:rPr>
          <w:rFonts w:ascii="Book Antiqua" w:hAnsi="Book Antiqua"/>
          <w:lang w:val="es-ES_tradnl"/>
        </w:rPr>
        <w:t xml:space="preserve">de </w:t>
      </w:r>
      <w:r w:rsidR="00BA66C8">
        <w:rPr>
          <w:rFonts w:ascii="Book Antiqua" w:hAnsi="Book Antiqua"/>
          <w:lang w:val="es-ES_tradnl"/>
        </w:rPr>
        <w:t>Adultos Mayores y Bienestar Social de la Cámara de Representantes</w:t>
      </w:r>
      <w:r w:rsidR="00BA66C8" w:rsidRPr="00B03CB9">
        <w:rPr>
          <w:rFonts w:ascii="Book Antiqua" w:hAnsi="Book Antiqua"/>
          <w:lang w:val="es-ES_tradnl"/>
        </w:rPr>
        <w:t xml:space="preserve"> de Puerto Rico</w:t>
      </w:r>
      <w:r w:rsidR="00BA66C8" w:rsidRPr="005529E8">
        <w:rPr>
          <w:rFonts w:ascii="Book Antiqua" w:hAnsi="Book Antiqua"/>
          <w:lang w:val="es-ES_tradnl"/>
        </w:rPr>
        <w:t xml:space="preserve"> realizar una investigación sobre el estado de cumplimiento de la Ley 163-2024, denominada “Ley para la Protección, Seguridad, Integración, Bienestar y Desarrollo Integral de las Personas con los Trastornos del Espectro Autista</w:t>
      </w:r>
      <w:r w:rsidR="00EB66D5" w:rsidRPr="00EB66D5">
        <w:rPr>
          <w:rFonts w:ascii="Book Antiqua" w:hAnsi="Book Antiqua" w:cs="Tahoma"/>
          <w:lang w:val="es-ES_tradnl"/>
        </w:rPr>
        <w:t>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50F5F655" w:rsidR="00EB66D5" w:rsidRPr="00EB66D5" w:rsidRDefault="00DE02EB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941C5B">
        <w:rPr>
          <w:rFonts w:ascii="Book Antiqua" w:hAnsi="Book Antiqua"/>
          <w:lang w:val="es-ES_tradnl"/>
        </w:rPr>
        <w:t>246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F3E6F" w:rsidRPr="00EB66D5">
        <w:rPr>
          <w:rFonts w:ascii="Book Antiqua" w:hAnsi="Book Antiqua"/>
          <w:lang w:val="es-ES_tradnl"/>
        </w:rPr>
        <w:t xml:space="preserve">tiene el propósito de </w:t>
      </w:r>
      <w:r w:rsidR="00BA66C8" w:rsidRPr="005529E8">
        <w:rPr>
          <w:rFonts w:ascii="Book Antiqua" w:hAnsi="Book Antiqua"/>
          <w:lang w:val="es-ES_tradnl"/>
        </w:rPr>
        <w:t>realizar una investigación sobre el estado de cumplimiento de la Ley 163-2024, denominada “Ley para la Protección, Seguridad, Integración, Bienestar y Desarrollo Integral de las Personas con los Trastornos del Espectro Autista</w:t>
      </w:r>
      <w:r w:rsidR="00353D3F">
        <w:rPr>
          <w:rFonts w:ascii="Book Antiqua" w:hAnsi="Book Antiqua"/>
          <w:lang w:val="es-ES_tradnl"/>
        </w:rPr>
        <w:t>”</w:t>
      </w:r>
      <w:r w:rsidR="00EB66D5" w:rsidRPr="00EB66D5">
        <w:rPr>
          <w:rFonts w:ascii="Book Antiqua" w:hAnsi="Book Antiqua"/>
          <w:lang w:val="es-ES_tradnl"/>
        </w:rPr>
        <w:t>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78FF4828" w14:textId="7324DDDE" w:rsidR="00CE3203" w:rsidRDefault="00EB66D5" w:rsidP="00C50E9A">
      <w:pPr>
        <w:ind w:firstLine="708"/>
        <w:jc w:val="both"/>
        <w:rPr>
          <w:rFonts w:ascii="Book Antiqua" w:hAnsi="Book Antiqua"/>
          <w:lang w:val="es-ES_tradnl"/>
        </w:rPr>
      </w:pPr>
      <w:r w:rsidRPr="00222D47">
        <w:rPr>
          <w:rFonts w:ascii="Book Antiqua" w:hAnsi="Book Antiqua"/>
          <w:lang w:val="es-ES_tradnl"/>
        </w:rPr>
        <w:t xml:space="preserve">En la Exposición de Motivos se </w:t>
      </w:r>
      <w:r w:rsidR="004B4AF9" w:rsidRPr="00222D47">
        <w:rPr>
          <w:rFonts w:ascii="Book Antiqua" w:hAnsi="Book Antiqua"/>
          <w:lang w:val="es-ES_tradnl"/>
        </w:rPr>
        <w:t xml:space="preserve">indica </w:t>
      </w:r>
      <w:r w:rsidR="00F618BC" w:rsidRPr="00222D47">
        <w:rPr>
          <w:rFonts w:ascii="Book Antiqua" w:hAnsi="Book Antiqua"/>
          <w:lang w:val="es-ES_tradnl"/>
        </w:rPr>
        <w:t>que</w:t>
      </w:r>
      <w:r w:rsidR="004B4AF9" w:rsidRPr="00222D47">
        <w:rPr>
          <w:rFonts w:ascii="Book Antiqua" w:hAnsi="Book Antiqua"/>
          <w:lang w:val="es-ES_tradnl"/>
        </w:rPr>
        <w:t xml:space="preserve"> </w:t>
      </w:r>
      <w:r w:rsidR="00CB2099" w:rsidRPr="00B92AE5">
        <w:rPr>
          <w:rFonts w:ascii="Book Antiqua" w:hAnsi="Book Antiqua"/>
          <w:lang w:val="es-PR"/>
        </w:rPr>
        <w:t>la Ley 163-2024, conocida como “Ley para la Protección, Seguridad, Integración, Bienestar y Desarrollo Integral de las Personas con los Trastornos del Espectro Autista”, derogó la Ley 220-2012, según enmendada, y redefinió la política pública sobre la atención a la comunidad con</w:t>
      </w:r>
      <w:r w:rsidR="00757471">
        <w:rPr>
          <w:rFonts w:ascii="Book Antiqua" w:hAnsi="Book Antiqua"/>
          <w:lang w:val="es-PR"/>
        </w:rPr>
        <w:t xml:space="preserve"> Trastornos del Espectro Autista (</w:t>
      </w:r>
      <w:r w:rsidR="00CB2099" w:rsidRPr="00B92AE5">
        <w:rPr>
          <w:rFonts w:ascii="Book Antiqua" w:hAnsi="Book Antiqua"/>
          <w:lang w:val="es-PR"/>
        </w:rPr>
        <w:t>TEA</w:t>
      </w:r>
      <w:r w:rsidR="00757471">
        <w:rPr>
          <w:rFonts w:ascii="Book Antiqua" w:hAnsi="Book Antiqua"/>
          <w:lang w:val="es-PR"/>
        </w:rPr>
        <w:t>)</w:t>
      </w:r>
      <w:r w:rsidR="00CB2099" w:rsidRPr="00B92AE5">
        <w:rPr>
          <w:rFonts w:ascii="Book Antiqua" w:hAnsi="Book Antiqua"/>
          <w:lang w:val="es-PR"/>
        </w:rPr>
        <w:t>.</w:t>
      </w:r>
    </w:p>
    <w:p w14:paraId="2EDB4947" w14:textId="77777777" w:rsidR="00205297" w:rsidRDefault="00205297" w:rsidP="00B21BDB">
      <w:pPr>
        <w:jc w:val="both"/>
        <w:rPr>
          <w:rFonts w:ascii="Book Antiqua" w:hAnsi="Book Antiqua"/>
          <w:lang w:val="es-PR"/>
        </w:rPr>
      </w:pPr>
    </w:p>
    <w:p w14:paraId="11EE7953" w14:textId="4E65D76E" w:rsidR="00205297" w:rsidRDefault="00205297" w:rsidP="00C50E9A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Por otro lado, se indica que</w:t>
      </w:r>
      <w:r w:rsidR="00B21BDB">
        <w:rPr>
          <w:rFonts w:ascii="Book Antiqua" w:hAnsi="Book Antiqua"/>
          <w:lang w:val="es-PR"/>
        </w:rPr>
        <w:t xml:space="preserve"> l</w:t>
      </w:r>
      <w:r w:rsidR="00B21BDB" w:rsidRPr="00B92AE5">
        <w:rPr>
          <w:rFonts w:ascii="Book Antiqua" w:hAnsi="Book Antiqua"/>
          <w:lang w:val="es-PR"/>
        </w:rPr>
        <w:t>amentablemente, luego de aprobarse una pieza legislativa considerada por la comunidad como una más abarcadora y ejecutable, vuelven a presentarse denuncias de incumplimiento, de ejecución incompleta de</w:t>
      </w:r>
      <w:r w:rsidR="00B21BDB">
        <w:rPr>
          <w:rFonts w:ascii="Book Antiqua" w:hAnsi="Book Antiqua"/>
          <w:lang w:val="es-PR"/>
        </w:rPr>
        <w:t xml:space="preserve"> los</w:t>
      </w:r>
      <w:r w:rsidR="00B21BDB" w:rsidRPr="00B92AE5">
        <w:rPr>
          <w:rFonts w:ascii="Book Antiqua" w:hAnsi="Book Antiqua"/>
          <w:lang w:val="es-PR"/>
        </w:rPr>
        <w:t xml:space="preserve"> procesos dispuestos en la legislación y de desidia gubernamental hacia las personas diagnosticadas con TEA</w:t>
      </w:r>
      <w:r w:rsidR="00B21BDB">
        <w:rPr>
          <w:rFonts w:ascii="Book Antiqua" w:hAnsi="Book Antiqua"/>
          <w:lang w:val="es-PR"/>
        </w:rPr>
        <w:t>.</w:t>
      </w:r>
    </w:p>
    <w:p w14:paraId="5CCB6AEB" w14:textId="77777777" w:rsidR="00C229FF" w:rsidRDefault="00C229FF" w:rsidP="00C50E9A">
      <w:pPr>
        <w:ind w:firstLine="708"/>
        <w:jc w:val="both"/>
        <w:rPr>
          <w:rFonts w:ascii="Book Antiqua" w:hAnsi="Book Antiqua"/>
          <w:lang w:val="es-PR"/>
        </w:rPr>
      </w:pPr>
    </w:p>
    <w:p w14:paraId="41677DFB" w14:textId="67C8A727" w:rsidR="00C229FF" w:rsidRPr="00C50E9A" w:rsidRDefault="00C229FF" w:rsidP="00C50E9A">
      <w:pPr>
        <w:ind w:firstLine="708"/>
        <w:jc w:val="both"/>
        <w:rPr>
          <w:rFonts w:ascii="Book Antiqua" w:hAnsi="Book Antiqua"/>
          <w:highlight w:val="yellow"/>
          <w:lang w:val="es-ES_tradnl"/>
        </w:rPr>
      </w:pPr>
      <w:r>
        <w:rPr>
          <w:rFonts w:ascii="Book Antiqua" w:hAnsi="Book Antiqua"/>
          <w:lang w:val="es-PR"/>
        </w:rPr>
        <w:t>Además, sostienen que s</w:t>
      </w:r>
      <w:r w:rsidRPr="005E288E">
        <w:rPr>
          <w:rFonts w:ascii="Book Antiqua" w:hAnsi="Book Antiqua"/>
          <w:lang w:val="es-PR"/>
        </w:rPr>
        <w:t>egún el estudio “Tendencias en la prevalencia de deficiencias del desarrollo en niños de EE. UU., 1997-2008” del Centro para el Control y Prevención de Enfermedades (CDC, por sus siglas en inglés) y la Administración de Recursos y Servicios de Salud (HRSA, por sus siglas en inglés), la prevalencia general de deficiencias en el desarrollo</w:t>
      </w:r>
      <w:r>
        <w:rPr>
          <w:rFonts w:ascii="Book Antiqua" w:hAnsi="Book Antiqua"/>
          <w:lang w:val="es-PR"/>
        </w:rPr>
        <w:t xml:space="preserve"> </w:t>
      </w:r>
      <w:r w:rsidRPr="005E288E">
        <w:rPr>
          <w:rFonts w:ascii="Book Antiqua" w:hAnsi="Book Antiqua"/>
          <w:lang w:val="es-PR"/>
        </w:rPr>
        <w:t xml:space="preserve">aumentó un 17.1% de 1997 a 2008, mientras que la prevalencia del autismo aumentó 289.5%. El estudio de prevalencia de autismo en Puerto Rico realizado en el 2011 por la Escuela Graduada de Salud Pública por encargo del Departamento de Salud, </w:t>
      </w:r>
      <w:r w:rsidRPr="005E288E">
        <w:rPr>
          <w:rFonts w:ascii="Book Antiqua" w:hAnsi="Book Antiqua"/>
          <w:i/>
          <w:iCs/>
          <w:lang w:val="es-PR"/>
        </w:rPr>
        <w:t>Prevalencia de Autismo en la Niñez en Puerto Rico: Informe de Resultados de la Encuesta del 2011</w:t>
      </w:r>
      <w:r w:rsidRPr="005E288E">
        <w:rPr>
          <w:rFonts w:ascii="Book Antiqua" w:hAnsi="Book Antiqua"/>
          <w:lang w:val="es-PR"/>
        </w:rPr>
        <w:t>, indicó que, para entonces, 1 de cada 62 niñas era diagnosticada con autismo en Puerto Rico. En EE. UU., la prevalencia promedio para esa fecha era 1 de cada 68 niñas. Consiguientemente, en Puerto Rico teníamos una de las tasas más altas de autismo e</w:t>
      </w:r>
      <w:r>
        <w:rPr>
          <w:rFonts w:ascii="Book Antiqua" w:hAnsi="Book Antiqua"/>
          <w:lang w:val="es-PR"/>
        </w:rPr>
        <w:t xml:space="preserve">n </w:t>
      </w:r>
      <w:r w:rsidRPr="005E288E">
        <w:rPr>
          <w:rFonts w:ascii="Book Antiqua" w:hAnsi="Book Antiqua"/>
          <w:lang w:val="es-PR"/>
        </w:rPr>
        <w:t>las jurisdicciones de Estados Unidos. El estudio pronostica que seguirá subiendo exponencialmente, ya que se estimó que para el año 2025, 1 de cada 15 niñas será diagnosticada con autismo.</w:t>
      </w:r>
    </w:p>
    <w:p w14:paraId="2624833B" w14:textId="393F79D4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05E78832" w14:textId="0B4154A0" w:rsidR="00DF3E6F" w:rsidRPr="00EB66D5" w:rsidRDefault="00653A0D" w:rsidP="008362B9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Ante tales circunstancias, </w:t>
      </w:r>
      <w:r w:rsidR="00281657">
        <w:rPr>
          <w:rFonts w:ascii="Book Antiqua" w:hAnsi="Book Antiqua"/>
          <w:lang w:val="es-ES_tradnl"/>
        </w:rPr>
        <w:t xml:space="preserve">y ante la urgencia de que se cumpla con la política pública y se </w:t>
      </w:r>
      <w:r w:rsidR="00F97207">
        <w:rPr>
          <w:rFonts w:ascii="Book Antiqua" w:hAnsi="Book Antiqua"/>
          <w:lang w:val="es-ES_tradnl"/>
        </w:rPr>
        <w:t>brinde una atención digna a las personas con TEA</w:t>
      </w:r>
      <w:r w:rsidR="00E97C9E">
        <w:rPr>
          <w:rFonts w:ascii="Book Antiqua" w:hAnsi="Book Antiqua"/>
          <w:lang w:val="es-ES_tradnl"/>
        </w:rPr>
        <w:t xml:space="preserve">, estiman necesario realizar una investigación sobre el particular. </w:t>
      </w: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271153E0" w:rsidR="001A02E8" w:rsidRPr="00EB66D5" w:rsidRDefault="001A02E8" w:rsidP="00555B1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EB66D5" w:rsidRPr="00EB66D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941C5B">
        <w:rPr>
          <w:rFonts w:ascii="Book Antiqua" w:hAnsi="Book Antiqua"/>
          <w:sz w:val="24"/>
          <w:szCs w:val="24"/>
          <w:lang w:val="es-ES_tradnl"/>
        </w:rPr>
        <w:t>246</w:t>
      </w:r>
      <w:r w:rsidR="000E2C24">
        <w:rPr>
          <w:rFonts w:ascii="Book Antiqua" w:hAnsi="Book Antiqua"/>
          <w:sz w:val="24"/>
          <w:szCs w:val="24"/>
          <w:lang w:val="es-ES_tradnl"/>
        </w:rPr>
        <w:t>, sin enmiendas</w:t>
      </w:r>
      <w:r w:rsidRPr="00EB66D5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</w:r>
      <w:proofErr w:type="gramStart"/>
      <w:r w:rsidRPr="00EB66D5">
        <w:rPr>
          <w:rFonts w:ascii="Book Antiqua" w:hAnsi="Book Antiqua" w:cs="Tahoma"/>
          <w:lang w:val="es-ES_tradnl"/>
        </w:rPr>
        <w:t>Presidente</w:t>
      </w:r>
      <w:proofErr w:type="gramEnd"/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56A00" w14:textId="77777777" w:rsidR="00554066" w:rsidRDefault="00554066" w:rsidP="00614C2C">
      <w:r>
        <w:separator/>
      </w:r>
    </w:p>
  </w:endnote>
  <w:endnote w:type="continuationSeparator" w:id="0">
    <w:p w14:paraId="553416EA" w14:textId="77777777" w:rsidR="00554066" w:rsidRDefault="0055406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37DC8" w14:textId="77777777" w:rsidR="00554066" w:rsidRDefault="00554066" w:rsidP="00614C2C">
      <w:r>
        <w:separator/>
      </w:r>
    </w:p>
  </w:footnote>
  <w:footnote w:type="continuationSeparator" w:id="0">
    <w:p w14:paraId="076EFF30" w14:textId="77777777" w:rsidR="00554066" w:rsidRDefault="0055406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6F67"/>
    <w:rsid w:val="000557F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E2C24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05297"/>
    <w:rsid w:val="00220B04"/>
    <w:rsid w:val="00222D47"/>
    <w:rsid w:val="00224DE4"/>
    <w:rsid w:val="002252A6"/>
    <w:rsid w:val="002345C3"/>
    <w:rsid w:val="0023528E"/>
    <w:rsid w:val="00247790"/>
    <w:rsid w:val="002670C1"/>
    <w:rsid w:val="00272823"/>
    <w:rsid w:val="00281657"/>
    <w:rsid w:val="0028725D"/>
    <w:rsid w:val="00287E61"/>
    <w:rsid w:val="002905BE"/>
    <w:rsid w:val="00295113"/>
    <w:rsid w:val="002954B6"/>
    <w:rsid w:val="002A3C0A"/>
    <w:rsid w:val="002A5F77"/>
    <w:rsid w:val="002C39FD"/>
    <w:rsid w:val="002E3557"/>
    <w:rsid w:val="00307416"/>
    <w:rsid w:val="003139DC"/>
    <w:rsid w:val="003222AE"/>
    <w:rsid w:val="0032290D"/>
    <w:rsid w:val="00323444"/>
    <w:rsid w:val="00333864"/>
    <w:rsid w:val="00334D8A"/>
    <w:rsid w:val="003474D4"/>
    <w:rsid w:val="00350550"/>
    <w:rsid w:val="00353D3F"/>
    <w:rsid w:val="0037030F"/>
    <w:rsid w:val="00373892"/>
    <w:rsid w:val="00377037"/>
    <w:rsid w:val="00382273"/>
    <w:rsid w:val="0038556D"/>
    <w:rsid w:val="003976DE"/>
    <w:rsid w:val="003B03D6"/>
    <w:rsid w:val="003C4B70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B4AF9"/>
    <w:rsid w:val="004C1BC6"/>
    <w:rsid w:val="004C217E"/>
    <w:rsid w:val="004C29A4"/>
    <w:rsid w:val="004C5BCE"/>
    <w:rsid w:val="004D42C2"/>
    <w:rsid w:val="004E3952"/>
    <w:rsid w:val="004F4D66"/>
    <w:rsid w:val="00506C85"/>
    <w:rsid w:val="00525E8D"/>
    <w:rsid w:val="0053434B"/>
    <w:rsid w:val="00554066"/>
    <w:rsid w:val="00555B12"/>
    <w:rsid w:val="00555B67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3A0D"/>
    <w:rsid w:val="00680F2A"/>
    <w:rsid w:val="00682883"/>
    <w:rsid w:val="006B0997"/>
    <w:rsid w:val="007022E4"/>
    <w:rsid w:val="007106D1"/>
    <w:rsid w:val="00712D94"/>
    <w:rsid w:val="007156BD"/>
    <w:rsid w:val="00726ECA"/>
    <w:rsid w:val="00757471"/>
    <w:rsid w:val="0076703E"/>
    <w:rsid w:val="00774628"/>
    <w:rsid w:val="00776B6F"/>
    <w:rsid w:val="00780620"/>
    <w:rsid w:val="00781922"/>
    <w:rsid w:val="0079275C"/>
    <w:rsid w:val="007A020D"/>
    <w:rsid w:val="007B31DC"/>
    <w:rsid w:val="007B6091"/>
    <w:rsid w:val="007C5A2C"/>
    <w:rsid w:val="007D7209"/>
    <w:rsid w:val="007F0E20"/>
    <w:rsid w:val="007F3B99"/>
    <w:rsid w:val="00812C0F"/>
    <w:rsid w:val="008171E8"/>
    <w:rsid w:val="008362B9"/>
    <w:rsid w:val="00846B7C"/>
    <w:rsid w:val="00851127"/>
    <w:rsid w:val="008854E8"/>
    <w:rsid w:val="008A194F"/>
    <w:rsid w:val="008A1F08"/>
    <w:rsid w:val="008A4022"/>
    <w:rsid w:val="008B1E7C"/>
    <w:rsid w:val="008B6BF6"/>
    <w:rsid w:val="008C4EC6"/>
    <w:rsid w:val="008C757B"/>
    <w:rsid w:val="008D4A0A"/>
    <w:rsid w:val="008D4C2D"/>
    <w:rsid w:val="008E0870"/>
    <w:rsid w:val="008E310D"/>
    <w:rsid w:val="008E31FE"/>
    <w:rsid w:val="009045F3"/>
    <w:rsid w:val="00927065"/>
    <w:rsid w:val="00935128"/>
    <w:rsid w:val="00935857"/>
    <w:rsid w:val="00941C5B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0DB2"/>
    <w:rsid w:val="009E27AD"/>
    <w:rsid w:val="009E2C2B"/>
    <w:rsid w:val="009E7623"/>
    <w:rsid w:val="00A012A2"/>
    <w:rsid w:val="00A03BAD"/>
    <w:rsid w:val="00A14380"/>
    <w:rsid w:val="00A15740"/>
    <w:rsid w:val="00A16A73"/>
    <w:rsid w:val="00A21C7C"/>
    <w:rsid w:val="00A365D9"/>
    <w:rsid w:val="00A4759F"/>
    <w:rsid w:val="00A51ABA"/>
    <w:rsid w:val="00A53279"/>
    <w:rsid w:val="00A55420"/>
    <w:rsid w:val="00A55A2E"/>
    <w:rsid w:val="00A64910"/>
    <w:rsid w:val="00A84A3B"/>
    <w:rsid w:val="00AB0555"/>
    <w:rsid w:val="00AB099D"/>
    <w:rsid w:val="00AC06D5"/>
    <w:rsid w:val="00AC35C0"/>
    <w:rsid w:val="00AD4702"/>
    <w:rsid w:val="00AE4814"/>
    <w:rsid w:val="00AF186C"/>
    <w:rsid w:val="00B0402B"/>
    <w:rsid w:val="00B16CF6"/>
    <w:rsid w:val="00B2058B"/>
    <w:rsid w:val="00B21BDB"/>
    <w:rsid w:val="00B26882"/>
    <w:rsid w:val="00B30114"/>
    <w:rsid w:val="00B330A4"/>
    <w:rsid w:val="00B34E25"/>
    <w:rsid w:val="00B475D2"/>
    <w:rsid w:val="00B557DA"/>
    <w:rsid w:val="00B57F62"/>
    <w:rsid w:val="00B65C62"/>
    <w:rsid w:val="00B805AA"/>
    <w:rsid w:val="00B9373D"/>
    <w:rsid w:val="00B95BFE"/>
    <w:rsid w:val="00BA0E34"/>
    <w:rsid w:val="00BA5BE6"/>
    <w:rsid w:val="00BA66C8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229FF"/>
    <w:rsid w:val="00C321E8"/>
    <w:rsid w:val="00C340D6"/>
    <w:rsid w:val="00C456AB"/>
    <w:rsid w:val="00C50E9A"/>
    <w:rsid w:val="00C52FD2"/>
    <w:rsid w:val="00C83EB5"/>
    <w:rsid w:val="00CA370E"/>
    <w:rsid w:val="00CB0A0E"/>
    <w:rsid w:val="00CB1E5A"/>
    <w:rsid w:val="00CB2099"/>
    <w:rsid w:val="00CC4336"/>
    <w:rsid w:val="00CC5AB6"/>
    <w:rsid w:val="00CD5EE6"/>
    <w:rsid w:val="00CD69DB"/>
    <w:rsid w:val="00CE3203"/>
    <w:rsid w:val="00D42962"/>
    <w:rsid w:val="00D42AEC"/>
    <w:rsid w:val="00D73B0E"/>
    <w:rsid w:val="00D77659"/>
    <w:rsid w:val="00D832B0"/>
    <w:rsid w:val="00D96D15"/>
    <w:rsid w:val="00DA12F5"/>
    <w:rsid w:val="00DA3200"/>
    <w:rsid w:val="00DA5CFA"/>
    <w:rsid w:val="00DB261B"/>
    <w:rsid w:val="00DB619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97C9E"/>
    <w:rsid w:val="00EB0209"/>
    <w:rsid w:val="00EB3FFE"/>
    <w:rsid w:val="00EB66D5"/>
    <w:rsid w:val="00ED37CF"/>
    <w:rsid w:val="00EF143E"/>
    <w:rsid w:val="00EF4A8F"/>
    <w:rsid w:val="00F059A3"/>
    <w:rsid w:val="00F06902"/>
    <w:rsid w:val="00F1466B"/>
    <w:rsid w:val="00F21532"/>
    <w:rsid w:val="00F226DF"/>
    <w:rsid w:val="00F245BE"/>
    <w:rsid w:val="00F27289"/>
    <w:rsid w:val="00F36705"/>
    <w:rsid w:val="00F533D4"/>
    <w:rsid w:val="00F618BC"/>
    <w:rsid w:val="00F8240A"/>
    <w:rsid w:val="00F97207"/>
    <w:rsid w:val="00FA0364"/>
    <w:rsid w:val="00FA36D1"/>
    <w:rsid w:val="00FA5F29"/>
    <w:rsid w:val="00FA6577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2025-07-24T13:40:00Z</dcterms:created>
  <dcterms:modified xsi:type="dcterms:W3CDTF">2025-07-24T13:40:00Z</dcterms:modified>
</cp:coreProperties>
</file>