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DC3FE0">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DC3FE0">
      <w:pPr>
        <w:jc w:val="center"/>
        <w:rPr>
          <w:rFonts w:ascii="Book Antiqua" w:hAnsi="Book Antiqua"/>
          <w:lang w:val="es-ES_tradnl"/>
        </w:rPr>
      </w:pPr>
    </w:p>
    <w:p w14:paraId="0BD40D93" w14:textId="4BBDD89F" w:rsidR="007223FC" w:rsidRDefault="008629FB" w:rsidP="00DC3FE0">
      <w:pPr>
        <w:pStyle w:val="Title2"/>
        <w:rPr>
          <w:rFonts w:ascii="Book Antiqua" w:hAnsi="Book Antiqua"/>
          <w:lang w:val="es-ES_tradnl"/>
        </w:rPr>
      </w:pPr>
      <w:r>
        <w:rPr>
          <w:rFonts w:ascii="Book Antiqua" w:hAnsi="Book Antiqua"/>
          <w:lang w:val="es-ES_tradnl"/>
        </w:rPr>
        <w:t>20</w:t>
      </w:r>
      <w:r w:rsidR="007223FC">
        <w:rPr>
          <w:rFonts w:ascii="Book Antiqua" w:hAnsi="Book Antiqua"/>
          <w:lang w:val="es-ES_tradnl"/>
        </w:rPr>
        <w:t xml:space="preserve"> </w:t>
      </w:r>
      <w:proofErr w:type="spellStart"/>
      <w:r>
        <w:rPr>
          <w:rFonts w:ascii="Book Antiqua" w:hAnsi="Book Antiqua"/>
          <w:vertAlign w:val="superscript"/>
          <w:lang w:val="es-ES_tradnl"/>
        </w:rPr>
        <w:t>m</w:t>
      </w:r>
      <w:r w:rsidR="007223FC">
        <w:rPr>
          <w:rFonts w:ascii="Book Antiqua" w:hAnsi="Book Antiqua"/>
          <w:vertAlign w:val="superscript"/>
          <w:lang w:val="es-ES_tradnl"/>
        </w:rPr>
        <w:t>a</w:t>
      </w:r>
      <w:proofErr w:type="spellEnd"/>
      <w:r w:rsidR="007223FC">
        <w:rPr>
          <w:rFonts w:ascii="Book Antiqua" w:hAnsi="Book Antiqua"/>
          <w:lang w:val="es-ES_tradnl"/>
        </w:rPr>
        <w:tab/>
        <w:t>Asamblea</w:t>
      </w:r>
      <w:r w:rsidR="007223FC">
        <w:rPr>
          <w:rFonts w:ascii="Book Antiqua" w:hAnsi="Book Antiqua"/>
          <w:lang w:val="es-ES_tradnl"/>
        </w:rPr>
        <w:tab/>
      </w:r>
      <w:r>
        <w:rPr>
          <w:rFonts w:ascii="Book Antiqua" w:hAnsi="Book Antiqua"/>
          <w:lang w:val="es-ES_tradnl"/>
        </w:rPr>
        <w:t>1</w:t>
      </w:r>
      <w:r w:rsidR="007223FC">
        <w:rPr>
          <w:rFonts w:ascii="Book Antiqua" w:hAnsi="Book Antiqua"/>
          <w:lang w:val="es-ES_tradnl"/>
        </w:rPr>
        <w:t xml:space="preserve"> </w:t>
      </w:r>
      <w:proofErr w:type="spellStart"/>
      <w:r w:rsidR="007223FC">
        <w:rPr>
          <w:rFonts w:ascii="Book Antiqua" w:hAnsi="Book Antiqua"/>
          <w:vertAlign w:val="superscript"/>
          <w:lang w:val="es-ES_tradnl"/>
        </w:rPr>
        <w:t>ra</w:t>
      </w:r>
      <w:proofErr w:type="spellEnd"/>
      <w:r w:rsidR="007223FC">
        <w:rPr>
          <w:rFonts w:ascii="Book Antiqua" w:hAnsi="Book Antiqua"/>
          <w:lang w:val="es-ES_tradnl"/>
        </w:rPr>
        <w:tab/>
        <w:t>Sesión</w:t>
      </w:r>
    </w:p>
    <w:p w14:paraId="6119718E" w14:textId="77777777" w:rsidR="007223FC" w:rsidRDefault="007223FC" w:rsidP="00DC3FE0">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826346C" w14:textId="77777777" w:rsidR="007223FC" w:rsidRDefault="007223FC" w:rsidP="00DC3FE0">
      <w:pPr>
        <w:rPr>
          <w:lang w:val="es-ES_tradnl"/>
        </w:rPr>
      </w:pPr>
    </w:p>
    <w:p w14:paraId="5CB5D2EC" w14:textId="77777777" w:rsidR="007223FC" w:rsidRDefault="007223FC" w:rsidP="00DC3FE0">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DC3FE0">
      <w:pPr>
        <w:jc w:val="center"/>
        <w:rPr>
          <w:rFonts w:ascii="Book Antiqua" w:hAnsi="Book Antiqua"/>
          <w:b/>
          <w:szCs w:val="24"/>
          <w:lang w:val="es-ES_tradnl"/>
        </w:rPr>
      </w:pPr>
    </w:p>
    <w:p w14:paraId="5AE15BF3" w14:textId="7CCB40F4" w:rsidR="007223FC" w:rsidRDefault="007223FC" w:rsidP="00DC3FE0">
      <w:pPr>
        <w:jc w:val="center"/>
        <w:rPr>
          <w:rFonts w:ascii="Book Antiqua" w:hAnsi="Book Antiqua"/>
          <w:b/>
          <w:sz w:val="52"/>
          <w:lang w:val="es-ES_tradnl"/>
        </w:rPr>
      </w:pPr>
      <w:r>
        <w:rPr>
          <w:rFonts w:ascii="Book Antiqua" w:hAnsi="Book Antiqua"/>
          <w:b/>
          <w:sz w:val="52"/>
          <w:lang w:val="es-ES_tradnl"/>
        </w:rPr>
        <w:t>R. de la C.</w:t>
      </w:r>
      <w:r w:rsidR="002D7564">
        <w:rPr>
          <w:rFonts w:ascii="Book Antiqua" w:hAnsi="Book Antiqua"/>
          <w:b/>
          <w:sz w:val="52"/>
          <w:lang w:val="es-ES_tradnl"/>
        </w:rPr>
        <w:t xml:space="preserve"> 246</w:t>
      </w:r>
    </w:p>
    <w:p w14:paraId="4FB5DD3D" w14:textId="77777777" w:rsidR="001E0D88" w:rsidRPr="001E0D88" w:rsidRDefault="001E0D88" w:rsidP="00DC3FE0">
      <w:pPr>
        <w:jc w:val="center"/>
        <w:rPr>
          <w:rFonts w:ascii="Book Antiqua" w:hAnsi="Book Antiqua"/>
          <w:b/>
          <w:szCs w:val="24"/>
          <w:lang w:val="es-ES_tradnl"/>
        </w:rPr>
      </w:pPr>
    </w:p>
    <w:p w14:paraId="12915E35" w14:textId="26B6F2ED" w:rsidR="007223FC" w:rsidRDefault="00507AE7" w:rsidP="00DC3FE0">
      <w:pPr>
        <w:jc w:val="center"/>
        <w:rPr>
          <w:rFonts w:ascii="Book Antiqua" w:hAnsi="Book Antiqua"/>
          <w:lang w:val="es-ES_tradnl"/>
        </w:rPr>
      </w:pPr>
      <w:r>
        <w:rPr>
          <w:rFonts w:ascii="Book Antiqua" w:hAnsi="Book Antiqua"/>
          <w:lang w:val="es-ES_tradnl"/>
        </w:rPr>
        <w:t>3</w:t>
      </w:r>
      <w:r w:rsidR="002B7EDC">
        <w:rPr>
          <w:rFonts w:ascii="Book Antiqua" w:hAnsi="Book Antiqua"/>
          <w:lang w:val="es-ES_tradnl"/>
        </w:rPr>
        <w:t xml:space="preserve"> </w:t>
      </w:r>
      <w:r w:rsidR="00E03207">
        <w:rPr>
          <w:rFonts w:ascii="Book Antiqua" w:hAnsi="Book Antiqua"/>
          <w:lang w:val="es-ES_tradnl"/>
        </w:rPr>
        <w:t xml:space="preserve">DE </w:t>
      </w:r>
      <w:r w:rsidR="00B03CB9">
        <w:rPr>
          <w:rFonts w:ascii="Book Antiqua" w:hAnsi="Book Antiqua"/>
          <w:lang w:val="es-ES_tradnl"/>
        </w:rPr>
        <w:t>ABRIL</w:t>
      </w:r>
      <w:r w:rsidR="007223FC">
        <w:rPr>
          <w:rFonts w:ascii="Book Antiqua" w:hAnsi="Book Antiqua"/>
          <w:lang w:val="es-ES_tradnl"/>
        </w:rPr>
        <w:t xml:space="preserve"> DE 202</w:t>
      </w:r>
      <w:r w:rsidR="008629FB">
        <w:rPr>
          <w:rFonts w:ascii="Book Antiqua" w:hAnsi="Book Antiqua"/>
          <w:lang w:val="es-ES_tradnl"/>
        </w:rPr>
        <w:t>5</w:t>
      </w:r>
    </w:p>
    <w:p w14:paraId="21F5BBE3" w14:textId="77777777" w:rsidR="001E0D88" w:rsidRDefault="001E0D88" w:rsidP="00DC3FE0">
      <w:pPr>
        <w:jc w:val="center"/>
        <w:rPr>
          <w:rFonts w:ascii="Book Antiqua" w:hAnsi="Book Antiqua"/>
          <w:lang w:val="es-ES_tradnl"/>
        </w:rPr>
      </w:pPr>
    </w:p>
    <w:p w14:paraId="6DD7E46D" w14:textId="0A48728A" w:rsidR="007223FC" w:rsidRDefault="007223FC" w:rsidP="00DC3FE0">
      <w:pPr>
        <w:jc w:val="center"/>
        <w:rPr>
          <w:rFonts w:ascii="Book Antiqua" w:hAnsi="Book Antiqua"/>
          <w:i/>
          <w:lang w:val="es-ES_tradnl"/>
        </w:rPr>
      </w:pPr>
      <w:r>
        <w:rPr>
          <w:rFonts w:ascii="Book Antiqua" w:hAnsi="Book Antiqua"/>
          <w:lang w:val="es-ES_tradnl"/>
        </w:rPr>
        <w:t xml:space="preserve">Presentada por </w:t>
      </w:r>
      <w:r w:rsidR="008629FB">
        <w:rPr>
          <w:rFonts w:ascii="Book Antiqua" w:hAnsi="Book Antiqua"/>
          <w:lang w:val="es-ES_tradnl"/>
        </w:rPr>
        <w:t>la</w:t>
      </w:r>
      <w:r w:rsidR="00507AE7">
        <w:rPr>
          <w:rFonts w:ascii="Book Antiqua" w:hAnsi="Book Antiqua"/>
          <w:lang w:val="es-ES_tradnl"/>
        </w:rPr>
        <w:t>s</w:t>
      </w:r>
      <w:r>
        <w:rPr>
          <w:rFonts w:ascii="Book Antiqua" w:hAnsi="Book Antiqua"/>
          <w:lang w:val="es-ES_tradnl"/>
        </w:rPr>
        <w:t xml:space="preserve"> representante</w:t>
      </w:r>
      <w:r w:rsidR="00507AE7">
        <w:rPr>
          <w:rFonts w:ascii="Book Antiqua" w:hAnsi="Book Antiqua"/>
          <w:lang w:val="es-ES_tradnl"/>
        </w:rPr>
        <w:t>s</w:t>
      </w:r>
      <w:r>
        <w:rPr>
          <w:rFonts w:ascii="Book Antiqua" w:hAnsi="Book Antiqua"/>
          <w:lang w:val="es-ES_tradnl"/>
        </w:rPr>
        <w:t xml:space="preserve"> </w:t>
      </w:r>
      <w:r w:rsidR="008629FB">
        <w:rPr>
          <w:rFonts w:ascii="Book Antiqua" w:hAnsi="Book Antiqua"/>
          <w:i/>
          <w:lang w:val="es-ES_tradnl"/>
        </w:rPr>
        <w:t>Gutiérrez Colón</w:t>
      </w:r>
      <w:r w:rsidR="00507AE7">
        <w:rPr>
          <w:rFonts w:ascii="Book Antiqua" w:hAnsi="Book Antiqua"/>
          <w:i/>
          <w:lang w:val="es-ES_tradnl"/>
        </w:rPr>
        <w:t xml:space="preserve"> y Lebrón Robles</w:t>
      </w:r>
    </w:p>
    <w:p w14:paraId="6B41298E" w14:textId="77777777" w:rsidR="001E0D88" w:rsidRDefault="001E0D88" w:rsidP="00DC3FE0">
      <w:pPr>
        <w:jc w:val="center"/>
        <w:rPr>
          <w:rFonts w:ascii="Book Antiqua" w:hAnsi="Book Antiqua"/>
          <w:lang w:val="es-ES_tradnl"/>
        </w:rPr>
      </w:pPr>
    </w:p>
    <w:p w14:paraId="0E632D40" w14:textId="09716688" w:rsidR="007223FC" w:rsidRDefault="007223FC" w:rsidP="00DC3FE0">
      <w:pPr>
        <w:jc w:val="center"/>
        <w:rPr>
          <w:rFonts w:ascii="Book Antiqua" w:hAnsi="Book Antiqua"/>
          <w:lang w:val="es-ES_tradnl"/>
        </w:rPr>
      </w:pPr>
      <w:r>
        <w:rPr>
          <w:rFonts w:ascii="Book Antiqua" w:hAnsi="Book Antiqua"/>
          <w:lang w:val="es-ES_tradnl"/>
        </w:rPr>
        <w:t xml:space="preserve">Referida a </w:t>
      </w:r>
      <w:r w:rsidR="00C77595">
        <w:rPr>
          <w:rFonts w:ascii="Book Antiqua" w:hAnsi="Book Antiqua"/>
          <w:lang w:val="es-ES_tradnl"/>
        </w:rPr>
        <w:t>la Comisión de Asuntos Internos</w:t>
      </w:r>
    </w:p>
    <w:p w14:paraId="0DCBA946" w14:textId="77777777" w:rsidR="007223FC" w:rsidRDefault="007223FC" w:rsidP="00DC3FE0">
      <w:pPr>
        <w:jc w:val="both"/>
        <w:rPr>
          <w:rFonts w:ascii="Book Antiqua" w:hAnsi="Book Antiqua"/>
          <w:lang w:val="es-ES_tradnl"/>
        </w:rPr>
      </w:pPr>
    </w:p>
    <w:p w14:paraId="59299EAC" w14:textId="77777777" w:rsidR="007223FC" w:rsidRDefault="007223FC" w:rsidP="00DC3FE0">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DC3FE0">
      <w:pPr>
        <w:jc w:val="both"/>
        <w:rPr>
          <w:rFonts w:ascii="Book Antiqua" w:hAnsi="Book Antiqua"/>
          <w:lang w:val="es-ES_tradnl"/>
        </w:rPr>
      </w:pPr>
    </w:p>
    <w:p w14:paraId="516DED3D" w14:textId="20FE8697" w:rsidR="007223FC" w:rsidRPr="00ED1E2F" w:rsidRDefault="007223FC" w:rsidP="00DC3FE0">
      <w:pPr>
        <w:ind w:left="360" w:hanging="360"/>
        <w:jc w:val="both"/>
        <w:rPr>
          <w:rFonts w:ascii="Book Antiqua" w:hAnsi="Book Antiqua"/>
          <w:lang w:val="es-ES_tradnl"/>
        </w:rPr>
      </w:pPr>
      <w:r w:rsidRPr="00ED1E2F">
        <w:rPr>
          <w:rFonts w:ascii="Book Antiqua" w:hAnsi="Book Antiqua"/>
          <w:lang w:val="es-ES_tradnl"/>
        </w:rPr>
        <w:t xml:space="preserve">Para </w:t>
      </w:r>
      <w:r w:rsidR="0014430B" w:rsidRPr="00ED1E2F">
        <w:rPr>
          <w:rFonts w:ascii="Book Antiqua" w:hAnsi="Book Antiqua"/>
          <w:lang w:val="es-ES_tradnl"/>
        </w:rPr>
        <w:t xml:space="preserve">ordenar a la Comisión </w:t>
      </w:r>
      <w:r w:rsidR="005529E8" w:rsidRPr="005529E8">
        <w:rPr>
          <w:rFonts w:ascii="Book Antiqua" w:hAnsi="Book Antiqua"/>
          <w:lang w:val="es-ES_tradnl"/>
        </w:rPr>
        <w:t xml:space="preserve">de </w:t>
      </w:r>
      <w:r w:rsidR="00B03CB9">
        <w:rPr>
          <w:rFonts w:ascii="Book Antiqua" w:hAnsi="Book Antiqua"/>
          <w:lang w:val="es-ES_tradnl"/>
        </w:rPr>
        <w:t>Adultos Mayores y Bienestar Social de la Cámara de Representantes</w:t>
      </w:r>
      <w:r w:rsidR="005529E8" w:rsidRPr="00B03CB9">
        <w:rPr>
          <w:rFonts w:ascii="Book Antiqua" w:hAnsi="Book Antiqua"/>
          <w:lang w:val="es-ES_tradnl"/>
        </w:rPr>
        <w:t xml:space="preserve"> de Puerto Rico</w:t>
      </w:r>
      <w:r w:rsidR="005529E8" w:rsidRPr="005529E8">
        <w:rPr>
          <w:rFonts w:ascii="Book Antiqua" w:hAnsi="Book Antiqua"/>
          <w:lang w:val="es-ES_tradnl"/>
        </w:rPr>
        <w:t xml:space="preserve"> realizar una investigación sobre el estado de cumplimiento de la Ley 163-2024, denominada “Ley para la Protección, Seguridad, Integración, Bienestar y Desarrollo Integral de las Personas con los Trastornos del Espectro Autista”.</w:t>
      </w:r>
    </w:p>
    <w:p w14:paraId="7309ED66" w14:textId="77777777" w:rsidR="00ED1E2F" w:rsidRDefault="00ED1E2F" w:rsidP="00DC3FE0">
      <w:pPr>
        <w:ind w:left="360" w:hanging="360"/>
        <w:jc w:val="both"/>
        <w:rPr>
          <w:rFonts w:ascii="Book Antiqua" w:hAnsi="Book Antiqua"/>
          <w:lang w:val="es-ES_tradnl"/>
        </w:rPr>
      </w:pPr>
    </w:p>
    <w:p w14:paraId="013310DC" w14:textId="68895503" w:rsidR="007223FC" w:rsidRDefault="007223FC" w:rsidP="00C77595">
      <w:pPr>
        <w:jc w:val="center"/>
        <w:rPr>
          <w:rFonts w:ascii="Book Antiqua" w:hAnsi="Book Antiqua"/>
          <w:lang w:val="es-ES_tradnl"/>
        </w:rPr>
      </w:pPr>
      <w:r>
        <w:rPr>
          <w:rFonts w:ascii="Book Antiqua" w:hAnsi="Book Antiqua"/>
          <w:lang w:val="es-ES_tradnl"/>
        </w:rPr>
        <w:t>EXPOSICIÓN DE MOTIVOS</w:t>
      </w:r>
    </w:p>
    <w:p w14:paraId="623465F6" w14:textId="77777777" w:rsidR="00DC3FE0" w:rsidRDefault="00DC3FE0" w:rsidP="00DC3FE0">
      <w:pPr>
        <w:ind w:firstLine="360"/>
        <w:jc w:val="center"/>
        <w:rPr>
          <w:rFonts w:ascii="Book Antiqua" w:hAnsi="Book Antiqua"/>
          <w:lang w:val="es-ES_tradnl"/>
        </w:rPr>
      </w:pPr>
    </w:p>
    <w:p w14:paraId="49F49AD7" w14:textId="327F2702" w:rsidR="008629FB" w:rsidRDefault="005529E8" w:rsidP="00DC3FE0">
      <w:pPr>
        <w:ind w:firstLine="360"/>
        <w:jc w:val="both"/>
        <w:rPr>
          <w:rFonts w:ascii="Book Antiqua" w:hAnsi="Book Antiqua"/>
          <w:lang w:val="es-PR"/>
        </w:rPr>
      </w:pPr>
      <w:r w:rsidRPr="005529E8">
        <w:rPr>
          <w:rFonts w:ascii="Book Antiqua" w:hAnsi="Book Antiqua"/>
          <w:lang w:val="es-PR"/>
        </w:rPr>
        <w:t>La Ley 220-2012, denominada “Ley para el Bienestar, Integración y Desarrollo de las Personas con Autismo”,</w:t>
      </w:r>
      <w:r>
        <w:rPr>
          <w:rStyle w:val="FootnoteReference"/>
          <w:rFonts w:ascii="Book Antiqua" w:hAnsi="Book Antiqua"/>
          <w:lang w:val="es-PR"/>
        </w:rPr>
        <w:footnoteReference w:id="1"/>
      </w:r>
      <w:r>
        <w:rPr>
          <w:rFonts w:ascii="Book Antiqua" w:hAnsi="Book Antiqua"/>
          <w:lang w:val="es-PR"/>
        </w:rPr>
        <w:t xml:space="preserve"> </w:t>
      </w:r>
      <w:r w:rsidRPr="005529E8">
        <w:rPr>
          <w:rFonts w:ascii="Book Antiqua" w:hAnsi="Book Antiqua"/>
          <w:lang w:val="es-PR"/>
        </w:rPr>
        <w:t xml:space="preserve">fue un estatuto concebido con intenciones encomiables, entre cuyos propósitos se encontraban: promover la identificación temprana de la </w:t>
      </w:r>
      <w:r w:rsidR="00B92AE5" w:rsidRPr="005529E8">
        <w:rPr>
          <w:rFonts w:ascii="Book Antiqua" w:hAnsi="Book Antiqua"/>
          <w:lang w:val="es-PR"/>
        </w:rPr>
        <w:t xml:space="preserve">niñez </w:t>
      </w:r>
      <w:r w:rsidR="00B92AE5">
        <w:rPr>
          <w:rFonts w:ascii="Book Antiqua" w:hAnsi="Book Antiqua"/>
          <w:lang w:val="es-PR"/>
        </w:rPr>
        <w:t>con</w:t>
      </w:r>
      <w:r w:rsidRPr="005529E8">
        <w:rPr>
          <w:rFonts w:ascii="Book Antiqua" w:hAnsi="Book Antiqua"/>
          <w:lang w:val="es-PR"/>
        </w:rPr>
        <w:t xml:space="preserve"> trastornos del espectro del autismo (TEA), proveer una cubierta médica</w:t>
      </w:r>
      <w:r w:rsidR="00B92AE5">
        <w:rPr>
          <w:rFonts w:ascii="Book Antiqua" w:hAnsi="Book Antiqua"/>
          <w:lang w:val="es-PR"/>
        </w:rPr>
        <w:t xml:space="preserve"> </w:t>
      </w:r>
      <w:r w:rsidRPr="005529E8">
        <w:rPr>
          <w:rFonts w:ascii="Book Antiqua" w:hAnsi="Book Antiqua"/>
          <w:lang w:val="es-PR"/>
        </w:rPr>
        <w:t xml:space="preserve">especializada </w:t>
      </w:r>
      <w:proofErr w:type="spellStart"/>
      <w:r w:rsidRPr="005529E8">
        <w:rPr>
          <w:rFonts w:ascii="Book Antiqua" w:hAnsi="Book Antiqua"/>
          <w:lang w:val="es-PR"/>
        </w:rPr>
        <w:t>mandatoria</w:t>
      </w:r>
      <w:proofErr w:type="spellEnd"/>
      <w:r w:rsidRPr="005529E8">
        <w:rPr>
          <w:rFonts w:ascii="Book Antiqua" w:hAnsi="Book Antiqua"/>
          <w:lang w:val="es-PR"/>
        </w:rPr>
        <w:t xml:space="preserve"> para la población con TEA, ordenar la provisión de servicios terapéuticos y sociales canalizados a través de diversas agencias gubernamentales,</w:t>
      </w:r>
      <w:r w:rsidR="00B92AE5">
        <w:rPr>
          <w:rFonts w:ascii="Book Antiqua" w:hAnsi="Book Antiqua"/>
          <w:lang w:val="es-PR"/>
        </w:rPr>
        <w:t xml:space="preserve"> </w:t>
      </w:r>
      <w:r w:rsidRPr="005529E8">
        <w:rPr>
          <w:rFonts w:ascii="Book Antiqua" w:hAnsi="Book Antiqua"/>
          <w:lang w:val="es-PR"/>
        </w:rPr>
        <w:t>proteger el desarrollo integral de las personas con TEA y crear un Comité Timón que</w:t>
      </w:r>
      <w:r w:rsidR="00B92AE5">
        <w:rPr>
          <w:rFonts w:ascii="Book Antiqua" w:hAnsi="Book Antiqua"/>
          <w:lang w:val="es-PR"/>
        </w:rPr>
        <w:t xml:space="preserve"> </w:t>
      </w:r>
      <w:r w:rsidRPr="005529E8">
        <w:rPr>
          <w:rFonts w:ascii="Book Antiqua" w:hAnsi="Book Antiqua"/>
          <w:lang w:val="es-PR"/>
        </w:rPr>
        <w:t>evaluara con regularidad la puesta en vigor de la política pública gubernamental a favor de las personas con TEA. Desde su concepción, este estatuto sufrió escollos que</w:t>
      </w:r>
      <w:r w:rsidR="00B92AE5">
        <w:rPr>
          <w:rFonts w:ascii="Book Antiqua" w:hAnsi="Book Antiqua"/>
          <w:lang w:val="es-PR"/>
        </w:rPr>
        <w:t xml:space="preserve"> </w:t>
      </w:r>
      <w:r w:rsidR="00B92AE5" w:rsidRPr="00B92AE5">
        <w:rPr>
          <w:rFonts w:ascii="Book Antiqua" w:hAnsi="Book Antiqua"/>
          <w:lang w:val="es-PR"/>
        </w:rPr>
        <w:t>limitaron su implementación efectiva a causa de ciertas deficiencias en su construcción</w:t>
      </w:r>
      <w:r w:rsidR="00B92AE5">
        <w:rPr>
          <w:rFonts w:ascii="Book Antiqua" w:hAnsi="Book Antiqua"/>
          <w:lang w:val="es-PR"/>
        </w:rPr>
        <w:t xml:space="preserve"> </w:t>
      </w:r>
      <w:r w:rsidR="00B92AE5" w:rsidRPr="00B92AE5">
        <w:rPr>
          <w:rFonts w:ascii="Book Antiqua" w:hAnsi="Book Antiqua"/>
          <w:lang w:val="es-PR"/>
        </w:rPr>
        <w:t>y diseño. El lenguaje desiderativo, discrecional y optativo de muchas de sus</w:t>
      </w:r>
      <w:r w:rsidR="00B92AE5">
        <w:rPr>
          <w:rFonts w:ascii="Book Antiqua" w:hAnsi="Book Antiqua"/>
          <w:lang w:val="es-PR"/>
        </w:rPr>
        <w:t xml:space="preserve"> </w:t>
      </w:r>
      <w:r w:rsidR="00B92AE5" w:rsidRPr="00B92AE5">
        <w:rPr>
          <w:rFonts w:ascii="Book Antiqua" w:hAnsi="Book Antiqua"/>
          <w:lang w:val="es-PR"/>
        </w:rPr>
        <w:t xml:space="preserve">disposiciones abrió puertas, en ocasiones, a la posposición de su ejecución y, en otras </w:t>
      </w:r>
      <w:r w:rsidR="00B92AE5">
        <w:rPr>
          <w:rFonts w:ascii="Book Antiqua" w:hAnsi="Book Antiqua"/>
          <w:lang w:val="es-PR"/>
        </w:rPr>
        <w:t>circunstancias</w:t>
      </w:r>
      <w:r w:rsidR="00B92AE5" w:rsidRPr="00B92AE5">
        <w:rPr>
          <w:rFonts w:ascii="Book Antiqua" w:hAnsi="Book Antiqua"/>
          <w:lang w:val="es-PR"/>
        </w:rPr>
        <w:t xml:space="preserve">, al franco incumplimiento de los funcionarios con los derechos y servicios que debía adelantar la política pública. Consecuentemente, luego de varios esfuerzos por enmendarla, y de </w:t>
      </w:r>
      <w:r w:rsidR="00B92AE5" w:rsidRPr="00B92AE5">
        <w:rPr>
          <w:rFonts w:ascii="Book Antiqua" w:hAnsi="Book Antiqua"/>
          <w:lang w:val="es-PR"/>
        </w:rPr>
        <w:lastRenderedPageBreak/>
        <w:t>constatarse un largo historial de incumplimiento por las agencias llamadas garantizar que las personas con TEA contaran con condiciones</w:t>
      </w:r>
      <w:r w:rsidR="00B92AE5">
        <w:rPr>
          <w:rFonts w:ascii="Book Antiqua" w:hAnsi="Book Antiqua"/>
          <w:lang w:val="es-PR"/>
        </w:rPr>
        <w:t xml:space="preserve"> </w:t>
      </w:r>
      <w:r w:rsidR="00B92AE5" w:rsidRPr="00B92AE5">
        <w:rPr>
          <w:rFonts w:ascii="Book Antiqua" w:hAnsi="Book Antiqua"/>
          <w:lang w:val="es-PR"/>
        </w:rPr>
        <w:t>dignas a lo largo de sus vidas, la Ley 163-2024, conocida como “Ley para la Protección, Seguridad, Integración, Bienestar y Desarrollo Integral de las Personas con los Trastornos del Espectro Autista”, derogó la Ley 220-2012, según enmendada, y redefinió la política pública sobre la atención a la comunidad con TEA.</w:t>
      </w:r>
    </w:p>
    <w:p w14:paraId="45416852" w14:textId="77777777" w:rsidR="00DC3FE0" w:rsidRDefault="00DC3FE0" w:rsidP="00DC3FE0">
      <w:pPr>
        <w:ind w:firstLine="360"/>
        <w:jc w:val="both"/>
        <w:rPr>
          <w:rFonts w:ascii="Book Antiqua" w:hAnsi="Book Antiqua"/>
          <w:lang w:val="es-PR"/>
        </w:rPr>
      </w:pPr>
    </w:p>
    <w:p w14:paraId="756DBB5F" w14:textId="77777777" w:rsidR="00B92AE5" w:rsidRDefault="00B92AE5" w:rsidP="00DC3FE0">
      <w:pPr>
        <w:ind w:firstLine="360"/>
        <w:jc w:val="both"/>
        <w:rPr>
          <w:rFonts w:ascii="Book Antiqua" w:hAnsi="Book Antiqua"/>
          <w:lang w:val="es-PR"/>
        </w:rPr>
      </w:pPr>
      <w:r w:rsidRPr="00B92AE5">
        <w:rPr>
          <w:rFonts w:ascii="Book Antiqua" w:hAnsi="Book Antiqua"/>
          <w:lang w:val="es-PR"/>
        </w:rPr>
        <w:t>La Ley 163-2024 es una pieza nutrida de un largo proceso de consultas, vistas públicas y el análisis de las experiencias vividas bajo varias leyes previas que, igualmente, buscaron visibilizar y subsanar los problemas confrontados por las personas con TEA y sus familias.</w:t>
      </w:r>
      <w:r w:rsidRPr="00B92AE5">
        <w:footnoteReference w:id="2"/>
      </w:r>
      <w:r w:rsidRPr="00B92AE5">
        <w:rPr>
          <w:rFonts w:ascii="Book Antiqua" w:hAnsi="Book Antiqua"/>
          <w:lang w:val="es-PR"/>
        </w:rPr>
        <w:t xml:space="preserve"> Lamentablemente, luego de aprobarse una pieza legislativa considerada por la comunidad como una más abarcadora y ejecutable, vuelven a presentarse denuncias de incumplimiento, de ejecución incompleta de</w:t>
      </w:r>
      <w:r>
        <w:rPr>
          <w:rFonts w:ascii="Book Antiqua" w:hAnsi="Book Antiqua"/>
          <w:lang w:val="es-PR"/>
        </w:rPr>
        <w:t xml:space="preserve"> los</w:t>
      </w:r>
      <w:r w:rsidRPr="00B92AE5">
        <w:rPr>
          <w:rFonts w:ascii="Book Antiqua" w:hAnsi="Book Antiqua"/>
          <w:lang w:val="es-PR"/>
        </w:rPr>
        <w:t xml:space="preserve"> procesos dispuestos en la legislación y de desidia gubernamental hacia las personas diagnosticadas con TEA. Por eso, hoy tenemos familias en estado de desesperación.</w:t>
      </w:r>
    </w:p>
    <w:p w14:paraId="6DC411E1" w14:textId="77777777" w:rsidR="00DC3FE0" w:rsidRDefault="00DC3FE0" w:rsidP="00DC3FE0">
      <w:pPr>
        <w:ind w:firstLine="360"/>
        <w:jc w:val="both"/>
        <w:rPr>
          <w:rFonts w:ascii="Book Antiqua" w:hAnsi="Book Antiqua"/>
          <w:lang w:val="es-PR"/>
        </w:rPr>
      </w:pPr>
    </w:p>
    <w:p w14:paraId="1E7026E4" w14:textId="16C63D78" w:rsidR="00B92AE5" w:rsidRDefault="00B92AE5" w:rsidP="00DC3FE0">
      <w:pPr>
        <w:ind w:firstLine="360"/>
        <w:jc w:val="both"/>
        <w:rPr>
          <w:rFonts w:ascii="Book Antiqua" w:hAnsi="Book Antiqua"/>
          <w:lang w:val="es-PR"/>
        </w:rPr>
      </w:pPr>
      <w:r w:rsidRPr="00B92AE5">
        <w:rPr>
          <w:rFonts w:ascii="Book Antiqua" w:hAnsi="Book Antiqua"/>
          <w:lang w:val="es-PR"/>
        </w:rPr>
        <w:t>El Espectro Autista es una condición del neurodesarrollo que afecta principalmente las áreas de la comunicación social y la conducta.</w:t>
      </w:r>
      <w:r>
        <w:rPr>
          <w:rStyle w:val="FootnoteReference"/>
          <w:rFonts w:ascii="Book Antiqua" w:hAnsi="Book Antiqua"/>
          <w:lang w:val="es-PR"/>
        </w:rPr>
        <w:footnoteReference w:id="3"/>
      </w:r>
      <w:r w:rsidRPr="00B92AE5">
        <w:rPr>
          <w:rFonts w:ascii="Book Antiqua" w:hAnsi="Book Antiqua"/>
          <w:lang w:val="es-PR"/>
        </w:rPr>
        <w:t xml:space="preserve"> Explica la Dra. Ángeles J. Acosta </w:t>
      </w:r>
      <w:r w:rsidRPr="00B03CB9">
        <w:rPr>
          <w:rFonts w:ascii="Book Antiqua" w:hAnsi="Book Antiqua"/>
          <w:lang w:val="es-PR"/>
        </w:rPr>
        <w:t>Rodríguez que, el autismo es una condición crónica que atraviesa todo el ciclo de vida</w:t>
      </w:r>
      <w:r w:rsidRPr="00B92AE5">
        <w:rPr>
          <w:rFonts w:ascii="Book Antiqua" w:hAnsi="Book Antiqua"/>
          <w:lang w:val="es-PR"/>
        </w:rPr>
        <w:t xml:space="preserve"> y cuyas manifestaciones conductuales varían tanto en fortalezas y debilidades como en el nivel de severidad. Es una condición genética que, además, puede estar acompañada de condiciones médicas o psiquiátricas que dan lugar a un</w:t>
      </w:r>
      <w:r w:rsidR="005E288E">
        <w:rPr>
          <w:rFonts w:ascii="Book Antiqua" w:hAnsi="Book Antiqua"/>
          <w:lang w:val="es-PR"/>
        </w:rPr>
        <w:t xml:space="preserve"> </w:t>
      </w:r>
      <w:r w:rsidR="005E288E" w:rsidRPr="005E288E">
        <w:rPr>
          <w:rFonts w:ascii="Book Antiqua" w:hAnsi="Book Antiqua"/>
          <w:lang w:val="es-PR"/>
        </w:rPr>
        <w:t>impacto significativo en el bienestar emocional, económico y social en la familia. La</w:t>
      </w:r>
      <w:r w:rsidR="005E288E">
        <w:rPr>
          <w:rFonts w:ascii="Book Antiqua" w:hAnsi="Book Antiqua"/>
          <w:lang w:val="es-PR"/>
        </w:rPr>
        <w:t xml:space="preserve"> </w:t>
      </w:r>
      <w:r w:rsidR="005E288E" w:rsidRPr="005E288E">
        <w:rPr>
          <w:rFonts w:ascii="Book Antiqua" w:hAnsi="Book Antiqua"/>
          <w:lang w:val="es-PR"/>
        </w:rPr>
        <w:t>niñez con TEA muestra diferencias significativas en términos de la expresión fenotípica con la que se manifiesta la condición y, además, existen factores psicosociales adversos como es la pobreza como un elemento determinante en la recuperación.</w:t>
      </w:r>
    </w:p>
    <w:p w14:paraId="1D72C954" w14:textId="77777777" w:rsidR="00DC3FE0" w:rsidRDefault="00DC3FE0" w:rsidP="00DC3FE0">
      <w:pPr>
        <w:ind w:firstLine="360"/>
        <w:jc w:val="both"/>
        <w:rPr>
          <w:rFonts w:ascii="Book Antiqua" w:hAnsi="Book Antiqua"/>
          <w:lang w:val="es-PR"/>
        </w:rPr>
      </w:pPr>
    </w:p>
    <w:p w14:paraId="1492141E" w14:textId="3460BDE1" w:rsidR="003A209E" w:rsidRDefault="005E288E" w:rsidP="00DC3FE0">
      <w:pPr>
        <w:ind w:firstLine="360"/>
        <w:jc w:val="both"/>
        <w:rPr>
          <w:rFonts w:ascii="Book Antiqua" w:hAnsi="Book Antiqua"/>
          <w:lang w:val="es-PR"/>
        </w:rPr>
      </w:pPr>
      <w:r w:rsidRPr="005E288E">
        <w:rPr>
          <w:rFonts w:ascii="Book Antiqua" w:hAnsi="Book Antiqua"/>
          <w:lang w:val="es-PR"/>
        </w:rPr>
        <w:t>La exposición a situaciones adversas y factores estresantes como la pobreza, la falta de seguridad y estabilidad en el entorno del hogar y la falta de acceso a una educación temprana de calidad, pueden afectar negativamente el desarrollo de la niñez en general.</w:t>
      </w:r>
      <w:r>
        <w:rPr>
          <w:rStyle w:val="FootnoteReference"/>
          <w:rFonts w:ascii="Book Antiqua" w:hAnsi="Book Antiqua"/>
          <w:lang w:val="es-PR"/>
        </w:rPr>
        <w:footnoteReference w:id="4"/>
      </w:r>
      <w:r w:rsidRPr="005E288E">
        <w:rPr>
          <w:rFonts w:ascii="Book Antiqua" w:hAnsi="Book Antiqua"/>
          <w:lang w:val="es-PR"/>
        </w:rPr>
        <w:t xml:space="preserve"> Se percibe una marcada diferencia en cuanto al pronóstico entre las estudiantes de familias de escasos recursos económicos y las estudiantes que tienen acceso a servicios educativos y de intervención temprana que utilizan estrategias informadas. Un diagnóstico de TEA supone un reto enorme para las familias que viven bajo los niveles </w:t>
      </w:r>
      <w:r w:rsidRPr="005E288E">
        <w:rPr>
          <w:rFonts w:ascii="Book Antiqua" w:hAnsi="Book Antiqua"/>
          <w:lang w:val="es-PR"/>
        </w:rPr>
        <w:lastRenderedPageBreak/>
        <w:t>de pobreza pues, en muchas instancias, no tienen acceso a la información que les permita desarrollar destrezas y estrategias para tomar decisiones informadas en asuntos tan importante como los procesos del diseño del plan de servicios educativos y de servicios relacionados con objetivos funcionales, sobre el proceso de transición y la determinación sobre cuál es la ubicación apropiada.</w:t>
      </w:r>
    </w:p>
    <w:p w14:paraId="1D18B6F6" w14:textId="77777777" w:rsidR="00DC3FE0" w:rsidRDefault="00DC3FE0" w:rsidP="00DC3FE0">
      <w:pPr>
        <w:ind w:firstLine="360"/>
        <w:jc w:val="both"/>
        <w:rPr>
          <w:rFonts w:ascii="Book Antiqua" w:hAnsi="Book Antiqua"/>
          <w:lang w:val="es-PR"/>
        </w:rPr>
      </w:pPr>
    </w:p>
    <w:p w14:paraId="43860E40" w14:textId="1B620ED3" w:rsidR="005E288E" w:rsidRDefault="005E288E" w:rsidP="00DC3FE0">
      <w:pPr>
        <w:ind w:firstLine="360"/>
        <w:jc w:val="both"/>
        <w:rPr>
          <w:rFonts w:ascii="Book Antiqua" w:hAnsi="Book Antiqua"/>
          <w:lang w:val="es-PR"/>
        </w:rPr>
      </w:pPr>
      <w:r w:rsidRPr="005E288E">
        <w:rPr>
          <w:rFonts w:ascii="Book Antiqua" w:hAnsi="Book Antiqua"/>
          <w:lang w:val="es-PR"/>
        </w:rPr>
        <w:t>Según el estudio “Tendencias en la prevalencia de deficiencias del desarrollo en niños de EE. UU., 1997-2008” del Centro para el Control y Prevención de Enfermedades (CDC, por sus siglas en inglés) y la Administración de Recursos y Servicios de Salud (HRSA, por sus siglas en inglés), la prevalencia general de deficiencias en el desarrollo</w:t>
      </w:r>
      <w:r>
        <w:rPr>
          <w:rFonts w:ascii="Book Antiqua" w:hAnsi="Book Antiqua"/>
          <w:lang w:val="es-PR"/>
        </w:rPr>
        <w:t xml:space="preserve"> </w:t>
      </w:r>
      <w:r w:rsidRPr="005E288E">
        <w:rPr>
          <w:rFonts w:ascii="Book Antiqua" w:hAnsi="Book Antiqua"/>
          <w:lang w:val="es-PR"/>
        </w:rPr>
        <w:t xml:space="preserve">aumentó un 17.1% de 1997 a 2008, mientras que la prevalencia del autismo aumentó 289.5%. El estudio de prevalencia de autismo en Puerto Rico realizado en el 2011 por la Escuela Graduada de Salud Pública por encargo del Departamento de Salud, </w:t>
      </w:r>
      <w:r w:rsidRPr="005E288E">
        <w:rPr>
          <w:rFonts w:ascii="Book Antiqua" w:hAnsi="Book Antiqua"/>
          <w:i/>
          <w:iCs/>
          <w:lang w:val="es-PR"/>
        </w:rPr>
        <w:t>Prevalencia de Autismo en la Niñez en Puerto Rico: Informe de Resultados de la Encuesta del 2011</w:t>
      </w:r>
      <w:r w:rsidRPr="005E288E">
        <w:rPr>
          <w:rFonts w:ascii="Book Antiqua" w:hAnsi="Book Antiqua"/>
          <w:lang w:val="es-PR"/>
        </w:rPr>
        <w:t>, indicó que, para entonces, 1 de cada 62 niñas era diagnosticada con autismo en Puerto Rico. En EE. UU., la prevalencia promedio para esa fecha era 1 de cada 68 niñas. Consiguientemente, en Puerto Rico teníamos una de las tasas más altas de autismo e</w:t>
      </w:r>
      <w:r>
        <w:rPr>
          <w:rFonts w:ascii="Book Antiqua" w:hAnsi="Book Antiqua"/>
          <w:lang w:val="es-PR"/>
        </w:rPr>
        <w:t xml:space="preserve">n </w:t>
      </w:r>
      <w:r w:rsidRPr="005E288E">
        <w:rPr>
          <w:rFonts w:ascii="Book Antiqua" w:hAnsi="Book Antiqua"/>
          <w:lang w:val="es-PR"/>
        </w:rPr>
        <w:t xml:space="preserve">las jurisdicciones de Estados Unidos. El estudio pronostica que seguirá subiendo exponencialmente, ya que se estimó que para el año 2025, 1 de cada 15 niñas será diagnosticada con autismo. El </w:t>
      </w:r>
      <w:r w:rsidRPr="005E288E">
        <w:rPr>
          <w:rFonts w:ascii="Book Antiqua" w:hAnsi="Book Antiqua"/>
          <w:i/>
          <w:iCs/>
          <w:lang w:val="es-PR"/>
        </w:rPr>
        <w:t xml:space="preserve">Child </w:t>
      </w:r>
      <w:proofErr w:type="spellStart"/>
      <w:r w:rsidRPr="005E288E">
        <w:rPr>
          <w:rFonts w:ascii="Book Antiqua" w:hAnsi="Book Antiqua"/>
          <w:i/>
          <w:iCs/>
          <w:lang w:val="es-PR"/>
        </w:rPr>
        <w:t>Count</w:t>
      </w:r>
      <w:proofErr w:type="spellEnd"/>
      <w:r w:rsidRPr="005E288E">
        <w:rPr>
          <w:rFonts w:ascii="Book Antiqua" w:hAnsi="Book Antiqua"/>
          <w:lang w:val="es-PR"/>
        </w:rPr>
        <w:t xml:space="preserve"> de estudiantes registrados en el Programa de Educación bajo el mandato de la </w:t>
      </w:r>
      <w:proofErr w:type="spellStart"/>
      <w:r w:rsidRPr="005E288E">
        <w:rPr>
          <w:rFonts w:ascii="Book Antiqua" w:hAnsi="Book Antiqua"/>
          <w:i/>
          <w:iCs/>
          <w:lang w:val="es-PR"/>
        </w:rPr>
        <w:t>Individuals</w:t>
      </w:r>
      <w:proofErr w:type="spellEnd"/>
      <w:r w:rsidRPr="005E288E">
        <w:rPr>
          <w:rFonts w:ascii="Book Antiqua" w:hAnsi="Book Antiqua"/>
          <w:i/>
          <w:iCs/>
          <w:lang w:val="es-PR"/>
        </w:rPr>
        <w:t xml:space="preserve"> </w:t>
      </w:r>
      <w:proofErr w:type="spellStart"/>
      <w:r w:rsidRPr="005E288E">
        <w:rPr>
          <w:rFonts w:ascii="Book Antiqua" w:hAnsi="Book Antiqua"/>
          <w:i/>
          <w:iCs/>
          <w:lang w:val="es-PR"/>
        </w:rPr>
        <w:t>with</w:t>
      </w:r>
      <w:proofErr w:type="spellEnd"/>
      <w:r w:rsidRPr="005E288E">
        <w:rPr>
          <w:rFonts w:ascii="Book Antiqua" w:hAnsi="Book Antiqua"/>
          <w:i/>
          <w:iCs/>
          <w:lang w:val="es-PR"/>
        </w:rPr>
        <w:t xml:space="preserve"> </w:t>
      </w:r>
      <w:proofErr w:type="spellStart"/>
      <w:r w:rsidRPr="005E288E">
        <w:rPr>
          <w:rFonts w:ascii="Book Antiqua" w:hAnsi="Book Antiqua"/>
          <w:i/>
          <w:iCs/>
          <w:lang w:val="es-PR"/>
        </w:rPr>
        <w:t>Disabilities</w:t>
      </w:r>
      <w:proofErr w:type="spellEnd"/>
      <w:r w:rsidRPr="005E288E">
        <w:rPr>
          <w:rFonts w:ascii="Book Antiqua" w:hAnsi="Book Antiqua"/>
          <w:i/>
          <w:iCs/>
          <w:lang w:val="es-PR"/>
        </w:rPr>
        <w:t xml:space="preserve"> </w:t>
      </w:r>
      <w:proofErr w:type="spellStart"/>
      <w:r w:rsidRPr="005E288E">
        <w:rPr>
          <w:rFonts w:ascii="Book Antiqua" w:hAnsi="Book Antiqua"/>
          <w:i/>
          <w:iCs/>
          <w:lang w:val="es-PR"/>
        </w:rPr>
        <w:t>Education</w:t>
      </w:r>
      <w:proofErr w:type="spellEnd"/>
      <w:r w:rsidRPr="005E288E">
        <w:rPr>
          <w:rFonts w:ascii="Book Antiqua" w:hAnsi="Book Antiqua"/>
          <w:i/>
          <w:iCs/>
          <w:lang w:val="es-PR"/>
        </w:rPr>
        <w:t xml:space="preserve"> </w:t>
      </w:r>
      <w:proofErr w:type="spellStart"/>
      <w:r w:rsidRPr="005E288E">
        <w:rPr>
          <w:rFonts w:ascii="Book Antiqua" w:hAnsi="Book Antiqua"/>
          <w:i/>
          <w:iCs/>
          <w:lang w:val="es-PR"/>
        </w:rPr>
        <w:t>Act</w:t>
      </w:r>
      <w:proofErr w:type="spellEnd"/>
      <w:r w:rsidRPr="005E288E">
        <w:rPr>
          <w:rFonts w:ascii="Book Antiqua" w:hAnsi="Book Antiqua"/>
          <w:i/>
          <w:iCs/>
          <w:lang w:val="es-PR"/>
        </w:rPr>
        <w:t xml:space="preserve"> </w:t>
      </w:r>
      <w:r w:rsidRPr="005E288E">
        <w:rPr>
          <w:rFonts w:ascii="Book Antiqua" w:hAnsi="Book Antiqua"/>
          <w:lang w:val="es-PR"/>
        </w:rPr>
        <w:t>(IDEA), que está próximo a publicarse, debe arrojar luz sobre la proporción del autismo en el presente.</w:t>
      </w:r>
    </w:p>
    <w:p w14:paraId="2060066F" w14:textId="77777777" w:rsidR="00DC3FE0" w:rsidRDefault="00DC3FE0" w:rsidP="00DC3FE0">
      <w:pPr>
        <w:ind w:firstLine="360"/>
        <w:jc w:val="both"/>
        <w:rPr>
          <w:rFonts w:ascii="Book Antiqua" w:hAnsi="Book Antiqua"/>
          <w:lang w:val="es-PR"/>
        </w:rPr>
      </w:pPr>
    </w:p>
    <w:p w14:paraId="6BAFC646" w14:textId="6A7A1B90" w:rsidR="005E288E" w:rsidRDefault="00B03CB9" w:rsidP="00DC3FE0">
      <w:pPr>
        <w:ind w:firstLine="360"/>
        <w:jc w:val="both"/>
        <w:rPr>
          <w:rFonts w:ascii="Book Antiqua" w:hAnsi="Book Antiqua"/>
          <w:lang w:val="es-PR"/>
        </w:rPr>
      </w:pPr>
      <w:r w:rsidRPr="00B03CB9">
        <w:rPr>
          <w:rFonts w:ascii="Book Antiqua" w:hAnsi="Book Antiqua"/>
          <w:lang w:val="es-PR"/>
        </w:rPr>
        <w:t>A su vez, el 64% de las personas con TEA informó tener alguna comorbilidad que profundiza su dificultad para llevar a cabo funciones del diario vivir. La presencia de condiciones adicionales al autismo es un reto para esta población y para el sistema de salud que los atiende. Los diagnósticos concomitantes reportados más frecuentemente fueron: problemas de aprendizaje (76%), déficit de atención (58%) y ansiedad (47%). De este grupo el 19% reportó que la ansiedad era severa, 45% moderada y el 36% leve. Otras condiciones reportadas fueron: problemas gastrointestinales (30%), alergias en general (30%), alergias alimentarias (23%), epilepsia (10%) y depresión (10%). La agresión o autoagresión son comunes en esta población, mayormente generada por los altos niveles de ansiedad que padecen y su dificultad para comunicarse, manejar su ambiente, estímulos sensoriales, problemas de autorregulación y por los trastornos médicos, particularmente gastrointestinales, que a su vez afectan su sistema nervioso.</w:t>
      </w:r>
      <w:r>
        <w:rPr>
          <w:rStyle w:val="FootnoteReference"/>
          <w:rFonts w:ascii="Book Antiqua" w:hAnsi="Book Antiqua"/>
          <w:lang w:val="es-PR"/>
        </w:rPr>
        <w:footnoteReference w:id="5"/>
      </w:r>
    </w:p>
    <w:p w14:paraId="1DE46BDD" w14:textId="77777777" w:rsidR="00DC3FE0" w:rsidRDefault="00DC3FE0" w:rsidP="00DC3FE0">
      <w:pPr>
        <w:ind w:firstLine="360"/>
        <w:jc w:val="both"/>
        <w:rPr>
          <w:rFonts w:ascii="Book Antiqua" w:hAnsi="Book Antiqua"/>
          <w:lang w:val="es-PR"/>
        </w:rPr>
      </w:pPr>
    </w:p>
    <w:p w14:paraId="4CAA59E9" w14:textId="74503787" w:rsidR="005E288E" w:rsidRDefault="00B03CB9" w:rsidP="00DC3FE0">
      <w:pPr>
        <w:ind w:firstLine="360"/>
        <w:jc w:val="both"/>
        <w:rPr>
          <w:rFonts w:ascii="Book Antiqua" w:hAnsi="Book Antiqua"/>
          <w:lang w:val="es-PR"/>
        </w:rPr>
      </w:pPr>
      <w:r w:rsidRPr="00B03CB9">
        <w:rPr>
          <w:rFonts w:ascii="Book Antiqua" w:hAnsi="Book Antiqua"/>
          <w:lang w:val="es-PR"/>
        </w:rPr>
        <w:t xml:space="preserve">El cumplimiento de la política pública, así como la urgencia de una atención digna, integral y constante para las personas con TEA, son asuntos que inciden sobre los derechos humanos de la gente afectada y que no admiten más posposición. Por eso, </w:t>
      </w:r>
      <w:r>
        <w:rPr>
          <w:rFonts w:ascii="Book Antiqua" w:hAnsi="Book Antiqua"/>
          <w:lang w:val="es-PR"/>
        </w:rPr>
        <w:t>la Cámara de Representantes</w:t>
      </w:r>
      <w:r w:rsidRPr="00B03CB9">
        <w:rPr>
          <w:rFonts w:ascii="Book Antiqua" w:hAnsi="Book Antiqua"/>
          <w:lang w:val="es-PR"/>
        </w:rPr>
        <w:t xml:space="preserve"> de Puerto Rico le ordena a su Comisión de </w:t>
      </w:r>
      <w:r>
        <w:rPr>
          <w:rFonts w:ascii="Book Antiqua" w:hAnsi="Book Antiqua"/>
          <w:lang w:val="es-PR"/>
        </w:rPr>
        <w:t xml:space="preserve">Adultos Mayores </w:t>
      </w:r>
      <w:r>
        <w:rPr>
          <w:rFonts w:ascii="Book Antiqua" w:hAnsi="Book Antiqua"/>
          <w:lang w:val="es-PR"/>
        </w:rPr>
        <w:lastRenderedPageBreak/>
        <w:t xml:space="preserve">y Bienestar Social </w:t>
      </w:r>
      <w:r w:rsidRPr="00B03CB9">
        <w:rPr>
          <w:rFonts w:ascii="Book Antiqua" w:hAnsi="Book Antiqua"/>
          <w:lang w:val="es-PR"/>
        </w:rPr>
        <w:t>una investigación sobre el estado de cumplimiento de la Ley 163-2024, denominada “Ley para la Protección, Seguridad, Integración, Bienestar y Desarrollo Integral de las Personas con los Trastornos del Espectro Autista”.</w:t>
      </w:r>
    </w:p>
    <w:p w14:paraId="323950C4" w14:textId="77777777" w:rsidR="00DC3FE0" w:rsidRDefault="00DC3FE0" w:rsidP="00DC3FE0">
      <w:pPr>
        <w:ind w:firstLine="360"/>
        <w:jc w:val="both"/>
        <w:rPr>
          <w:rFonts w:ascii="Book Antiqua" w:hAnsi="Book Antiqua"/>
          <w:lang w:val="es-PR"/>
        </w:rPr>
      </w:pPr>
    </w:p>
    <w:p w14:paraId="6402879F" w14:textId="77777777"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9"/>
          <w:type w:val="continuous"/>
          <w:pgSz w:w="12240" w:h="15840" w:code="1"/>
          <w:pgMar w:top="1440" w:right="1440" w:bottom="1440" w:left="1440" w:header="720" w:footer="720" w:gutter="0"/>
          <w:cols w:space="720"/>
          <w:titlePg/>
        </w:sectPr>
      </w:pPr>
    </w:p>
    <w:p w14:paraId="56B785FA" w14:textId="77777777" w:rsidR="00527493" w:rsidRDefault="00AD086A" w:rsidP="00781769">
      <w:pPr>
        <w:spacing w:line="480" w:lineRule="auto"/>
        <w:ind w:firstLine="720"/>
        <w:jc w:val="both"/>
        <w:rPr>
          <w:rFonts w:ascii="Book Antiqua" w:hAnsi="Book Antiqua"/>
          <w:lang w:val="es-ES_tradnl"/>
        </w:rPr>
      </w:pPr>
      <w:r w:rsidRPr="00AD086A">
        <w:rPr>
          <w:rFonts w:ascii="Book Antiqua" w:hAnsi="Book Antiqua"/>
          <w:lang w:val="es-ES_tradnl"/>
        </w:rPr>
        <w:t xml:space="preserve">Sección 1. </w:t>
      </w:r>
      <w:r w:rsidR="00527493">
        <w:rPr>
          <w:rFonts w:ascii="Book Antiqua" w:hAnsi="Book Antiqua"/>
          <w:lang w:val="es-ES_tradnl"/>
        </w:rPr>
        <w:t>-</w:t>
      </w:r>
      <w:r w:rsidRPr="00AD086A">
        <w:rPr>
          <w:rFonts w:ascii="Book Antiqua" w:hAnsi="Book Antiqua"/>
          <w:lang w:val="es-ES_tradnl"/>
        </w:rPr>
        <w:t xml:space="preserve"> </w:t>
      </w:r>
      <w:r w:rsidR="00B03CB9" w:rsidRPr="00B03CB9">
        <w:rPr>
          <w:rFonts w:ascii="Book Antiqua" w:hAnsi="Book Antiqua"/>
          <w:lang w:val="es-ES_tradnl"/>
        </w:rPr>
        <w:t xml:space="preserve">Se ordena a la Comisión </w:t>
      </w:r>
      <w:r w:rsidR="00B03CB9">
        <w:rPr>
          <w:rFonts w:ascii="Book Antiqua" w:hAnsi="Book Antiqua"/>
          <w:lang w:val="es-ES_tradnl"/>
        </w:rPr>
        <w:t xml:space="preserve">Adultos Mayores y Bienestar Social de la Cámara de Representantes de Puerto Rico </w:t>
      </w:r>
      <w:r w:rsidR="00B03CB9" w:rsidRPr="00B03CB9">
        <w:rPr>
          <w:rFonts w:ascii="Book Antiqua" w:hAnsi="Book Antiqua"/>
          <w:lang w:val="es-ES_tradnl"/>
        </w:rPr>
        <w:t xml:space="preserve">Puerto Rico realizar una investigación sobre el estado de cumplimiento de la Ley </w:t>
      </w:r>
      <w:r w:rsidR="00B03CB9">
        <w:rPr>
          <w:rFonts w:ascii="Book Antiqua" w:hAnsi="Book Antiqua"/>
          <w:lang w:val="es-ES_tradnl"/>
        </w:rPr>
        <w:t xml:space="preserve">Núm. </w:t>
      </w:r>
      <w:r w:rsidR="00B03CB9" w:rsidRPr="00B03CB9">
        <w:rPr>
          <w:rFonts w:ascii="Book Antiqua" w:hAnsi="Book Antiqua"/>
          <w:lang w:val="es-ES_tradnl"/>
        </w:rPr>
        <w:t xml:space="preserve">163-2024, denominada “Ley para la Protección, Seguridad, Integración, Bienestar y </w:t>
      </w:r>
      <w:r w:rsidR="00B03CB9">
        <w:rPr>
          <w:rFonts w:ascii="Book Antiqua" w:hAnsi="Book Antiqua"/>
          <w:lang w:val="es-ES_tradnl"/>
        </w:rPr>
        <w:t>D</w:t>
      </w:r>
      <w:r w:rsidR="00B03CB9" w:rsidRPr="00B03CB9">
        <w:rPr>
          <w:rFonts w:ascii="Book Antiqua" w:hAnsi="Book Antiqua"/>
          <w:lang w:val="es-ES_tradnl"/>
        </w:rPr>
        <w:t>esarrollo Integral de las Personas con los Trastornos del Espectro Autista”.</w:t>
      </w:r>
    </w:p>
    <w:p w14:paraId="45F1DBE8" w14:textId="59957BB4" w:rsidR="00890C1A" w:rsidRPr="00ED1E2F" w:rsidRDefault="00527493" w:rsidP="00781769">
      <w:pPr>
        <w:spacing w:line="480" w:lineRule="auto"/>
        <w:ind w:firstLine="720"/>
        <w:jc w:val="both"/>
        <w:rPr>
          <w:rFonts w:ascii="Book Antiqua" w:hAnsi="Book Antiqua"/>
          <w:lang w:val="es-ES_tradnl"/>
        </w:rPr>
      </w:pPr>
      <w:r>
        <w:rPr>
          <w:rFonts w:ascii="Book Antiqua" w:hAnsi="Book Antiqua"/>
          <w:lang w:val="es-ES_tradnl"/>
        </w:rPr>
        <w:t>S</w:t>
      </w:r>
      <w:r w:rsidR="00890C1A" w:rsidRPr="00ED1E2F">
        <w:rPr>
          <w:rFonts w:ascii="Book Antiqua" w:hAnsi="Book Antiqua"/>
          <w:lang w:val="es-ES_tradnl"/>
        </w:rPr>
        <w:t xml:space="preserve">ección </w:t>
      </w:r>
      <w:r w:rsidR="00B03CB9">
        <w:rPr>
          <w:rFonts w:ascii="Book Antiqua" w:hAnsi="Book Antiqua"/>
          <w:lang w:val="es-ES_tradnl"/>
        </w:rPr>
        <w:t>2</w:t>
      </w:r>
      <w:r w:rsidR="00890C1A" w:rsidRPr="00ED1E2F">
        <w:rPr>
          <w:rFonts w:ascii="Book Antiqua" w:hAnsi="Book Antiqua"/>
          <w:lang w:val="es-ES_tradnl"/>
        </w:rPr>
        <w:t>.</w:t>
      </w:r>
      <w:r w:rsidR="00781769">
        <w:rPr>
          <w:rFonts w:ascii="Book Antiqua" w:hAnsi="Book Antiqua"/>
          <w:lang w:val="es-ES_tradnl"/>
        </w:rPr>
        <w:t xml:space="preserve"> -</w:t>
      </w:r>
      <w:r w:rsidR="00890C1A" w:rsidRPr="00ED1E2F">
        <w:rPr>
          <w:rFonts w:ascii="Book Antiqua" w:hAnsi="Book Antiqua"/>
          <w:lang w:val="es-ES_tradnl"/>
        </w:rPr>
        <w:t xml:space="preserve"> La Comisión </w:t>
      </w:r>
      <w:r w:rsidR="00E67104">
        <w:rPr>
          <w:rFonts w:ascii="Book Antiqua" w:hAnsi="Book Antiqua"/>
          <w:lang w:val="es-ES_tradnl"/>
        </w:rPr>
        <w:t xml:space="preserve">rendirá </w:t>
      </w:r>
      <w:r w:rsidR="00890C1A" w:rsidRPr="00ED1E2F">
        <w:rPr>
          <w:rFonts w:ascii="Book Antiqua" w:hAnsi="Book Antiqua"/>
          <w:lang w:val="es-ES_tradnl"/>
        </w:rPr>
        <w:t>un informe con sus hallazgos, conclusiones y recomendaciones</w:t>
      </w:r>
      <w:r w:rsidR="00E67104">
        <w:rPr>
          <w:rFonts w:ascii="Book Antiqua" w:hAnsi="Book Antiqua"/>
          <w:lang w:val="es-ES_tradnl"/>
        </w:rPr>
        <w:t xml:space="preserve"> dentro de un término</w:t>
      </w:r>
      <w:r w:rsidR="00781769">
        <w:rPr>
          <w:rFonts w:ascii="Book Antiqua" w:hAnsi="Book Antiqua"/>
          <w:lang w:val="es-ES_tradnl"/>
        </w:rPr>
        <w:t xml:space="preserve"> no mayor</w:t>
      </w:r>
      <w:r w:rsidR="00E67104">
        <w:rPr>
          <w:rFonts w:ascii="Book Antiqua" w:hAnsi="Book Antiqua"/>
          <w:lang w:val="es-ES_tradnl"/>
        </w:rPr>
        <w:t xml:space="preserve"> de </w:t>
      </w:r>
      <w:r w:rsidR="00781769">
        <w:rPr>
          <w:rFonts w:ascii="Book Antiqua" w:hAnsi="Book Antiqua"/>
          <w:lang w:val="es-ES_tradnl"/>
        </w:rPr>
        <w:t xml:space="preserve">ciento </w:t>
      </w:r>
      <w:r w:rsidR="00B03CB9">
        <w:rPr>
          <w:rFonts w:ascii="Book Antiqua" w:hAnsi="Book Antiqua"/>
          <w:lang w:val="es-ES_tradnl"/>
        </w:rPr>
        <w:t>veinte</w:t>
      </w:r>
      <w:r w:rsidR="00E67104">
        <w:rPr>
          <w:rFonts w:ascii="Book Antiqua" w:hAnsi="Book Antiqua"/>
          <w:lang w:val="es-ES_tradnl"/>
        </w:rPr>
        <w:t xml:space="preserve"> (</w:t>
      </w:r>
      <w:r w:rsidR="00781769">
        <w:rPr>
          <w:rFonts w:ascii="Book Antiqua" w:hAnsi="Book Antiqua"/>
          <w:lang w:val="es-ES_tradnl"/>
        </w:rPr>
        <w:t>1</w:t>
      </w:r>
      <w:r w:rsidR="00B03CB9">
        <w:rPr>
          <w:rFonts w:ascii="Book Antiqua" w:hAnsi="Book Antiqua"/>
          <w:lang w:val="es-ES_tradnl"/>
        </w:rPr>
        <w:t>2</w:t>
      </w:r>
      <w:r w:rsidR="00E67104">
        <w:rPr>
          <w:rFonts w:ascii="Book Antiqua" w:hAnsi="Book Antiqua"/>
          <w:lang w:val="es-ES_tradnl"/>
        </w:rPr>
        <w:t>0) días</w:t>
      </w:r>
      <w:r w:rsidR="00781769">
        <w:rPr>
          <w:rFonts w:ascii="Book Antiqua" w:hAnsi="Book Antiqua"/>
          <w:lang w:val="es-ES_tradnl"/>
        </w:rPr>
        <w:t>,</w:t>
      </w:r>
      <w:r w:rsidR="00E67104">
        <w:rPr>
          <w:rFonts w:ascii="Book Antiqua" w:hAnsi="Book Antiqua"/>
          <w:lang w:val="es-ES_tradnl"/>
        </w:rPr>
        <w:t xml:space="preserve"> a partir de la aprobación de esta Resolución. </w:t>
      </w:r>
    </w:p>
    <w:p w14:paraId="6A8E3044" w14:textId="21BDFEA7"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527493">
        <w:rPr>
          <w:rFonts w:ascii="Book Antiqua" w:hAnsi="Book Antiqua"/>
          <w:lang w:val="es-ES_tradnl"/>
        </w:rPr>
        <w:t>3</w:t>
      </w:r>
      <w:r w:rsidRPr="00ED1E2F">
        <w:rPr>
          <w:rFonts w:ascii="Book Antiqua" w:hAnsi="Book Antiqua"/>
          <w:lang w:val="es-ES_tradnl"/>
        </w:rPr>
        <w:t>.</w:t>
      </w:r>
      <w:r w:rsidR="00781769">
        <w:rPr>
          <w:rFonts w:ascii="Book Antiqua" w:hAnsi="Book Antiqua"/>
          <w:lang w:val="es-ES_tradnl"/>
        </w:rPr>
        <w:t xml:space="preserve"> -</w:t>
      </w:r>
      <w:r w:rsidRPr="00ED1E2F">
        <w:rPr>
          <w:rFonts w:ascii="Book Antiqua" w:hAnsi="Book Antiqua"/>
          <w:lang w:val="es-ES_tradnl"/>
        </w:rPr>
        <w:t xml:space="preserve"> Esta Resolución </w:t>
      </w:r>
      <w:r w:rsidR="00781769">
        <w:rPr>
          <w:rFonts w:ascii="Book Antiqua" w:hAnsi="Book Antiqua"/>
          <w:lang w:val="es-ES_tradnl"/>
        </w:rPr>
        <w:t>entrará en vigor</w:t>
      </w:r>
      <w:r w:rsidRPr="00ED1E2F">
        <w:rPr>
          <w:rFonts w:ascii="Book Antiqua" w:hAnsi="Book Antiqua"/>
          <w:lang w:val="es-ES_tradnl"/>
        </w:rPr>
        <w:t xml:space="preserve"> inmediatamente después de su aprobación.  </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A528F" w14:textId="77777777" w:rsidR="00EE1241" w:rsidRDefault="00EE1241">
      <w:r>
        <w:separator/>
      </w:r>
    </w:p>
  </w:endnote>
  <w:endnote w:type="continuationSeparator" w:id="0">
    <w:p w14:paraId="14C24B5B" w14:textId="77777777" w:rsidR="00EE1241" w:rsidRDefault="00EE1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1A518" w14:textId="77777777" w:rsidR="00EE1241" w:rsidRDefault="00EE1241">
      <w:r>
        <w:separator/>
      </w:r>
    </w:p>
  </w:footnote>
  <w:footnote w:type="continuationSeparator" w:id="0">
    <w:p w14:paraId="7A7713A6" w14:textId="77777777" w:rsidR="00EE1241" w:rsidRDefault="00EE1241">
      <w:r>
        <w:continuationSeparator/>
      </w:r>
    </w:p>
  </w:footnote>
  <w:footnote w:id="1">
    <w:p w14:paraId="77D59322" w14:textId="5EF400DA" w:rsidR="005529E8" w:rsidRPr="00B03CB9" w:rsidRDefault="005529E8" w:rsidP="00B03CB9">
      <w:pPr>
        <w:pStyle w:val="FootnoteText"/>
        <w:spacing w:after="120"/>
        <w:jc w:val="both"/>
        <w:rPr>
          <w:rFonts w:ascii="Book Antiqua" w:hAnsi="Book Antiqua"/>
          <w:sz w:val="18"/>
          <w:szCs w:val="18"/>
          <w:lang w:val="es-PR"/>
        </w:rPr>
      </w:pPr>
      <w:r w:rsidRPr="00B03CB9">
        <w:rPr>
          <w:rStyle w:val="FootnoteReference"/>
          <w:rFonts w:ascii="Book Antiqua" w:hAnsi="Book Antiqua"/>
          <w:sz w:val="18"/>
          <w:szCs w:val="18"/>
        </w:rPr>
        <w:footnoteRef/>
      </w:r>
      <w:r w:rsidRPr="00B03CB9">
        <w:rPr>
          <w:rFonts w:ascii="Book Antiqua" w:hAnsi="Book Antiqua"/>
          <w:sz w:val="18"/>
          <w:szCs w:val="18"/>
          <w:lang w:val="es-PR"/>
        </w:rPr>
        <w:t xml:space="preserve"> </w:t>
      </w:r>
      <w:r w:rsidR="00B92AE5" w:rsidRPr="00B03CB9">
        <w:rPr>
          <w:rFonts w:ascii="Book Antiqua" w:hAnsi="Book Antiqua"/>
          <w:sz w:val="18"/>
          <w:szCs w:val="18"/>
          <w:lang w:val="es-PR"/>
        </w:rPr>
        <w:t>Esta Ley también se conoció como la Ley “BIDA”, por sus siglas.</w:t>
      </w:r>
    </w:p>
  </w:footnote>
  <w:footnote w:id="2">
    <w:p w14:paraId="5C3B0221" w14:textId="7A8B5833" w:rsidR="00B92AE5" w:rsidRPr="00B03CB9" w:rsidRDefault="00B92AE5" w:rsidP="00B03CB9">
      <w:pPr>
        <w:pStyle w:val="FootnoteText"/>
        <w:spacing w:after="120"/>
        <w:jc w:val="both"/>
        <w:rPr>
          <w:rFonts w:ascii="Book Antiqua" w:hAnsi="Book Antiqua"/>
          <w:sz w:val="18"/>
          <w:szCs w:val="18"/>
          <w:lang w:val="es-PR"/>
        </w:rPr>
      </w:pPr>
      <w:r w:rsidRPr="00B03CB9">
        <w:rPr>
          <w:rStyle w:val="FootnoteReference"/>
          <w:rFonts w:ascii="Book Antiqua" w:hAnsi="Book Antiqua"/>
          <w:sz w:val="18"/>
          <w:szCs w:val="18"/>
        </w:rPr>
        <w:footnoteRef/>
      </w:r>
      <w:r w:rsidRPr="00B03CB9">
        <w:rPr>
          <w:rFonts w:ascii="Book Antiqua" w:hAnsi="Book Antiqua"/>
          <w:sz w:val="18"/>
          <w:szCs w:val="18"/>
          <w:lang w:val="es-PR"/>
        </w:rPr>
        <w:t xml:space="preserve"> Véanse la Ley 318-2003, según enmendada, conocida como la “Ley para el Desarrollo de la Política Pública del Estado Libre Asociado de Puerto Rico relacionada con la población con Desórdenes de la Condición de Autismo en Puerto Rico”; y la Ley 103-2004, denominada “Carta de los Derechos de los Niños y Adultos con el Síndrome de Autismo”; ambas derogadas</w:t>
      </w:r>
      <w:r w:rsidR="005E288E" w:rsidRPr="00B03CB9">
        <w:rPr>
          <w:rFonts w:ascii="Book Antiqua" w:hAnsi="Book Antiqua"/>
          <w:sz w:val="18"/>
          <w:szCs w:val="18"/>
          <w:lang w:val="es-PR"/>
        </w:rPr>
        <w:t>.</w:t>
      </w:r>
    </w:p>
  </w:footnote>
  <w:footnote w:id="3">
    <w:p w14:paraId="7C72FF6A" w14:textId="4EC38547" w:rsidR="00B92AE5" w:rsidRPr="00B03CB9" w:rsidRDefault="00B92AE5" w:rsidP="00B03CB9">
      <w:pPr>
        <w:pStyle w:val="FootnoteText"/>
        <w:spacing w:after="120"/>
        <w:jc w:val="both"/>
        <w:rPr>
          <w:rFonts w:ascii="Book Antiqua" w:hAnsi="Book Antiqua"/>
          <w:sz w:val="18"/>
          <w:szCs w:val="18"/>
        </w:rPr>
      </w:pPr>
      <w:r w:rsidRPr="00B03CB9">
        <w:rPr>
          <w:rStyle w:val="FootnoteReference"/>
          <w:rFonts w:ascii="Book Antiqua" w:hAnsi="Book Antiqua"/>
          <w:sz w:val="18"/>
          <w:szCs w:val="18"/>
        </w:rPr>
        <w:footnoteRef/>
      </w:r>
      <w:r w:rsidRPr="00507AE7">
        <w:rPr>
          <w:rFonts w:ascii="Book Antiqua" w:hAnsi="Book Antiqua"/>
          <w:sz w:val="18"/>
          <w:szCs w:val="18"/>
        </w:rPr>
        <w:t xml:space="preserve"> </w:t>
      </w:r>
      <w:r w:rsidR="005E288E" w:rsidRPr="00507AE7">
        <w:rPr>
          <w:rFonts w:ascii="Book Antiqua" w:hAnsi="Book Antiqua"/>
          <w:sz w:val="18"/>
          <w:szCs w:val="18"/>
        </w:rPr>
        <w:t xml:space="preserve">American Psychiatric Association. </w:t>
      </w:r>
      <w:r w:rsidR="005E288E" w:rsidRPr="00B03CB9">
        <w:rPr>
          <w:rFonts w:ascii="Book Antiqua" w:hAnsi="Book Antiqua"/>
          <w:sz w:val="18"/>
          <w:szCs w:val="18"/>
        </w:rPr>
        <w:t xml:space="preserve">(2013). </w:t>
      </w:r>
      <w:r w:rsidR="005E288E" w:rsidRPr="00B03CB9">
        <w:rPr>
          <w:rFonts w:ascii="Book Antiqua" w:hAnsi="Book Antiqua"/>
          <w:i/>
          <w:iCs/>
          <w:sz w:val="18"/>
          <w:szCs w:val="18"/>
        </w:rPr>
        <w:t>Diagnostic and statistical manual of mental disorders</w:t>
      </w:r>
      <w:r w:rsidR="005E288E" w:rsidRPr="00B03CB9">
        <w:rPr>
          <w:rFonts w:ascii="Book Antiqua" w:hAnsi="Book Antiqua"/>
          <w:sz w:val="18"/>
          <w:szCs w:val="18"/>
        </w:rPr>
        <w:t xml:space="preserve"> (5th ed.). Arlington, VA: American Psychiatric Association.</w:t>
      </w:r>
    </w:p>
  </w:footnote>
  <w:footnote w:id="4">
    <w:p w14:paraId="238590AF" w14:textId="101B6456" w:rsidR="005E288E" w:rsidRPr="00B03CB9" w:rsidRDefault="005E288E" w:rsidP="00B03CB9">
      <w:pPr>
        <w:pStyle w:val="FootnoteText"/>
        <w:spacing w:after="120"/>
        <w:jc w:val="both"/>
        <w:rPr>
          <w:rFonts w:ascii="Book Antiqua" w:hAnsi="Book Antiqua"/>
          <w:sz w:val="18"/>
          <w:szCs w:val="18"/>
          <w:lang w:val="es-PR"/>
        </w:rPr>
      </w:pPr>
      <w:r w:rsidRPr="00B03CB9">
        <w:rPr>
          <w:rStyle w:val="FootnoteReference"/>
          <w:rFonts w:ascii="Book Antiqua" w:hAnsi="Book Antiqua"/>
          <w:sz w:val="18"/>
          <w:szCs w:val="18"/>
        </w:rPr>
        <w:footnoteRef/>
      </w:r>
      <w:r w:rsidRPr="00B03CB9">
        <w:rPr>
          <w:rFonts w:ascii="Book Antiqua" w:hAnsi="Book Antiqua"/>
          <w:sz w:val="18"/>
          <w:szCs w:val="18"/>
        </w:rPr>
        <w:t xml:space="preserve"> Robinson, Lara R; Rebecca H. Bitsko; Ross A. Thompson et al. (2017) </w:t>
      </w:r>
      <w:r w:rsidRPr="00B03CB9">
        <w:rPr>
          <w:rFonts w:ascii="Book Antiqua" w:hAnsi="Book Antiqua"/>
          <w:i/>
          <w:iCs/>
          <w:sz w:val="18"/>
          <w:szCs w:val="18"/>
        </w:rPr>
        <w:t>CDC Grad Rounds Addressing Health Disparities in Early Childhood</w:t>
      </w:r>
      <w:r w:rsidRPr="00B03CB9">
        <w:rPr>
          <w:rFonts w:ascii="Book Antiqua" w:hAnsi="Book Antiqua"/>
          <w:sz w:val="18"/>
          <w:szCs w:val="18"/>
        </w:rPr>
        <w:t xml:space="preserve">. </w:t>
      </w:r>
      <w:r w:rsidRPr="00507AE7">
        <w:rPr>
          <w:rFonts w:ascii="Book Antiqua" w:hAnsi="Book Antiqua"/>
          <w:sz w:val="18"/>
          <w:szCs w:val="18"/>
          <w:lang w:val="es-PR"/>
        </w:rPr>
        <w:t xml:space="preserve">CDC MMWR Weekly/Vol.66/No.29. </w:t>
      </w:r>
      <w:r w:rsidRPr="00B03CB9">
        <w:rPr>
          <w:rFonts w:ascii="Book Antiqua" w:hAnsi="Book Antiqua"/>
          <w:sz w:val="18"/>
          <w:szCs w:val="18"/>
          <w:lang w:val="es-PR"/>
        </w:rPr>
        <w:t xml:space="preserve">Citado por Ángeles J. Acosta Rodríguez, </w:t>
      </w:r>
      <w:r w:rsidRPr="00B03CB9">
        <w:rPr>
          <w:rFonts w:ascii="Book Antiqua" w:hAnsi="Book Antiqua"/>
          <w:i/>
          <w:iCs/>
          <w:sz w:val="18"/>
          <w:szCs w:val="18"/>
          <w:lang w:val="es-PR"/>
        </w:rPr>
        <w:t>Ponencia en torno a la Resolución del Senado de PR 444</w:t>
      </w:r>
      <w:r w:rsidRPr="00B03CB9">
        <w:rPr>
          <w:rFonts w:ascii="Book Antiqua" w:hAnsi="Book Antiqua"/>
          <w:sz w:val="18"/>
          <w:szCs w:val="18"/>
          <w:lang w:val="es-PR"/>
        </w:rPr>
        <w:t>, pág. 2</w:t>
      </w:r>
    </w:p>
  </w:footnote>
  <w:footnote w:id="5">
    <w:p w14:paraId="69805B45" w14:textId="1A0F0254" w:rsidR="00B03CB9" w:rsidRPr="00B03CB9" w:rsidRDefault="00B03CB9" w:rsidP="00B03CB9">
      <w:pPr>
        <w:pStyle w:val="FootnoteText"/>
        <w:spacing w:after="120"/>
        <w:jc w:val="both"/>
        <w:rPr>
          <w:rFonts w:ascii="Book Antiqua" w:hAnsi="Book Antiqua"/>
          <w:sz w:val="18"/>
          <w:szCs w:val="18"/>
          <w:lang w:val="es-PR"/>
        </w:rPr>
      </w:pPr>
      <w:r w:rsidRPr="00B03CB9">
        <w:rPr>
          <w:rStyle w:val="FootnoteReference"/>
          <w:rFonts w:ascii="Book Antiqua" w:hAnsi="Book Antiqua"/>
          <w:sz w:val="18"/>
          <w:szCs w:val="18"/>
        </w:rPr>
        <w:footnoteRef/>
      </w:r>
      <w:r w:rsidRPr="00B03CB9">
        <w:rPr>
          <w:rFonts w:ascii="Book Antiqua" w:hAnsi="Book Antiqua"/>
          <w:sz w:val="18"/>
          <w:szCs w:val="18"/>
          <w:lang w:val="es-PR"/>
        </w:rPr>
        <w:t xml:space="preserve"> Véase el Informe Final sobre la R. del S. 444 de la Comisión Especial para la </w:t>
      </w:r>
      <w:proofErr w:type="spellStart"/>
      <w:r w:rsidRPr="00B03CB9">
        <w:rPr>
          <w:rFonts w:ascii="Book Antiqua" w:hAnsi="Book Antiqua"/>
          <w:sz w:val="18"/>
          <w:szCs w:val="18"/>
          <w:lang w:val="es-PR"/>
        </w:rPr>
        <w:t>Monitoría</w:t>
      </w:r>
      <w:proofErr w:type="spellEnd"/>
      <w:r w:rsidRPr="00B03CB9">
        <w:rPr>
          <w:rFonts w:ascii="Book Antiqua" w:hAnsi="Book Antiqua"/>
          <w:sz w:val="18"/>
          <w:szCs w:val="18"/>
          <w:lang w:val="es-PR"/>
        </w:rPr>
        <w:t xml:space="preserve"> Legislativa del Programa de Educación Especial del Departamento de Educación del Senado (13 de enero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0"/>
  </w:num>
  <w:num w:numId="2" w16cid:durableId="267277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6024"/>
    <w:rsid w:val="00095AE1"/>
    <w:rsid w:val="000A6B6C"/>
    <w:rsid w:val="000B0DBB"/>
    <w:rsid w:val="000E16A1"/>
    <w:rsid w:val="000F0126"/>
    <w:rsid w:val="00111E71"/>
    <w:rsid w:val="00127C6A"/>
    <w:rsid w:val="001363FE"/>
    <w:rsid w:val="0014430B"/>
    <w:rsid w:val="00160CBC"/>
    <w:rsid w:val="0017132B"/>
    <w:rsid w:val="001811D8"/>
    <w:rsid w:val="001A4F41"/>
    <w:rsid w:val="001E0D88"/>
    <w:rsid w:val="001F4CA3"/>
    <w:rsid w:val="001F612A"/>
    <w:rsid w:val="00203EFC"/>
    <w:rsid w:val="00211396"/>
    <w:rsid w:val="00226AE6"/>
    <w:rsid w:val="00245B34"/>
    <w:rsid w:val="00246130"/>
    <w:rsid w:val="002502B0"/>
    <w:rsid w:val="00263355"/>
    <w:rsid w:val="00273792"/>
    <w:rsid w:val="002B7EDC"/>
    <w:rsid w:val="002C3354"/>
    <w:rsid w:val="002D4AC8"/>
    <w:rsid w:val="002D7564"/>
    <w:rsid w:val="00305B2A"/>
    <w:rsid w:val="00320D78"/>
    <w:rsid w:val="003372CE"/>
    <w:rsid w:val="00380FE5"/>
    <w:rsid w:val="003924DD"/>
    <w:rsid w:val="00394FCB"/>
    <w:rsid w:val="003963F4"/>
    <w:rsid w:val="003A209E"/>
    <w:rsid w:val="003B5254"/>
    <w:rsid w:val="003B580C"/>
    <w:rsid w:val="003B75A6"/>
    <w:rsid w:val="004061CA"/>
    <w:rsid w:val="00415689"/>
    <w:rsid w:val="004220A9"/>
    <w:rsid w:val="00436093"/>
    <w:rsid w:val="004440CB"/>
    <w:rsid w:val="004713D2"/>
    <w:rsid w:val="00473A4B"/>
    <w:rsid w:val="00487E1F"/>
    <w:rsid w:val="00495FE7"/>
    <w:rsid w:val="004B615E"/>
    <w:rsid w:val="004E1B57"/>
    <w:rsid w:val="00507AE7"/>
    <w:rsid w:val="00521639"/>
    <w:rsid w:val="00527493"/>
    <w:rsid w:val="00532BB7"/>
    <w:rsid w:val="005332E4"/>
    <w:rsid w:val="0053550C"/>
    <w:rsid w:val="005529E8"/>
    <w:rsid w:val="00555018"/>
    <w:rsid w:val="005666B8"/>
    <w:rsid w:val="005723DC"/>
    <w:rsid w:val="005924B5"/>
    <w:rsid w:val="005B69F5"/>
    <w:rsid w:val="005E288E"/>
    <w:rsid w:val="005F25DA"/>
    <w:rsid w:val="006210DC"/>
    <w:rsid w:val="00622CED"/>
    <w:rsid w:val="0064349D"/>
    <w:rsid w:val="00653EED"/>
    <w:rsid w:val="00656763"/>
    <w:rsid w:val="00685549"/>
    <w:rsid w:val="006874C9"/>
    <w:rsid w:val="006B7365"/>
    <w:rsid w:val="006C2D81"/>
    <w:rsid w:val="006C7DF8"/>
    <w:rsid w:val="006E5DD4"/>
    <w:rsid w:val="006F03E8"/>
    <w:rsid w:val="007172D9"/>
    <w:rsid w:val="007223FC"/>
    <w:rsid w:val="00750FC8"/>
    <w:rsid w:val="007533D0"/>
    <w:rsid w:val="00755069"/>
    <w:rsid w:val="00772CD5"/>
    <w:rsid w:val="00781769"/>
    <w:rsid w:val="00784ADA"/>
    <w:rsid w:val="007915D3"/>
    <w:rsid w:val="00791800"/>
    <w:rsid w:val="007B0660"/>
    <w:rsid w:val="007D449C"/>
    <w:rsid w:val="007E3868"/>
    <w:rsid w:val="007F03E4"/>
    <w:rsid w:val="00820C41"/>
    <w:rsid w:val="00850256"/>
    <w:rsid w:val="008629FB"/>
    <w:rsid w:val="00890C1A"/>
    <w:rsid w:val="008B578C"/>
    <w:rsid w:val="008E656A"/>
    <w:rsid w:val="0093686F"/>
    <w:rsid w:val="00942FD4"/>
    <w:rsid w:val="00951997"/>
    <w:rsid w:val="00990352"/>
    <w:rsid w:val="0099602F"/>
    <w:rsid w:val="009A4161"/>
    <w:rsid w:val="009C13F0"/>
    <w:rsid w:val="009F211B"/>
    <w:rsid w:val="00A03405"/>
    <w:rsid w:val="00A1528A"/>
    <w:rsid w:val="00A33918"/>
    <w:rsid w:val="00A60C09"/>
    <w:rsid w:val="00A7629F"/>
    <w:rsid w:val="00AC1D44"/>
    <w:rsid w:val="00AD086A"/>
    <w:rsid w:val="00AF0CEE"/>
    <w:rsid w:val="00AF704C"/>
    <w:rsid w:val="00B03CB9"/>
    <w:rsid w:val="00B14053"/>
    <w:rsid w:val="00B45DFB"/>
    <w:rsid w:val="00B51752"/>
    <w:rsid w:val="00B667AD"/>
    <w:rsid w:val="00B84C38"/>
    <w:rsid w:val="00B86C00"/>
    <w:rsid w:val="00B91966"/>
    <w:rsid w:val="00B92AE5"/>
    <w:rsid w:val="00B947F6"/>
    <w:rsid w:val="00BF16AA"/>
    <w:rsid w:val="00C05908"/>
    <w:rsid w:val="00C216A3"/>
    <w:rsid w:val="00C32139"/>
    <w:rsid w:val="00C354B8"/>
    <w:rsid w:val="00C52517"/>
    <w:rsid w:val="00C60921"/>
    <w:rsid w:val="00C62936"/>
    <w:rsid w:val="00C653F2"/>
    <w:rsid w:val="00C679E6"/>
    <w:rsid w:val="00C77595"/>
    <w:rsid w:val="00C908F9"/>
    <w:rsid w:val="00CA0917"/>
    <w:rsid w:val="00CA1099"/>
    <w:rsid w:val="00D417C2"/>
    <w:rsid w:val="00D60936"/>
    <w:rsid w:val="00D709EB"/>
    <w:rsid w:val="00D74714"/>
    <w:rsid w:val="00D76B6A"/>
    <w:rsid w:val="00D82F3F"/>
    <w:rsid w:val="00D921C6"/>
    <w:rsid w:val="00D958C2"/>
    <w:rsid w:val="00DB3B30"/>
    <w:rsid w:val="00DC3FE0"/>
    <w:rsid w:val="00DE08B4"/>
    <w:rsid w:val="00E03207"/>
    <w:rsid w:val="00E04AB5"/>
    <w:rsid w:val="00E36C92"/>
    <w:rsid w:val="00E50EEA"/>
    <w:rsid w:val="00E52F58"/>
    <w:rsid w:val="00E67104"/>
    <w:rsid w:val="00E74C1C"/>
    <w:rsid w:val="00EB6B8A"/>
    <w:rsid w:val="00EC26AA"/>
    <w:rsid w:val="00ED1E2F"/>
    <w:rsid w:val="00ED7A53"/>
    <w:rsid w:val="00EE1241"/>
    <w:rsid w:val="00EE4273"/>
    <w:rsid w:val="00F02004"/>
    <w:rsid w:val="00F042CB"/>
    <w:rsid w:val="00F14DC1"/>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 w:type="paragraph" w:styleId="FootnoteText">
    <w:name w:val="footnote text"/>
    <w:basedOn w:val="Normal"/>
    <w:link w:val="FootnoteTextChar"/>
    <w:uiPriority w:val="99"/>
    <w:semiHidden/>
    <w:unhideWhenUsed/>
    <w:rsid w:val="005529E8"/>
    <w:rPr>
      <w:sz w:val="20"/>
    </w:rPr>
  </w:style>
  <w:style w:type="character" w:customStyle="1" w:styleId="FootnoteTextChar">
    <w:name w:val="Footnote Text Char"/>
    <w:basedOn w:val="DefaultParagraphFont"/>
    <w:link w:val="FootnoteText"/>
    <w:uiPriority w:val="99"/>
    <w:semiHidden/>
    <w:rsid w:val="005529E8"/>
  </w:style>
  <w:style w:type="character" w:styleId="FootnoteReference">
    <w:name w:val="footnote reference"/>
    <w:basedOn w:val="DefaultParagraphFont"/>
    <w:uiPriority w:val="99"/>
    <w:semiHidden/>
    <w:unhideWhenUsed/>
    <w:rsid w:val="005529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63109F1-1D61-4ADB-976D-CA1BC4D3D61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1289</Words>
  <Characters>7101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Gladys J. Burgos Torres</cp:lastModifiedBy>
  <cp:revision>4</cp:revision>
  <cp:lastPrinted>2025-04-03T14:56:00Z</cp:lastPrinted>
  <dcterms:created xsi:type="dcterms:W3CDTF">2025-04-03T15:19:00Z</dcterms:created>
  <dcterms:modified xsi:type="dcterms:W3CDTF">2025-04-03T16:02:00Z</dcterms:modified>
</cp:coreProperties>
</file>