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22F1D130"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635DE6">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635DE6">
        <w:rPr>
          <w:rFonts w:ascii="Book Antiqua" w:eastAsia="Times New Roman" w:hAnsi="Book Antiqua" w:cs="Times New Roman"/>
          <w:b/>
          <w:sz w:val="52"/>
          <w:szCs w:val="52"/>
          <w:lang w:val="es-ES_tradnl"/>
        </w:rPr>
        <w:t>a C</w:t>
      </w:r>
      <w:r w:rsidR="00B03370">
        <w:rPr>
          <w:rFonts w:ascii="Book Antiqua" w:eastAsia="Times New Roman" w:hAnsi="Book Antiqua" w:cs="Times New Roman"/>
          <w:b/>
          <w:sz w:val="52"/>
          <w:szCs w:val="52"/>
          <w:lang w:val="es-ES_tradnl"/>
        </w:rPr>
        <w:t xml:space="preserve">. </w:t>
      </w:r>
      <w:r w:rsidR="00751279">
        <w:rPr>
          <w:rFonts w:ascii="Book Antiqua" w:eastAsia="Times New Roman" w:hAnsi="Book Antiqua" w:cs="Times New Roman"/>
          <w:b/>
          <w:sz w:val="52"/>
          <w:szCs w:val="52"/>
          <w:lang w:val="es-ES_tradnl"/>
        </w:rPr>
        <w:t>483</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5FA0983"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91508E">
        <w:rPr>
          <w:rFonts w:ascii="Book Antiqua" w:eastAsia="Times New Roman" w:hAnsi="Book Antiqua" w:cs="Times New Roman"/>
          <w:sz w:val="24"/>
          <w:szCs w:val="24"/>
          <w:lang w:val="es-ES_tradnl"/>
        </w:rPr>
        <w:t>23</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4F0F25C7"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4620B0" w:rsidRPr="0023263A">
        <w:rPr>
          <w:rFonts w:ascii="Book Antiqua" w:eastAsia="Times New Roman" w:hAnsi="Book Antiqua" w:cs="Times New Roman"/>
          <w:sz w:val="24"/>
          <w:szCs w:val="24"/>
          <w:lang w:val="es-ES_tradnl"/>
        </w:rPr>
        <w:t xml:space="preserve">l Trabajo y Asuntos Laborales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previo estudio y consideración del</w:t>
      </w:r>
      <w:r w:rsidR="00470B60" w:rsidRPr="0023263A">
        <w:rPr>
          <w:rFonts w:ascii="Book Antiqua" w:eastAsia="Times New Roman" w:hAnsi="Book Antiqua" w:cs="Times New Roman"/>
          <w:sz w:val="24"/>
          <w:szCs w:val="24"/>
          <w:lang w:val="es-ES_tradnl"/>
        </w:rPr>
        <w:t xml:space="preserve"> </w:t>
      </w:r>
      <w:r w:rsidR="00470B60" w:rsidRPr="0023263A">
        <w:rPr>
          <w:rFonts w:ascii="Book Antiqua" w:eastAsia="Times New Roman" w:hAnsi="Book Antiqua" w:cs="Times New Roman"/>
          <w:b/>
          <w:bCs/>
          <w:sz w:val="24"/>
          <w:szCs w:val="24"/>
          <w:lang w:val="es-ES_tradnl"/>
        </w:rPr>
        <w:t xml:space="preserve">Proyecto </w:t>
      </w:r>
      <w:r w:rsidR="007B3187" w:rsidRPr="0023263A">
        <w:rPr>
          <w:rFonts w:ascii="Book Antiqua" w:eastAsia="Times New Roman" w:hAnsi="Book Antiqua" w:cs="Times New Roman"/>
          <w:b/>
          <w:bCs/>
          <w:sz w:val="24"/>
          <w:szCs w:val="24"/>
          <w:lang w:val="es-ES_tradnl"/>
        </w:rPr>
        <w:t>de</w:t>
      </w:r>
      <w:r w:rsidR="005E0023">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l</w:t>
      </w:r>
      <w:r w:rsidR="005E0023">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5E0023">
        <w:rPr>
          <w:rFonts w:ascii="Book Antiqua" w:eastAsia="Times New Roman" w:hAnsi="Book Antiqua" w:cs="Times New Roman"/>
          <w:b/>
          <w:bCs/>
          <w:sz w:val="24"/>
          <w:szCs w:val="24"/>
          <w:lang w:val="es-ES_tradnl"/>
        </w:rPr>
        <w:t xml:space="preserve">Cámara </w:t>
      </w:r>
      <w:r w:rsidR="00751279">
        <w:rPr>
          <w:rFonts w:ascii="Book Antiqua" w:eastAsia="Times New Roman" w:hAnsi="Book Antiqua" w:cs="Times New Roman"/>
          <w:b/>
          <w:bCs/>
          <w:sz w:val="24"/>
          <w:szCs w:val="24"/>
          <w:lang w:val="es-ES_tradnl"/>
        </w:rPr>
        <w:t>483</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tiene a bien</w:t>
      </w:r>
      <w:r w:rsidRPr="0023263A">
        <w:rPr>
          <w:rFonts w:ascii="Book Antiqua" w:eastAsia="Times New Roman" w:hAnsi="Book Antiqua" w:cs="Times New Roman"/>
          <w:sz w:val="24"/>
          <w:szCs w:val="24"/>
          <w:lang w:val="es-ES_tradnl"/>
        </w:rPr>
        <w:t xml:space="preserve"> recom</w:t>
      </w:r>
      <w:r w:rsidR="00C10EC0" w:rsidRPr="0023263A">
        <w:rPr>
          <w:rFonts w:ascii="Book Antiqua" w:eastAsia="Times New Roman" w:hAnsi="Book Antiqua" w:cs="Times New Roman"/>
          <w:sz w:val="24"/>
          <w:szCs w:val="24"/>
          <w:lang w:val="es-ES_tradnl"/>
        </w:rPr>
        <w:t>endar</w:t>
      </w:r>
      <w:r w:rsidRPr="0023263A">
        <w:rPr>
          <w:rFonts w:ascii="Book Antiqua" w:eastAsia="Times New Roman" w:hAnsi="Book Antiqua" w:cs="Times New Roman"/>
          <w:sz w:val="24"/>
          <w:szCs w:val="24"/>
          <w:lang w:val="es-ES_tradnl"/>
        </w:rPr>
        <w:t xml:space="preserve"> a este Alto Cuerpo </w:t>
      </w:r>
      <w:r w:rsidR="007B3187" w:rsidRPr="0023263A">
        <w:rPr>
          <w:rFonts w:ascii="Book Antiqua" w:eastAsia="Times New Roman" w:hAnsi="Book Antiqua" w:cs="Times New Roman"/>
          <w:sz w:val="24"/>
          <w:szCs w:val="24"/>
          <w:lang w:val="es-ES_tradnl"/>
        </w:rPr>
        <w:t>su aprobación</w:t>
      </w:r>
      <w:r w:rsidR="00BB5C03" w:rsidRPr="0023263A">
        <w:rPr>
          <w:rFonts w:ascii="Book Antiqua" w:eastAsia="Times New Roman" w:hAnsi="Book Antiqua" w:cs="Times New Roman"/>
          <w:b/>
          <w:sz w:val="24"/>
          <w:szCs w:val="24"/>
          <w:lang w:val="es-ES_tradnl"/>
        </w:rPr>
        <w:t xml:space="preserve">, </w:t>
      </w:r>
      <w:r w:rsidR="00433B94">
        <w:rPr>
          <w:rFonts w:ascii="Book Antiqua" w:eastAsia="Times New Roman" w:hAnsi="Book Antiqua" w:cs="Times New Roman"/>
          <w:bCs/>
          <w:sz w:val="24"/>
          <w:szCs w:val="24"/>
          <w:lang w:val="es-ES_tradnl"/>
        </w:rPr>
        <w:t xml:space="preserve">con las enmiendas incluidas en el </w:t>
      </w:r>
      <w:proofErr w:type="spellStart"/>
      <w:r w:rsidR="00433B94">
        <w:rPr>
          <w:rFonts w:ascii="Book Antiqua" w:eastAsia="Times New Roman" w:hAnsi="Book Antiqua" w:cs="Times New Roman"/>
          <w:bCs/>
          <w:sz w:val="24"/>
          <w:szCs w:val="24"/>
          <w:lang w:val="es-ES_tradnl"/>
        </w:rPr>
        <w:t>entirillado</w:t>
      </w:r>
      <w:proofErr w:type="spellEnd"/>
      <w:r w:rsidR="00433B94">
        <w:rPr>
          <w:rFonts w:ascii="Book Antiqua" w:eastAsia="Times New Roman" w:hAnsi="Book Antiqua" w:cs="Times New Roman"/>
          <w:bCs/>
          <w:sz w:val="24"/>
          <w:szCs w:val="24"/>
          <w:lang w:val="es-ES_tradnl"/>
        </w:rPr>
        <w:t xml:space="preserve"> electrónico que acompaña este informe</w:t>
      </w:r>
      <w:r w:rsidR="007B3187" w:rsidRPr="0023263A">
        <w:rPr>
          <w:rFonts w:ascii="Book Antiqua" w:eastAsia="Times New Roman" w:hAnsi="Book Antiqua" w:cs="Times New Roman"/>
          <w:bCs/>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08494D4E" w14:textId="4110A037" w:rsidR="007B3187" w:rsidRPr="00080CE3" w:rsidRDefault="007B3187" w:rsidP="007B3187">
      <w:pPr>
        <w:pStyle w:val="NormalWeb"/>
        <w:spacing w:before="0" w:beforeAutospacing="0" w:after="0" w:afterAutospacing="0"/>
        <w:ind w:firstLine="708"/>
        <w:jc w:val="both"/>
        <w:rPr>
          <w:rFonts w:ascii="Book Antiqua" w:hAnsi="Book Antiqua"/>
          <w:lang w:val="es-PR"/>
        </w:rPr>
      </w:pPr>
      <w:r w:rsidRPr="0023263A">
        <w:rPr>
          <w:rFonts w:ascii="Book Antiqua" w:hAnsi="Book Antiqua"/>
          <w:bCs/>
          <w:lang w:val="es-ES"/>
        </w:rPr>
        <w:t xml:space="preserve">El </w:t>
      </w:r>
      <w:r w:rsidRPr="00080CE3">
        <w:rPr>
          <w:rFonts w:ascii="Book Antiqua" w:hAnsi="Book Antiqua"/>
          <w:bCs/>
          <w:lang w:val="es-ES"/>
        </w:rPr>
        <w:t>Proyecto</w:t>
      </w:r>
      <w:r w:rsidR="0017673D" w:rsidRPr="00080CE3">
        <w:rPr>
          <w:rFonts w:ascii="Book Antiqua" w:hAnsi="Book Antiqua"/>
          <w:bCs/>
          <w:lang w:val="es-ES"/>
        </w:rPr>
        <w:t xml:space="preserve"> de la Cámara </w:t>
      </w:r>
      <w:r w:rsidR="00751279" w:rsidRPr="00080CE3">
        <w:rPr>
          <w:rFonts w:ascii="Book Antiqua" w:hAnsi="Book Antiqua"/>
          <w:bCs/>
          <w:lang w:val="es-ES"/>
        </w:rPr>
        <w:t>483</w:t>
      </w:r>
      <w:r w:rsidRPr="00080CE3">
        <w:rPr>
          <w:rFonts w:ascii="Book Antiqua" w:hAnsi="Book Antiqua"/>
          <w:bCs/>
          <w:lang w:val="es-ES"/>
        </w:rPr>
        <w:t xml:space="preserve"> tiene el propósito de </w:t>
      </w:r>
      <w:r w:rsidR="00B2137E" w:rsidRPr="00080CE3">
        <w:rPr>
          <w:rFonts w:ascii="Book Antiqua" w:hAnsi="Book Antiqua"/>
          <w:lang w:val="es-ES_tradnl"/>
        </w:rPr>
        <w:t>adoptar el “Código de Lactancia de Puerto Rico”; consolidar las diversas leyes, y normativas existentes; establecer una política pública del Gobierno de Puerto Rico a favor de la lactancia materna; derogar el Artículo 1(A) de la Ley Núm. 168 de 4 de mayo de 1949, según enmendada, conocida como “Ley para Ordenar la Adopción de un Código de Edificación de Puerto Rico”; la Ley 427-2000, según enmendada, conocida como “Ley para Reglamentar el Período de Lactancia o de Extracción de Leche Materna”; la Ley 155-2002, según enmendada, conocida como “Ley para Designar Espacios para la Lactancia en las Entidades Públicas del Gobierno de Puerto Rico”; la Ley 200-2003, conocida como “Ley del ‘Mes de la Concienciación Sobre la Lactancia’ en Puerto Rico”;  la Ley 79-2004, conocida como “Ley sobre el Suministro de Sucedáneos de la Leche Materna a los Recién Nacidos”; la Ley 95-2004, según enmendada, conocida como “Ley para Prohibir el Discrimen Contra las Madres que Lactan a sus Niños o Niñas”; el Artículo 2.058 (g) de la Ley 107-2020, según enmendada, “Código Municipal de Puerto Rico”; la Sección 9.1 (5) de la Ley 8-2017, “Ley para la Administración y Transformación de los Recursos Humanos en el Gobierno de Puerto Rico”, el Artículo 2.04 (5) de la Ley 26-2017, según enmendada “Ley de Cumplimiento con el Plan Fiscal”;  y para otros fines relacionados</w:t>
      </w:r>
      <w:r w:rsidR="00080CE3" w:rsidRPr="00080CE3">
        <w:rPr>
          <w:rFonts w:ascii="Book Antiqua" w:hAnsi="Book Antiqua"/>
          <w:lang w:val="es-ES_tradnl"/>
        </w:rPr>
        <w:t>.</w:t>
      </w:r>
    </w:p>
    <w:p w14:paraId="5A47FAFC" w14:textId="77777777" w:rsidR="007B3187" w:rsidRDefault="007B3187" w:rsidP="00421D9C">
      <w:pPr>
        <w:spacing w:after="120"/>
        <w:jc w:val="center"/>
        <w:rPr>
          <w:rFonts w:ascii="Book Antiqua" w:hAnsi="Book Antiqua"/>
          <w:b/>
          <w:sz w:val="24"/>
          <w:szCs w:val="24"/>
        </w:rPr>
      </w:pPr>
    </w:p>
    <w:p w14:paraId="40C0CD0B" w14:textId="77777777" w:rsidR="000422D9" w:rsidRPr="0023263A" w:rsidRDefault="000422D9" w:rsidP="00421D9C">
      <w:pPr>
        <w:spacing w:after="120"/>
        <w:jc w:val="center"/>
        <w:rPr>
          <w:rFonts w:ascii="Book Antiqua" w:hAnsi="Book Antiqua"/>
          <w:b/>
          <w:sz w:val="24"/>
          <w:szCs w:val="24"/>
        </w:rPr>
      </w:pPr>
    </w:p>
    <w:p w14:paraId="2EF835E6" w14:textId="77777777"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lastRenderedPageBreak/>
        <w:t>ANÁLISIS DE LA MEDIDA</w:t>
      </w:r>
    </w:p>
    <w:p w14:paraId="0338935F" w14:textId="77777777" w:rsidR="007B3187" w:rsidRPr="0023263A" w:rsidRDefault="007B3187" w:rsidP="007B3187">
      <w:pPr>
        <w:spacing w:after="0" w:line="240" w:lineRule="auto"/>
        <w:jc w:val="center"/>
        <w:rPr>
          <w:rFonts w:ascii="Book Antiqua" w:eastAsia="Times New Roman" w:hAnsi="Book Antiqua"/>
          <w:b/>
          <w:sz w:val="24"/>
          <w:szCs w:val="24"/>
          <w:lang w:val="es-ES"/>
        </w:rPr>
      </w:pPr>
    </w:p>
    <w:p w14:paraId="2C7A5CAF" w14:textId="600D7990" w:rsidR="007B3187" w:rsidRPr="0023263A" w:rsidRDefault="007B3187" w:rsidP="007B3187">
      <w:pPr>
        <w:spacing w:after="0" w:line="240" w:lineRule="auto"/>
        <w:jc w:val="both"/>
        <w:rPr>
          <w:rFonts w:ascii="Book Antiqua" w:hAnsi="Book Antiqua"/>
          <w:sz w:val="24"/>
          <w:szCs w:val="24"/>
        </w:rPr>
      </w:pPr>
      <w:r w:rsidRPr="0023263A">
        <w:rPr>
          <w:rFonts w:ascii="Book Antiqua" w:hAnsi="Book Antiqua"/>
          <w:sz w:val="24"/>
          <w:szCs w:val="24"/>
        </w:rPr>
        <w:t xml:space="preserve">La medida propuesta parte del reconocimiento de que </w:t>
      </w:r>
      <w:r w:rsidR="00A74FA0">
        <w:rPr>
          <w:rFonts w:ascii="Book Antiqua" w:hAnsi="Book Antiqua"/>
          <w:sz w:val="24"/>
          <w:szCs w:val="24"/>
        </w:rPr>
        <w:t xml:space="preserve">la legislación protectora de las madres lactantes se encuentra </w:t>
      </w:r>
      <w:r w:rsidR="00963F5D">
        <w:rPr>
          <w:rFonts w:ascii="Book Antiqua" w:hAnsi="Book Antiqua"/>
          <w:sz w:val="24"/>
          <w:szCs w:val="24"/>
        </w:rPr>
        <w:t>dispersa</w:t>
      </w:r>
      <w:r w:rsidR="00A74FA0">
        <w:rPr>
          <w:rFonts w:ascii="Book Antiqua" w:hAnsi="Book Antiqua"/>
          <w:sz w:val="24"/>
          <w:szCs w:val="24"/>
        </w:rPr>
        <w:t xml:space="preserve"> a través de múltiples leyes aprobadas y se dificulta que las personas puedan tener fácil acceso en un</w:t>
      </w:r>
      <w:r w:rsidR="004E4121">
        <w:rPr>
          <w:rFonts w:ascii="Book Antiqua" w:hAnsi="Book Antiqua"/>
          <w:sz w:val="24"/>
          <w:szCs w:val="24"/>
        </w:rPr>
        <w:t>a sola ley, en este caso, una ley codificada</w:t>
      </w:r>
      <w:r w:rsidRPr="0023263A">
        <w:rPr>
          <w:rFonts w:ascii="Book Antiqua" w:hAnsi="Book Antiqua"/>
          <w:sz w:val="24"/>
          <w:szCs w:val="24"/>
        </w:rPr>
        <w:t>.</w:t>
      </w:r>
    </w:p>
    <w:p w14:paraId="6D426FC1" w14:textId="77777777" w:rsidR="007B3187" w:rsidRPr="0023263A" w:rsidRDefault="007B3187" w:rsidP="007B3187">
      <w:pPr>
        <w:spacing w:after="0" w:line="240" w:lineRule="auto"/>
        <w:jc w:val="both"/>
        <w:rPr>
          <w:rFonts w:ascii="Book Antiqua" w:hAnsi="Book Antiqua"/>
          <w:sz w:val="24"/>
          <w:szCs w:val="24"/>
        </w:rPr>
      </w:pPr>
    </w:p>
    <w:p w14:paraId="28C62937" w14:textId="557DAFC5" w:rsidR="007B3187" w:rsidRPr="0023263A" w:rsidRDefault="00487B4C" w:rsidP="007B3187">
      <w:pPr>
        <w:spacing w:after="0" w:line="240" w:lineRule="auto"/>
        <w:jc w:val="both"/>
        <w:rPr>
          <w:rFonts w:ascii="Book Antiqua" w:hAnsi="Book Antiqua"/>
          <w:sz w:val="24"/>
          <w:szCs w:val="24"/>
        </w:rPr>
      </w:pPr>
      <w:r>
        <w:rPr>
          <w:rFonts w:ascii="Book Antiqua" w:hAnsi="Book Antiqua"/>
          <w:sz w:val="24"/>
          <w:szCs w:val="24"/>
        </w:rPr>
        <w:t>En Puerto Rico, la lactancia ha sido reconocida</w:t>
      </w:r>
      <w:r w:rsidR="00124C65">
        <w:rPr>
          <w:rFonts w:ascii="Book Antiqua" w:hAnsi="Book Antiqua"/>
          <w:sz w:val="24"/>
          <w:szCs w:val="24"/>
        </w:rPr>
        <w:t xml:space="preserve"> </w:t>
      </w:r>
      <w:r w:rsidR="00124C65" w:rsidRPr="000B0E6E">
        <w:rPr>
          <w:rFonts w:ascii="Book Antiqua" w:eastAsia="Times New Roman" w:hAnsi="Book Antiqua"/>
          <w:szCs w:val="20"/>
          <w:lang w:val="es-ES_tradnl"/>
        </w:rPr>
        <w:t>como el método de alimentación por excelencia de los infantes. Los especialistas en el tema señalan que la alimentación de un recién nacido utilizando leche materna es la mejor alternativa posible</w:t>
      </w:r>
      <w:r w:rsidR="007B3187" w:rsidRPr="0023263A">
        <w:rPr>
          <w:rFonts w:ascii="Book Antiqua" w:hAnsi="Book Antiqua"/>
          <w:sz w:val="24"/>
          <w:szCs w:val="24"/>
        </w:rPr>
        <w:t>.</w:t>
      </w:r>
      <w:r w:rsidR="00D85B94">
        <w:rPr>
          <w:rFonts w:ascii="Book Antiqua" w:hAnsi="Book Antiqua"/>
          <w:sz w:val="24"/>
          <w:szCs w:val="24"/>
        </w:rPr>
        <w:t xml:space="preserve"> Por ello, nuestro ordenamiento jurídico establece que </w:t>
      </w:r>
      <w:r w:rsidR="00FE0B0E">
        <w:rPr>
          <w:rFonts w:ascii="Book Antiqua" w:hAnsi="Book Antiqua"/>
          <w:sz w:val="24"/>
          <w:szCs w:val="24"/>
        </w:rPr>
        <w:t xml:space="preserve">la madre trabajadora tiene derecho a </w:t>
      </w:r>
      <w:r w:rsidR="00A87E22" w:rsidRPr="000B0E6E">
        <w:rPr>
          <w:rFonts w:ascii="Book Antiqua" w:eastAsia="Times New Roman" w:hAnsi="Book Antiqua"/>
          <w:szCs w:val="20"/>
          <w:lang w:val="es-ES_tradnl"/>
        </w:rPr>
        <w:t>elegir cómo alimentar a su recién nacido, sin que el patrono pueda intervenir en dicha decisión</w:t>
      </w:r>
      <w:r w:rsidR="00875E48">
        <w:rPr>
          <w:rFonts w:ascii="Book Antiqua" w:eastAsia="Times New Roman" w:hAnsi="Book Antiqua"/>
          <w:szCs w:val="20"/>
          <w:lang w:val="es-ES_tradnl"/>
        </w:rPr>
        <w:t xml:space="preserve">, y </w:t>
      </w:r>
      <w:r w:rsidR="00A85B80">
        <w:rPr>
          <w:rFonts w:ascii="Book Antiqua" w:eastAsia="Times New Roman" w:hAnsi="Book Antiqua"/>
          <w:szCs w:val="20"/>
          <w:lang w:val="es-ES_tradnl"/>
        </w:rPr>
        <w:t xml:space="preserve">se reconoce y protege el derecho de la </w:t>
      </w:r>
      <w:r w:rsidR="00BB4FA8">
        <w:rPr>
          <w:rFonts w:ascii="Book Antiqua" w:eastAsia="Times New Roman" w:hAnsi="Book Antiqua"/>
          <w:szCs w:val="20"/>
          <w:lang w:val="es-ES_tradnl"/>
        </w:rPr>
        <w:t>madre trabajadora a amamantar o extraerse la leche materna en su lugar de trabaj</w:t>
      </w:r>
      <w:r w:rsidR="00DF66A6">
        <w:rPr>
          <w:rFonts w:ascii="Book Antiqua" w:eastAsia="Times New Roman" w:hAnsi="Book Antiqua"/>
          <w:szCs w:val="20"/>
          <w:lang w:val="es-ES_tradnl"/>
        </w:rPr>
        <w:t>o.</w:t>
      </w:r>
    </w:p>
    <w:p w14:paraId="5527DE3F" w14:textId="77777777" w:rsidR="007B3187" w:rsidRPr="0023263A" w:rsidRDefault="007B3187" w:rsidP="007B3187">
      <w:pPr>
        <w:spacing w:after="0" w:line="240" w:lineRule="auto"/>
        <w:jc w:val="both"/>
        <w:rPr>
          <w:rFonts w:ascii="Book Antiqua" w:hAnsi="Book Antiqua"/>
          <w:sz w:val="24"/>
          <w:szCs w:val="24"/>
        </w:rPr>
      </w:pPr>
    </w:p>
    <w:p w14:paraId="75860AB9" w14:textId="5BA1F182" w:rsidR="007B3187" w:rsidRPr="00681327" w:rsidRDefault="00C06548" w:rsidP="007B3187">
      <w:pPr>
        <w:spacing w:after="0" w:line="240" w:lineRule="auto"/>
        <w:jc w:val="both"/>
        <w:rPr>
          <w:rFonts w:ascii="Book Antiqua" w:hAnsi="Book Antiqua"/>
          <w:sz w:val="24"/>
          <w:szCs w:val="24"/>
        </w:rPr>
      </w:pPr>
      <w:r w:rsidRPr="00681327">
        <w:rPr>
          <w:rFonts w:ascii="Book Antiqua" w:hAnsi="Book Antiqua"/>
          <w:sz w:val="24"/>
          <w:szCs w:val="24"/>
        </w:rPr>
        <w:t xml:space="preserve">El comentado derecho no solo ha sido establecido como la política pública del Gobierno de Puerto Rico, sino que </w:t>
      </w:r>
      <w:r w:rsidR="008C79EC" w:rsidRPr="00681327">
        <w:rPr>
          <w:rFonts w:ascii="Book Antiqua" w:hAnsi="Book Antiqua"/>
          <w:sz w:val="24"/>
          <w:szCs w:val="24"/>
        </w:rPr>
        <w:t>el Tribunal Supremo de Puerto Rico ha resuelto controversias sobre dicho particular y ha reconocido reiteradamente</w:t>
      </w:r>
      <w:r w:rsidR="008C56A2" w:rsidRPr="00681327">
        <w:rPr>
          <w:rFonts w:ascii="Book Antiqua" w:hAnsi="Book Antiqua"/>
          <w:sz w:val="24"/>
          <w:szCs w:val="24"/>
        </w:rPr>
        <w:t xml:space="preserve"> </w:t>
      </w:r>
      <w:r w:rsidR="008C56A2" w:rsidRPr="00681327">
        <w:rPr>
          <w:rFonts w:ascii="Book Antiqua" w:eastAsia="Times New Roman" w:hAnsi="Book Antiqua"/>
          <w:sz w:val="24"/>
          <w:szCs w:val="24"/>
          <w:lang w:val="es-ES_tradnl"/>
        </w:rPr>
        <w:t>que la maternidad, junto con las circunstancias que esta atañe y las funciones que la nueva madre realiza en la vida de su hijo/a, entre las que podría encontrarse, si ésta así lo decide, la lactancia materna, disfruta de una protección jurídica especial en nuestro ordenamiento</w:t>
      </w:r>
      <w:r w:rsidR="007B3187" w:rsidRPr="00681327">
        <w:rPr>
          <w:rFonts w:ascii="Book Antiqua" w:hAnsi="Book Antiqua"/>
          <w:sz w:val="24"/>
          <w:szCs w:val="24"/>
        </w:rPr>
        <w:t xml:space="preserve">. </w:t>
      </w:r>
    </w:p>
    <w:p w14:paraId="24D1A9C4" w14:textId="77777777" w:rsidR="003657E1" w:rsidRDefault="003657E1" w:rsidP="007B3187">
      <w:pPr>
        <w:spacing w:after="0" w:line="240" w:lineRule="auto"/>
        <w:jc w:val="both"/>
        <w:rPr>
          <w:rFonts w:ascii="Book Antiqua" w:hAnsi="Book Antiqua"/>
          <w:sz w:val="24"/>
          <w:szCs w:val="24"/>
        </w:rPr>
      </w:pPr>
    </w:p>
    <w:p w14:paraId="04414013" w14:textId="0301F30F" w:rsidR="003657E1" w:rsidRDefault="003657E1" w:rsidP="007B3187">
      <w:pPr>
        <w:spacing w:after="0" w:line="240" w:lineRule="auto"/>
        <w:jc w:val="both"/>
        <w:rPr>
          <w:rFonts w:ascii="Book Antiqua" w:hAnsi="Book Antiqua"/>
          <w:color w:val="000000"/>
          <w:sz w:val="24"/>
          <w:szCs w:val="24"/>
        </w:rPr>
      </w:pPr>
      <w:r>
        <w:rPr>
          <w:rFonts w:ascii="Book Antiqua" w:hAnsi="Book Antiqua"/>
          <w:sz w:val="24"/>
          <w:szCs w:val="24"/>
        </w:rPr>
        <w:t xml:space="preserve">La medida objeto de análisis, </w:t>
      </w:r>
      <w:r w:rsidR="004136A3">
        <w:rPr>
          <w:rFonts w:ascii="Book Antiqua" w:hAnsi="Book Antiqua"/>
          <w:sz w:val="24"/>
          <w:szCs w:val="24"/>
        </w:rPr>
        <w:t>cita todas las leyes que protegen a las madres lactantes y</w:t>
      </w:r>
      <w:r w:rsidR="00906F79">
        <w:rPr>
          <w:rFonts w:ascii="Book Antiqua" w:hAnsi="Book Antiqua"/>
          <w:sz w:val="24"/>
          <w:szCs w:val="24"/>
        </w:rPr>
        <w:t xml:space="preserve"> resalta la necesidad de que se puedan compilar todas las protecciones dentro de </w:t>
      </w:r>
      <w:r w:rsidR="00CB0189">
        <w:rPr>
          <w:rFonts w:ascii="Book Antiqua" w:hAnsi="Book Antiqua"/>
          <w:sz w:val="24"/>
          <w:szCs w:val="24"/>
        </w:rPr>
        <w:t xml:space="preserve">una sola Ley; de manera que las personas tengan </w:t>
      </w:r>
      <w:r w:rsidR="001C7E62" w:rsidRPr="000B0E6E">
        <w:rPr>
          <w:rFonts w:ascii="Book Antiqua" w:hAnsi="Book Antiqua"/>
          <w:color w:val="000000"/>
          <w:sz w:val="24"/>
          <w:szCs w:val="24"/>
        </w:rPr>
        <w:t>fácil acceso y sea de fácil comprensión para todos</w:t>
      </w:r>
      <w:r w:rsidR="001C7E62">
        <w:rPr>
          <w:rFonts w:ascii="Book Antiqua" w:hAnsi="Book Antiqua"/>
          <w:color w:val="000000"/>
          <w:sz w:val="24"/>
          <w:szCs w:val="24"/>
        </w:rPr>
        <w:t>.</w:t>
      </w:r>
    </w:p>
    <w:p w14:paraId="2E36052C" w14:textId="77777777" w:rsidR="00472793" w:rsidRDefault="00472793" w:rsidP="007B3187">
      <w:pPr>
        <w:spacing w:after="0" w:line="240" w:lineRule="auto"/>
        <w:jc w:val="both"/>
        <w:rPr>
          <w:rFonts w:ascii="Book Antiqua" w:hAnsi="Book Antiqua"/>
          <w:color w:val="000000"/>
          <w:sz w:val="24"/>
          <w:szCs w:val="24"/>
        </w:rPr>
      </w:pPr>
    </w:p>
    <w:p w14:paraId="34775FDE" w14:textId="61E0FAB7" w:rsidR="00472793" w:rsidRDefault="00472793" w:rsidP="007B3187">
      <w:pPr>
        <w:spacing w:after="0" w:line="240" w:lineRule="auto"/>
        <w:jc w:val="both"/>
        <w:rPr>
          <w:rFonts w:ascii="Book Antiqua" w:hAnsi="Book Antiqua"/>
          <w:sz w:val="24"/>
          <w:szCs w:val="24"/>
        </w:rPr>
      </w:pPr>
      <w:r>
        <w:rPr>
          <w:rFonts w:ascii="Book Antiqua" w:hAnsi="Book Antiqua"/>
          <w:color w:val="000000"/>
          <w:sz w:val="24"/>
          <w:szCs w:val="24"/>
        </w:rPr>
        <w:t>Como parte del análisis legislativo, se le pidieron memoriales a</w:t>
      </w:r>
      <w:r w:rsidR="00241A7D">
        <w:rPr>
          <w:rFonts w:ascii="Book Antiqua" w:hAnsi="Book Antiqua"/>
          <w:color w:val="000000"/>
          <w:sz w:val="24"/>
          <w:szCs w:val="24"/>
        </w:rPr>
        <w:t>l Departamento del Trabajo y Recursos Humanos (DTHR)</w:t>
      </w:r>
      <w:r w:rsidR="003C2E71">
        <w:rPr>
          <w:rFonts w:ascii="Book Antiqua" w:hAnsi="Book Antiqua"/>
          <w:color w:val="000000"/>
          <w:sz w:val="24"/>
          <w:szCs w:val="24"/>
        </w:rPr>
        <w:t>,</w:t>
      </w:r>
      <w:r w:rsidR="00241A7D">
        <w:rPr>
          <w:rFonts w:ascii="Book Antiqua" w:hAnsi="Book Antiqua"/>
          <w:color w:val="000000"/>
          <w:sz w:val="24"/>
          <w:szCs w:val="24"/>
        </w:rPr>
        <w:t xml:space="preserve"> a la Oficina de Administración y Transformación de los Recursos Humanos (OATRH)</w:t>
      </w:r>
      <w:r w:rsidR="003C2E71">
        <w:rPr>
          <w:rFonts w:ascii="Book Antiqua" w:hAnsi="Book Antiqua"/>
          <w:color w:val="000000"/>
          <w:sz w:val="24"/>
          <w:szCs w:val="24"/>
        </w:rPr>
        <w:t xml:space="preserve"> y a la </w:t>
      </w:r>
      <w:r w:rsidR="003B7F97">
        <w:rPr>
          <w:rFonts w:ascii="Book Antiqua" w:hAnsi="Book Antiqua"/>
          <w:color w:val="000000"/>
          <w:sz w:val="24"/>
          <w:szCs w:val="24"/>
        </w:rPr>
        <w:t>corporación Centro</w:t>
      </w:r>
      <w:r w:rsidR="00F67784">
        <w:rPr>
          <w:rFonts w:ascii="Book Antiqua" w:hAnsi="Book Antiqua"/>
          <w:color w:val="000000"/>
          <w:sz w:val="24"/>
          <w:szCs w:val="24"/>
        </w:rPr>
        <w:t xml:space="preserve"> Integral de Lactancia</w:t>
      </w:r>
      <w:r w:rsidR="00241A7D">
        <w:rPr>
          <w:rFonts w:ascii="Book Antiqua" w:hAnsi="Book Antiqua"/>
          <w:color w:val="000000"/>
          <w:sz w:val="24"/>
          <w:szCs w:val="24"/>
        </w:rPr>
        <w:t>. No obstante, al momento de redactar este informe, la OATRH no había remitido sus comentarios sobre la medida.</w:t>
      </w:r>
    </w:p>
    <w:p w14:paraId="731BADD0" w14:textId="77777777" w:rsidR="0023263A" w:rsidRPr="0023263A" w:rsidRDefault="0023263A" w:rsidP="007B3187">
      <w:pPr>
        <w:spacing w:after="0" w:line="240" w:lineRule="auto"/>
        <w:jc w:val="both"/>
        <w:rPr>
          <w:rFonts w:ascii="Book Antiqua" w:hAnsi="Book Antiqua"/>
          <w:sz w:val="24"/>
          <w:szCs w:val="24"/>
        </w:rPr>
      </w:pPr>
    </w:p>
    <w:p w14:paraId="78640B26" w14:textId="30588FCA"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 xml:space="preserve">DEPARTAMENTO </w:t>
      </w:r>
      <w:r w:rsidR="003258E9">
        <w:rPr>
          <w:rFonts w:ascii="Book Antiqua" w:hAnsi="Book Antiqua"/>
          <w:b/>
          <w:bCs/>
          <w:sz w:val="24"/>
          <w:szCs w:val="24"/>
        </w:rPr>
        <w:t>DEL TRABAJO Y ASUNTOS LABORALES (DTRH</w:t>
      </w:r>
      <w:r w:rsidRPr="0023263A">
        <w:rPr>
          <w:rFonts w:ascii="Book Antiqua" w:hAnsi="Book Antiqua"/>
          <w:b/>
          <w:bCs/>
          <w:sz w:val="24"/>
          <w:szCs w:val="24"/>
        </w:rPr>
        <w:t>)</w:t>
      </w:r>
    </w:p>
    <w:p w14:paraId="310CB534" w14:textId="77777777" w:rsidR="007B3187" w:rsidRPr="0023263A" w:rsidRDefault="007B3187" w:rsidP="007B3187">
      <w:pPr>
        <w:spacing w:after="0" w:line="240" w:lineRule="auto"/>
        <w:jc w:val="center"/>
        <w:rPr>
          <w:rFonts w:ascii="Book Antiqua" w:hAnsi="Book Antiqua"/>
          <w:b/>
          <w:bCs/>
          <w:sz w:val="24"/>
          <w:szCs w:val="24"/>
        </w:rPr>
      </w:pPr>
    </w:p>
    <w:p w14:paraId="4F90643B" w14:textId="7D306CF4" w:rsidR="007B3187" w:rsidRPr="0023263A" w:rsidRDefault="007B3187" w:rsidP="007B3187">
      <w:pPr>
        <w:tabs>
          <w:tab w:val="num" w:pos="720"/>
          <w:tab w:val="num" w:pos="1440"/>
        </w:tabs>
        <w:spacing w:after="0" w:line="240" w:lineRule="auto"/>
        <w:jc w:val="both"/>
        <w:rPr>
          <w:rFonts w:ascii="Book Antiqua" w:hAnsi="Book Antiqua"/>
          <w:sz w:val="24"/>
          <w:szCs w:val="24"/>
        </w:rPr>
      </w:pPr>
      <w:r w:rsidRPr="0023263A">
        <w:rPr>
          <w:rFonts w:ascii="Book Antiqua" w:eastAsia="Times New Roman" w:hAnsi="Book Antiqua"/>
          <w:bCs/>
          <w:sz w:val="24"/>
          <w:szCs w:val="24"/>
          <w:lang w:val="es-ES"/>
        </w:rPr>
        <w:t xml:space="preserve">El Departamento </w:t>
      </w:r>
      <w:r w:rsidR="003258E9">
        <w:rPr>
          <w:rFonts w:ascii="Book Antiqua" w:eastAsia="Times New Roman" w:hAnsi="Book Antiqua"/>
          <w:bCs/>
          <w:sz w:val="24"/>
          <w:szCs w:val="24"/>
          <w:lang w:val="es-ES"/>
        </w:rPr>
        <w:t>del Trabajo y Asuntos Laborales (DTRH</w:t>
      </w:r>
      <w:r w:rsidRPr="0023263A">
        <w:rPr>
          <w:rFonts w:ascii="Book Antiqua" w:eastAsia="Times New Roman" w:hAnsi="Book Antiqua"/>
          <w:bCs/>
          <w:sz w:val="24"/>
          <w:szCs w:val="24"/>
          <w:lang w:val="es-ES"/>
        </w:rPr>
        <w:t>),</w:t>
      </w:r>
      <w:r w:rsidRPr="0023263A">
        <w:rPr>
          <w:rFonts w:ascii="Book Antiqua" w:hAnsi="Book Antiqua"/>
          <w:sz w:val="24"/>
          <w:szCs w:val="24"/>
        </w:rPr>
        <w:t xml:space="preserve"> presentó su memorial explicativo para el P. de</w:t>
      </w:r>
      <w:r w:rsidR="003258E9">
        <w:rPr>
          <w:rFonts w:ascii="Book Antiqua" w:hAnsi="Book Antiqua"/>
          <w:sz w:val="24"/>
          <w:szCs w:val="24"/>
        </w:rPr>
        <w:t xml:space="preserve"> </w:t>
      </w:r>
      <w:r w:rsidRPr="0023263A">
        <w:rPr>
          <w:rFonts w:ascii="Book Antiqua" w:hAnsi="Book Antiqua"/>
          <w:sz w:val="24"/>
          <w:szCs w:val="24"/>
        </w:rPr>
        <w:t>l</w:t>
      </w:r>
      <w:r w:rsidR="003258E9">
        <w:rPr>
          <w:rFonts w:ascii="Book Antiqua" w:hAnsi="Book Antiqua"/>
          <w:sz w:val="24"/>
          <w:szCs w:val="24"/>
        </w:rPr>
        <w:t>a</w:t>
      </w:r>
      <w:r w:rsidRPr="0023263A">
        <w:rPr>
          <w:rFonts w:ascii="Book Antiqua" w:hAnsi="Book Antiqua"/>
          <w:sz w:val="24"/>
          <w:szCs w:val="24"/>
        </w:rPr>
        <w:t xml:space="preserve"> </w:t>
      </w:r>
      <w:r w:rsidR="003258E9">
        <w:rPr>
          <w:rFonts w:ascii="Book Antiqua" w:hAnsi="Book Antiqua"/>
          <w:sz w:val="24"/>
          <w:szCs w:val="24"/>
        </w:rPr>
        <w:t>C</w:t>
      </w:r>
      <w:r w:rsidRPr="0023263A">
        <w:rPr>
          <w:rFonts w:ascii="Book Antiqua" w:hAnsi="Book Antiqua"/>
          <w:sz w:val="24"/>
          <w:szCs w:val="24"/>
        </w:rPr>
        <w:t xml:space="preserve">. </w:t>
      </w:r>
      <w:r w:rsidR="00751279">
        <w:rPr>
          <w:rFonts w:ascii="Book Antiqua" w:hAnsi="Book Antiqua"/>
          <w:sz w:val="24"/>
          <w:szCs w:val="24"/>
        </w:rPr>
        <w:t>483</w:t>
      </w:r>
      <w:r w:rsidR="009A42DC">
        <w:rPr>
          <w:rFonts w:ascii="Book Antiqua" w:hAnsi="Book Antiqua"/>
          <w:sz w:val="24"/>
          <w:szCs w:val="24"/>
        </w:rPr>
        <w:t xml:space="preserve">, </w:t>
      </w:r>
      <w:r w:rsidR="009A42DC" w:rsidRPr="0023263A">
        <w:rPr>
          <w:rFonts w:ascii="Book Antiqua" w:hAnsi="Book Antiqua"/>
          <w:sz w:val="24"/>
          <w:szCs w:val="24"/>
        </w:rPr>
        <w:t>expresá</w:t>
      </w:r>
      <w:r w:rsidR="009A42DC">
        <w:rPr>
          <w:rFonts w:ascii="Book Antiqua" w:hAnsi="Book Antiqua"/>
          <w:sz w:val="24"/>
          <w:szCs w:val="24"/>
        </w:rPr>
        <w:t>ndose</w:t>
      </w:r>
      <w:r w:rsidRPr="0023263A">
        <w:rPr>
          <w:rFonts w:ascii="Book Antiqua" w:hAnsi="Book Antiqua"/>
          <w:sz w:val="24"/>
          <w:szCs w:val="24"/>
        </w:rPr>
        <w:t xml:space="preserve"> a favor de su aprobación</w:t>
      </w:r>
      <w:r w:rsidR="00615A07">
        <w:rPr>
          <w:rFonts w:ascii="Book Antiqua" w:hAnsi="Book Antiqua"/>
          <w:sz w:val="24"/>
          <w:szCs w:val="24"/>
        </w:rPr>
        <w:t>, sujeto a que se incluyan enmiendas sugeridas</w:t>
      </w:r>
      <w:r w:rsidRPr="0023263A">
        <w:rPr>
          <w:rFonts w:ascii="Book Antiqua" w:hAnsi="Book Antiqua"/>
          <w:sz w:val="24"/>
          <w:szCs w:val="24"/>
        </w:rPr>
        <w:t>.</w:t>
      </w:r>
    </w:p>
    <w:p w14:paraId="0EA40C47" w14:textId="77777777" w:rsidR="007B3187" w:rsidRPr="0023263A" w:rsidRDefault="007B3187" w:rsidP="007B3187">
      <w:pPr>
        <w:spacing w:after="0" w:line="240" w:lineRule="auto"/>
        <w:jc w:val="both"/>
        <w:rPr>
          <w:rFonts w:ascii="Book Antiqua" w:hAnsi="Book Antiqua"/>
          <w:sz w:val="24"/>
          <w:szCs w:val="24"/>
        </w:rPr>
      </w:pPr>
    </w:p>
    <w:p w14:paraId="4677A5DB" w14:textId="428C3AA2" w:rsidR="007B3187" w:rsidRDefault="00360DE1" w:rsidP="007B3187">
      <w:pPr>
        <w:spacing w:after="0" w:line="240" w:lineRule="auto"/>
        <w:jc w:val="both"/>
        <w:rPr>
          <w:rFonts w:ascii="Book Antiqua" w:hAnsi="Book Antiqua"/>
          <w:sz w:val="24"/>
          <w:szCs w:val="24"/>
        </w:rPr>
      </w:pPr>
      <w:r>
        <w:rPr>
          <w:rFonts w:ascii="Book Antiqua" w:hAnsi="Book Antiqua"/>
          <w:sz w:val="24"/>
          <w:szCs w:val="24"/>
        </w:rPr>
        <w:t>La</w:t>
      </w:r>
      <w:r w:rsidR="007B3187" w:rsidRPr="0023263A">
        <w:rPr>
          <w:rFonts w:ascii="Book Antiqua" w:hAnsi="Book Antiqua"/>
          <w:sz w:val="24"/>
          <w:szCs w:val="24"/>
        </w:rPr>
        <w:t xml:space="preserve"> misión</w:t>
      </w:r>
      <w:r>
        <w:rPr>
          <w:rFonts w:ascii="Book Antiqua" w:hAnsi="Book Antiqua"/>
          <w:sz w:val="24"/>
          <w:szCs w:val="24"/>
        </w:rPr>
        <w:t xml:space="preserve"> del DTRH</w:t>
      </w:r>
      <w:r w:rsidR="007B3187" w:rsidRPr="0023263A">
        <w:rPr>
          <w:rFonts w:ascii="Book Antiqua" w:hAnsi="Book Antiqua"/>
          <w:sz w:val="24"/>
          <w:szCs w:val="24"/>
        </w:rPr>
        <w:t xml:space="preserve"> es </w:t>
      </w:r>
      <w:r>
        <w:rPr>
          <w:rFonts w:ascii="Book Antiqua" w:hAnsi="Book Antiqua"/>
          <w:sz w:val="24"/>
          <w:szCs w:val="24"/>
        </w:rPr>
        <w:t>a</w:t>
      </w:r>
      <w:r w:rsidR="00406232" w:rsidRPr="00406232">
        <w:rPr>
          <w:rFonts w:ascii="Book Antiqua" w:hAnsi="Book Antiqua"/>
          <w:sz w:val="24"/>
          <w:szCs w:val="24"/>
        </w:rPr>
        <w:t xml:space="preserve">tender con voluntad y compromiso el desarrollo del mejor ambiente laboral, mediante la identificación, capacitación y transformación de la fuerza trabajadora; garantizando los derechos laborales, fomentando la creación de más y mejores empleos, la seguridad y el bienestar social y económico de los trabajadores, a fin </w:t>
      </w:r>
      <w:r w:rsidR="00406232" w:rsidRPr="00406232">
        <w:rPr>
          <w:rFonts w:ascii="Book Antiqua" w:hAnsi="Book Antiqua"/>
          <w:sz w:val="24"/>
          <w:szCs w:val="24"/>
        </w:rPr>
        <w:lastRenderedPageBreak/>
        <w:t>de contribuir a fortalecer el nivel socioeconómico de los componentes del sector laboral de Puerto Rico.</w:t>
      </w:r>
    </w:p>
    <w:p w14:paraId="5BBF9B94" w14:textId="77777777" w:rsidR="0048070C" w:rsidRDefault="0048070C" w:rsidP="007B3187">
      <w:pPr>
        <w:spacing w:after="0" w:line="240" w:lineRule="auto"/>
        <w:jc w:val="both"/>
        <w:rPr>
          <w:rFonts w:ascii="Book Antiqua" w:hAnsi="Book Antiqua"/>
          <w:sz w:val="24"/>
          <w:szCs w:val="24"/>
        </w:rPr>
      </w:pPr>
    </w:p>
    <w:p w14:paraId="4CF2938D" w14:textId="6C33B926" w:rsidR="0048070C" w:rsidRDefault="0048070C" w:rsidP="007B3187">
      <w:pPr>
        <w:spacing w:after="0" w:line="240" w:lineRule="auto"/>
        <w:jc w:val="both"/>
        <w:rPr>
          <w:rFonts w:ascii="Book Antiqua" w:hAnsi="Book Antiqua"/>
          <w:sz w:val="24"/>
          <w:szCs w:val="24"/>
        </w:rPr>
      </w:pPr>
      <w:r>
        <w:rPr>
          <w:rFonts w:ascii="Book Antiqua" w:hAnsi="Book Antiqua"/>
          <w:sz w:val="24"/>
          <w:szCs w:val="24"/>
        </w:rPr>
        <w:t>Indica el DTRH que la</w:t>
      </w:r>
      <w:r w:rsidR="005A45DD">
        <w:rPr>
          <w:rFonts w:ascii="Book Antiqua" w:hAnsi="Book Antiqua"/>
          <w:sz w:val="24"/>
          <w:szCs w:val="24"/>
        </w:rPr>
        <w:t xml:space="preserve"> Unidad </w:t>
      </w:r>
      <w:proofErr w:type="spellStart"/>
      <w:r w:rsidR="005A45DD">
        <w:rPr>
          <w:rFonts w:ascii="Book Antiqua" w:hAnsi="Book Antiqua"/>
          <w:sz w:val="24"/>
          <w:szCs w:val="24"/>
        </w:rPr>
        <w:t>Antidiscrimen</w:t>
      </w:r>
      <w:proofErr w:type="spellEnd"/>
      <w:r w:rsidR="005A45DD">
        <w:rPr>
          <w:rFonts w:ascii="Book Antiqua" w:hAnsi="Book Antiqua"/>
          <w:sz w:val="24"/>
          <w:szCs w:val="24"/>
        </w:rPr>
        <w:t xml:space="preserve"> (UAD) es la dependencia de su agencia que tiene la obligación de velar por el cumplimiento de la legislación local y federal que prohíbe el discrimen en el empleo por diversas razones, incluyendo el discrimen por sexo. En cuanto a este </w:t>
      </w:r>
      <w:r w:rsidR="00755D0F">
        <w:rPr>
          <w:rFonts w:ascii="Book Antiqua" w:hAnsi="Book Antiqua"/>
          <w:sz w:val="24"/>
          <w:szCs w:val="24"/>
        </w:rPr>
        <w:t>ultimo particular, informan que para el año 2024, se presentaron ante la UAD un total de 343 querellas, de las cuales 203 fueron bajo las diversas modalidades del discrimen por razón de sexo.</w:t>
      </w:r>
      <w:r w:rsidR="005A45DD">
        <w:rPr>
          <w:rFonts w:ascii="Book Antiqua" w:hAnsi="Book Antiqua"/>
          <w:sz w:val="24"/>
          <w:szCs w:val="24"/>
        </w:rPr>
        <w:t xml:space="preserve"> </w:t>
      </w:r>
    </w:p>
    <w:p w14:paraId="16700948" w14:textId="77777777" w:rsidR="006F58BD" w:rsidRDefault="006F58BD" w:rsidP="007B3187">
      <w:pPr>
        <w:spacing w:after="0" w:line="240" w:lineRule="auto"/>
        <w:jc w:val="both"/>
        <w:rPr>
          <w:rFonts w:ascii="Book Antiqua" w:hAnsi="Book Antiqua"/>
          <w:sz w:val="24"/>
          <w:szCs w:val="24"/>
        </w:rPr>
      </w:pPr>
    </w:p>
    <w:p w14:paraId="7C0564F1" w14:textId="095E780C" w:rsidR="006F58BD" w:rsidRDefault="006F58BD" w:rsidP="007B3187">
      <w:pPr>
        <w:spacing w:after="0" w:line="240" w:lineRule="auto"/>
        <w:jc w:val="both"/>
        <w:rPr>
          <w:rFonts w:ascii="Book Antiqua" w:hAnsi="Book Antiqua"/>
          <w:sz w:val="24"/>
          <w:szCs w:val="24"/>
        </w:rPr>
      </w:pPr>
      <w:r>
        <w:rPr>
          <w:rFonts w:ascii="Book Antiqua" w:hAnsi="Book Antiqua"/>
          <w:sz w:val="24"/>
          <w:szCs w:val="24"/>
        </w:rPr>
        <w:t>En su memorial, el DTRH hizo referencia a las leyes aprobadas en protección de los derechos de las madres lactantes, incluyendo las siguientes:</w:t>
      </w:r>
    </w:p>
    <w:p w14:paraId="39C14AE3" w14:textId="789C1870" w:rsidR="006F58BD" w:rsidRDefault="00B035FD"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Núm. 3 de 13 de marzo de 1942, según enmendada, conocida como “Ley de Protección de Madres Obreras”</w:t>
      </w:r>
      <w:r w:rsidR="00B30598">
        <w:rPr>
          <w:rFonts w:ascii="Book Antiqua" w:hAnsi="Book Antiqua"/>
          <w:sz w:val="24"/>
          <w:szCs w:val="24"/>
        </w:rPr>
        <w:t>.</w:t>
      </w:r>
    </w:p>
    <w:p w14:paraId="1CD56B6C" w14:textId="44F80C1F" w:rsidR="00D8709F" w:rsidRDefault="00D8709F"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Nú</w:t>
      </w:r>
      <w:r w:rsidR="00445DB5">
        <w:rPr>
          <w:rFonts w:ascii="Book Antiqua" w:hAnsi="Book Antiqua"/>
          <w:sz w:val="24"/>
          <w:szCs w:val="24"/>
        </w:rPr>
        <w:t>m. 168 de 4 de mayo de 1949, la cual reconoció la lactancia en centros comerciales, puertos, aeropuertos y dependencias gubernamentales.</w:t>
      </w:r>
    </w:p>
    <w:p w14:paraId="143E23EE" w14:textId="2BAED31C" w:rsidR="00394B8D" w:rsidRDefault="00394B8D"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 xml:space="preserve">Ley 427-2000, la cual reglamenta el periodo de </w:t>
      </w:r>
      <w:r w:rsidR="00E41C75">
        <w:rPr>
          <w:rFonts w:ascii="Book Antiqua" w:hAnsi="Book Antiqua"/>
          <w:sz w:val="24"/>
          <w:szCs w:val="24"/>
        </w:rPr>
        <w:t>lactancia o</w:t>
      </w:r>
      <w:r>
        <w:rPr>
          <w:rFonts w:ascii="Book Antiqua" w:hAnsi="Book Antiqua"/>
          <w:sz w:val="24"/>
          <w:szCs w:val="24"/>
        </w:rPr>
        <w:t xml:space="preserve"> </w:t>
      </w:r>
      <w:r w:rsidR="00E41C75">
        <w:rPr>
          <w:rFonts w:ascii="Book Antiqua" w:hAnsi="Book Antiqua"/>
          <w:sz w:val="24"/>
          <w:szCs w:val="24"/>
        </w:rPr>
        <w:t xml:space="preserve">extracción de </w:t>
      </w:r>
      <w:r>
        <w:rPr>
          <w:rFonts w:ascii="Book Antiqua" w:hAnsi="Book Antiqua"/>
          <w:sz w:val="24"/>
          <w:szCs w:val="24"/>
        </w:rPr>
        <w:t>leche materna.</w:t>
      </w:r>
    </w:p>
    <w:p w14:paraId="6D1E4CED" w14:textId="5865C5E3" w:rsidR="00B710C7" w:rsidRDefault="00B710C7"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155-2002</w:t>
      </w:r>
      <w:r w:rsidR="00382143">
        <w:rPr>
          <w:rFonts w:ascii="Book Antiqua" w:hAnsi="Book Antiqua"/>
          <w:sz w:val="24"/>
          <w:szCs w:val="24"/>
        </w:rPr>
        <w:t>, la cual designa espacios de lactancia en las entidades públicas.</w:t>
      </w:r>
    </w:p>
    <w:p w14:paraId="3722F195" w14:textId="3D88F7AA" w:rsidR="00B30598" w:rsidRDefault="00B30598"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165-2002, la cual concedió una licencia por maternidad a las empleadas del sector público</w:t>
      </w:r>
      <w:r w:rsidR="00677A22">
        <w:rPr>
          <w:rFonts w:ascii="Book Antiqua" w:hAnsi="Book Antiqua"/>
          <w:sz w:val="24"/>
          <w:szCs w:val="24"/>
        </w:rPr>
        <w:t>.</w:t>
      </w:r>
    </w:p>
    <w:p w14:paraId="5EB2AE6E" w14:textId="35792BA4" w:rsidR="00FD4A10" w:rsidRDefault="00FD4A10"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9</w:t>
      </w:r>
      <w:r w:rsidR="00E737AF">
        <w:rPr>
          <w:rFonts w:ascii="Book Antiqua" w:hAnsi="Book Antiqua"/>
          <w:sz w:val="24"/>
          <w:szCs w:val="24"/>
        </w:rPr>
        <w:t>5</w:t>
      </w:r>
      <w:r>
        <w:rPr>
          <w:rFonts w:ascii="Book Antiqua" w:hAnsi="Book Antiqua"/>
          <w:sz w:val="24"/>
          <w:szCs w:val="24"/>
        </w:rPr>
        <w:t>-2004, la cual prohíbe el discrimen contra las madres lactantes.</w:t>
      </w:r>
    </w:p>
    <w:p w14:paraId="0844865D" w14:textId="01E1E3A5" w:rsidR="007708BB" w:rsidRDefault="007708BB"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Ley 456-2004</w:t>
      </w:r>
      <w:r w:rsidR="003F2E94">
        <w:rPr>
          <w:rFonts w:ascii="Book Antiqua" w:hAnsi="Book Antiqua"/>
          <w:sz w:val="24"/>
          <w:szCs w:val="24"/>
        </w:rPr>
        <w:t>, para que los espacios de lactancia sean privados y tengan buenas condiciones de seguridad e higiene</w:t>
      </w:r>
      <w:r w:rsidR="005C4ABB">
        <w:rPr>
          <w:rFonts w:ascii="Book Antiqua" w:hAnsi="Book Antiqua"/>
          <w:sz w:val="24"/>
          <w:szCs w:val="24"/>
        </w:rPr>
        <w:t>, y que no estén ubicados dentro de áreas destinadas a servicios sanitarios.</w:t>
      </w:r>
    </w:p>
    <w:p w14:paraId="5DC2F239" w14:textId="29E20174" w:rsidR="00677A22" w:rsidRDefault="00A67CF5" w:rsidP="00B035FD">
      <w:pPr>
        <w:pStyle w:val="ListParagraph"/>
        <w:numPr>
          <w:ilvl w:val="0"/>
          <w:numId w:val="9"/>
        </w:numPr>
        <w:spacing w:after="0" w:line="240" w:lineRule="auto"/>
        <w:jc w:val="both"/>
        <w:rPr>
          <w:rFonts w:ascii="Book Antiqua" w:hAnsi="Book Antiqua"/>
          <w:sz w:val="24"/>
          <w:szCs w:val="24"/>
        </w:rPr>
      </w:pPr>
      <w:r>
        <w:rPr>
          <w:rFonts w:ascii="Book Antiqua" w:hAnsi="Book Antiqua"/>
          <w:sz w:val="24"/>
          <w:szCs w:val="24"/>
        </w:rPr>
        <w:t xml:space="preserve">Ley </w:t>
      </w:r>
      <w:r w:rsidR="00B130F1">
        <w:rPr>
          <w:rFonts w:ascii="Book Antiqua" w:hAnsi="Book Antiqua"/>
          <w:sz w:val="24"/>
          <w:szCs w:val="24"/>
        </w:rPr>
        <w:t xml:space="preserve">17-2005, la cual reafirma el derecho de toda madre a lactar </w:t>
      </w:r>
      <w:r w:rsidR="00CC2EDA">
        <w:rPr>
          <w:rFonts w:ascii="Book Antiqua" w:hAnsi="Book Antiqua"/>
          <w:sz w:val="24"/>
          <w:szCs w:val="24"/>
        </w:rPr>
        <w:t>en lugares públicos.</w:t>
      </w:r>
    </w:p>
    <w:p w14:paraId="6A148FCD" w14:textId="77777777" w:rsidR="007B3187" w:rsidRDefault="007B3187" w:rsidP="007B3187">
      <w:pPr>
        <w:spacing w:after="0" w:line="240" w:lineRule="auto"/>
        <w:jc w:val="both"/>
        <w:rPr>
          <w:rFonts w:ascii="Book Antiqua" w:hAnsi="Book Antiqua"/>
          <w:sz w:val="24"/>
          <w:szCs w:val="24"/>
        </w:rPr>
      </w:pPr>
    </w:p>
    <w:p w14:paraId="02C583F8" w14:textId="5BBB6587" w:rsidR="00406AC1" w:rsidRDefault="00212FA6" w:rsidP="007B3187">
      <w:pPr>
        <w:spacing w:after="0" w:line="240" w:lineRule="auto"/>
        <w:jc w:val="both"/>
        <w:rPr>
          <w:rFonts w:ascii="Book Antiqua" w:hAnsi="Book Antiqua"/>
          <w:sz w:val="24"/>
          <w:szCs w:val="24"/>
        </w:rPr>
      </w:pPr>
      <w:r>
        <w:rPr>
          <w:rFonts w:ascii="Book Antiqua" w:hAnsi="Book Antiqua"/>
          <w:sz w:val="24"/>
          <w:szCs w:val="24"/>
        </w:rPr>
        <w:t>En cuanto a la presente medida, el DTRH centra sus comentarios y recomendaciones en el Título III de la medida, el cual está dirigido al sector laboral privado</w:t>
      </w:r>
      <w:r w:rsidR="00EB7241">
        <w:rPr>
          <w:rFonts w:ascii="Book Antiqua" w:hAnsi="Book Antiqua"/>
          <w:sz w:val="24"/>
          <w:szCs w:val="24"/>
        </w:rPr>
        <w:t>.</w:t>
      </w:r>
      <w:r w:rsidR="002B5271">
        <w:rPr>
          <w:rFonts w:ascii="Book Antiqua" w:hAnsi="Book Antiqua"/>
          <w:sz w:val="24"/>
          <w:szCs w:val="24"/>
        </w:rPr>
        <w:t xml:space="preserve"> De entrada, el DTRH reconoce que la medida objeto de análisis</w:t>
      </w:r>
      <w:r w:rsidR="007C0C4F">
        <w:rPr>
          <w:rFonts w:ascii="Book Antiqua" w:hAnsi="Book Antiqua"/>
          <w:sz w:val="24"/>
          <w:szCs w:val="24"/>
        </w:rPr>
        <w:t xml:space="preserve"> incorpora importantes </w:t>
      </w:r>
      <w:r w:rsidR="00345B19">
        <w:rPr>
          <w:rFonts w:ascii="Book Antiqua" w:hAnsi="Book Antiqua"/>
          <w:sz w:val="24"/>
          <w:szCs w:val="24"/>
        </w:rPr>
        <w:t xml:space="preserve">disposiciones traídas mediante ley, mediante la jurisprudencia interpretativa y mediante </w:t>
      </w:r>
      <w:r w:rsidR="00774D75">
        <w:rPr>
          <w:rFonts w:ascii="Book Antiqua" w:hAnsi="Book Antiqua"/>
          <w:sz w:val="24"/>
          <w:szCs w:val="24"/>
        </w:rPr>
        <w:t>guías</w:t>
      </w:r>
      <w:r w:rsidR="00345B19">
        <w:rPr>
          <w:rFonts w:ascii="Book Antiqua" w:hAnsi="Book Antiqua"/>
          <w:sz w:val="24"/>
          <w:szCs w:val="24"/>
        </w:rPr>
        <w:t xml:space="preserve"> </w:t>
      </w:r>
      <w:r w:rsidR="00774D75">
        <w:rPr>
          <w:rFonts w:ascii="Book Antiqua" w:hAnsi="Book Antiqua"/>
          <w:sz w:val="24"/>
          <w:szCs w:val="24"/>
        </w:rPr>
        <w:t>promulgadas por la Oficina de la Procuradora de las Mujeres</w:t>
      </w:r>
      <w:r w:rsidR="00A02F94">
        <w:rPr>
          <w:rFonts w:ascii="Book Antiqua" w:hAnsi="Book Antiqua"/>
          <w:sz w:val="24"/>
          <w:szCs w:val="24"/>
        </w:rPr>
        <w:t xml:space="preserve">, las cuales establecen un marco para la habilitación de salas de lactancia. Esto, con el objetivo principal de que </w:t>
      </w:r>
      <w:r w:rsidR="00E50259">
        <w:rPr>
          <w:rFonts w:ascii="Book Antiqua" w:hAnsi="Book Antiqua"/>
          <w:sz w:val="24"/>
          <w:szCs w:val="24"/>
        </w:rPr>
        <w:t>el espacio destinado para la extracción de leche materna sea privado, seguro e higiénico.</w:t>
      </w:r>
    </w:p>
    <w:p w14:paraId="53D371B9" w14:textId="77777777" w:rsidR="0000726D" w:rsidRDefault="0000726D" w:rsidP="007B3187">
      <w:pPr>
        <w:spacing w:after="0" w:line="240" w:lineRule="auto"/>
        <w:jc w:val="both"/>
        <w:rPr>
          <w:rFonts w:ascii="Book Antiqua" w:hAnsi="Book Antiqua"/>
          <w:sz w:val="24"/>
          <w:szCs w:val="24"/>
        </w:rPr>
      </w:pPr>
    </w:p>
    <w:p w14:paraId="39A15770" w14:textId="0057A289" w:rsidR="0000726D" w:rsidRDefault="0000726D" w:rsidP="007B3187">
      <w:pPr>
        <w:spacing w:after="0" w:line="240" w:lineRule="auto"/>
        <w:jc w:val="both"/>
        <w:rPr>
          <w:rFonts w:ascii="Book Antiqua" w:hAnsi="Book Antiqua"/>
          <w:sz w:val="24"/>
          <w:szCs w:val="24"/>
        </w:rPr>
      </w:pPr>
      <w:r>
        <w:rPr>
          <w:rFonts w:ascii="Book Antiqua" w:hAnsi="Book Antiqua"/>
          <w:sz w:val="24"/>
          <w:szCs w:val="24"/>
        </w:rPr>
        <w:t>E</w:t>
      </w:r>
      <w:r w:rsidR="00914F89">
        <w:rPr>
          <w:rFonts w:ascii="Book Antiqua" w:hAnsi="Book Antiqua"/>
          <w:sz w:val="24"/>
          <w:szCs w:val="24"/>
        </w:rPr>
        <w:t xml:space="preserve">l </w:t>
      </w:r>
      <w:r>
        <w:rPr>
          <w:rFonts w:ascii="Book Antiqua" w:hAnsi="Book Antiqua"/>
          <w:sz w:val="24"/>
          <w:szCs w:val="24"/>
        </w:rPr>
        <w:t>DTRH</w:t>
      </w:r>
      <w:r w:rsidR="00914F89">
        <w:rPr>
          <w:rFonts w:ascii="Book Antiqua" w:hAnsi="Book Antiqua"/>
          <w:sz w:val="24"/>
          <w:szCs w:val="24"/>
        </w:rPr>
        <w:t xml:space="preserve"> menciona que la medida incorpora disposiciones mas favorables para las madres trabajadoras</w:t>
      </w:r>
      <w:r w:rsidR="00A81AC5">
        <w:rPr>
          <w:rFonts w:ascii="Book Antiqua" w:hAnsi="Book Antiqua"/>
          <w:sz w:val="24"/>
          <w:szCs w:val="24"/>
        </w:rPr>
        <w:t>, como lo es la obligación del patrono de informar a cada una de las empleadas</w:t>
      </w:r>
      <w:r w:rsidR="00150327">
        <w:rPr>
          <w:rFonts w:ascii="Book Antiqua" w:hAnsi="Book Antiqua"/>
          <w:sz w:val="24"/>
          <w:szCs w:val="24"/>
        </w:rPr>
        <w:t xml:space="preserve"> </w:t>
      </w:r>
      <w:r w:rsidR="00F8219F">
        <w:rPr>
          <w:rFonts w:ascii="Book Antiqua" w:hAnsi="Book Antiqua"/>
          <w:sz w:val="24"/>
          <w:szCs w:val="24"/>
        </w:rPr>
        <w:t>su derecho</w:t>
      </w:r>
      <w:r w:rsidR="00150327">
        <w:rPr>
          <w:rFonts w:ascii="Book Antiqua" w:hAnsi="Book Antiqua"/>
          <w:sz w:val="24"/>
          <w:szCs w:val="24"/>
        </w:rPr>
        <w:t xml:space="preserve"> a lactar.</w:t>
      </w:r>
      <w:r w:rsidR="009636A1">
        <w:rPr>
          <w:rFonts w:ascii="Book Antiqua" w:hAnsi="Book Antiqua"/>
          <w:sz w:val="24"/>
          <w:szCs w:val="24"/>
        </w:rPr>
        <w:t xml:space="preserve"> A su vez, indican que el Artículo III. II. 1</w:t>
      </w:r>
      <w:r w:rsidR="002B1945">
        <w:rPr>
          <w:rFonts w:ascii="Book Antiqua" w:hAnsi="Book Antiqua"/>
          <w:sz w:val="24"/>
          <w:szCs w:val="24"/>
        </w:rPr>
        <w:t xml:space="preserve"> de la medida introduce un requisito más amplio </w:t>
      </w:r>
      <w:proofErr w:type="gramStart"/>
      <w:r w:rsidR="002B1945">
        <w:rPr>
          <w:rFonts w:ascii="Book Antiqua" w:hAnsi="Book Antiqua"/>
          <w:sz w:val="24"/>
          <w:szCs w:val="24"/>
        </w:rPr>
        <w:t>en relación al</w:t>
      </w:r>
      <w:proofErr w:type="gramEnd"/>
      <w:r w:rsidR="002B1945">
        <w:rPr>
          <w:rFonts w:ascii="Book Antiqua" w:hAnsi="Book Antiqua"/>
          <w:sz w:val="24"/>
          <w:szCs w:val="24"/>
        </w:rPr>
        <w:t xml:space="preserve"> tiempo con el que contará la empleada a tiempo parcial</w:t>
      </w:r>
      <w:r w:rsidR="00C76BFC">
        <w:rPr>
          <w:rFonts w:ascii="Book Antiqua" w:hAnsi="Book Antiqua"/>
          <w:sz w:val="24"/>
          <w:szCs w:val="24"/>
        </w:rPr>
        <w:t xml:space="preserve">, pues le concede también una (1) hora de periodo de lactancia. Actualmente la Ley </w:t>
      </w:r>
      <w:r w:rsidR="00075375">
        <w:rPr>
          <w:rFonts w:ascii="Book Antiqua" w:hAnsi="Book Antiqua"/>
          <w:sz w:val="24"/>
          <w:szCs w:val="24"/>
        </w:rPr>
        <w:t>427-2000 limita el periodo</w:t>
      </w:r>
      <w:r w:rsidR="000B67BF">
        <w:rPr>
          <w:rFonts w:ascii="Book Antiqua" w:hAnsi="Book Antiqua"/>
          <w:sz w:val="24"/>
          <w:szCs w:val="24"/>
        </w:rPr>
        <w:t xml:space="preserve"> a treinta (30) minutos a las empleadas a tiempo parcial.</w:t>
      </w:r>
    </w:p>
    <w:p w14:paraId="1760D8FB" w14:textId="77777777" w:rsidR="00640129" w:rsidRDefault="00640129" w:rsidP="007B3187">
      <w:pPr>
        <w:spacing w:after="0" w:line="240" w:lineRule="auto"/>
        <w:jc w:val="both"/>
        <w:rPr>
          <w:rFonts w:ascii="Book Antiqua" w:hAnsi="Book Antiqua"/>
          <w:sz w:val="24"/>
          <w:szCs w:val="24"/>
        </w:rPr>
      </w:pPr>
    </w:p>
    <w:p w14:paraId="79C43AFC" w14:textId="58E01F46" w:rsidR="00640129" w:rsidRDefault="00640129" w:rsidP="007B3187">
      <w:pPr>
        <w:spacing w:after="0" w:line="240" w:lineRule="auto"/>
        <w:jc w:val="both"/>
        <w:rPr>
          <w:rFonts w:ascii="Book Antiqua" w:hAnsi="Book Antiqua"/>
          <w:sz w:val="24"/>
          <w:szCs w:val="24"/>
        </w:rPr>
      </w:pPr>
      <w:r>
        <w:rPr>
          <w:rFonts w:ascii="Book Antiqua" w:hAnsi="Book Antiqua"/>
          <w:sz w:val="24"/>
          <w:szCs w:val="24"/>
        </w:rPr>
        <w:t xml:space="preserve">En </w:t>
      </w:r>
      <w:r w:rsidR="00F270E8">
        <w:rPr>
          <w:rFonts w:ascii="Book Antiqua" w:hAnsi="Book Antiqua"/>
          <w:sz w:val="24"/>
          <w:szCs w:val="24"/>
        </w:rPr>
        <w:t>lo concernido</w:t>
      </w:r>
      <w:r>
        <w:rPr>
          <w:rFonts w:ascii="Book Antiqua" w:hAnsi="Book Antiqua"/>
          <w:sz w:val="24"/>
          <w:szCs w:val="24"/>
        </w:rPr>
        <w:t xml:space="preserve"> al Artículo III. II. </w:t>
      </w:r>
      <w:r w:rsidR="002D4046">
        <w:rPr>
          <w:rFonts w:ascii="Book Antiqua" w:hAnsi="Book Antiqua"/>
          <w:sz w:val="24"/>
          <w:szCs w:val="24"/>
        </w:rPr>
        <w:t>5</w:t>
      </w:r>
      <w:r w:rsidR="00644AD2">
        <w:rPr>
          <w:rFonts w:ascii="Book Antiqua" w:hAnsi="Book Antiqua"/>
          <w:sz w:val="24"/>
          <w:szCs w:val="24"/>
        </w:rPr>
        <w:t xml:space="preserve"> del proyecto, indican que </w:t>
      </w:r>
      <w:r w:rsidR="0035079E">
        <w:rPr>
          <w:rFonts w:ascii="Book Antiqua" w:hAnsi="Book Antiqua"/>
          <w:sz w:val="24"/>
          <w:szCs w:val="24"/>
        </w:rPr>
        <w:t xml:space="preserve">respaldan plenamente el que se prohíba de forma expresa que los patronos no puedan utilizar el periodo de </w:t>
      </w:r>
      <w:r w:rsidR="00C7600A">
        <w:rPr>
          <w:rFonts w:ascii="Book Antiqua" w:hAnsi="Book Antiqua"/>
          <w:sz w:val="24"/>
          <w:szCs w:val="24"/>
        </w:rPr>
        <w:t>lactancia como criterio en la evaluación de productividad de l</w:t>
      </w:r>
      <w:r w:rsidR="00A00AAC">
        <w:rPr>
          <w:rFonts w:ascii="Book Antiqua" w:hAnsi="Book Antiqua"/>
          <w:sz w:val="24"/>
          <w:szCs w:val="24"/>
        </w:rPr>
        <w:t>as madres lactantes. Tampoco permite que se tomen represalias.</w:t>
      </w:r>
    </w:p>
    <w:p w14:paraId="1DCD82BE" w14:textId="77777777" w:rsidR="00406AC1" w:rsidRPr="0023263A" w:rsidRDefault="00406AC1" w:rsidP="007B3187">
      <w:pPr>
        <w:spacing w:after="0" w:line="240" w:lineRule="auto"/>
        <w:jc w:val="both"/>
        <w:rPr>
          <w:rFonts w:ascii="Book Antiqua" w:hAnsi="Book Antiqua"/>
          <w:sz w:val="24"/>
          <w:szCs w:val="24"/>
        </w:rPr>
      </w:pPr>
    </w:p>
    <w:p w14:paraId="31DD95B9" w14:textId="2476D2F5" w:rsidR="007B3187" w:rsidRPr="000471C1" w:rsidRDefault="007B3187" w:rsidP="007B3187">
      <w:pPr>
        <w:spacing w:after="0" w:line="240" w:lineRule="auto"/>
        <w:jc w:val="both"/>
        <w:rPr>
          <w:rFonts w:ascii="Book Antiqua" w:hAnsi="Book Antiqua"/>
          <w:sz w:val="24"/>
          <w:szCs w:val="24"/>
          <w:lang w:val="es-ES"/>
        </w:rPr>
      </w:pPr>
      <w:r w:rsidRPr="0023263A">
        <w:rPr>
          <w:rFonts w:ascii="Book Antiqua" w:hAnsi="Book Antiqua"/>
          <w:sz w:val="24"/>
          <w:szCs w:val="24"/>
        </w:rPr>
        <w:t>El D</w:t>
      </w:r>
      <w:r w:rsidR="00F7077C">
        <w:rPr>
          <w:rFonts w:ascii="Book Antiqua" w:hAnsi="Book Antiqua"/>
          <w:sz w:val="24"/>
          <w:szCs w:val="24"/>
        </w:rPr>
        <w:t>TRH</w:t>
      </w:r>
      <w:r w:rsidRPr="0023263A">
        <w:rPr>
          <w:rFonts w:ascii="Book Antiqua" w:hAnsi="Book Antiqua"/>
          <w:sz w:val="24"/>
          <w:szCs w:val="24"/>
        </w:rPr>
        <w:t xml:space="preserve"> recomienda la aprobación del Proyecto de</w:t>
      </w:r>
      <w:r w:rsidR="00C55B6F">
        <w:rPr>
          <w:rFonts w:ascii="Book Antiqua" w:hAnsi="Book Antiqua"/>
          <w:sz w:val="24"/>
          <w:szCs w:val="24"/>
        </w:rPr>
        <w:t xml:space="preserve"> </w:t>
      </w:r>
      <w:r w:rsidRPr="0023263A">
        <w:rPr>
          <w:rFonts w:ascii="Book Antiqua" w:hAnsi="Book Antiqua"/>
          <w:sz w:val="24"/>
          <w:szCs w:val="24"/>
        </w:rPr>
        <w:t>l</w:t>
      </w:r>
      <w:r w:rsidR="00C55B6F">
        <w:rPr>
          <w:rFonts w:ascii="Book Antiqua" w:hAnsi="Book Antiqua"/>
          <w:sz w:val="24"/>
          <w:szCs w:val="24"/>
        </w:rPr>
        <w:t>a</w:t>
      </w:r>
      <w:r w:rsidRPr="0023263A">
        <w:rPr>
          <w:rFonts w:ascii="Book Antiqua" w:hAnsi="Book Antiqua"/>
          <w:sz w:val="24"/>
          <w:szCs w:val="24"/>
        </w:rPr>
        <w:t xml:space="preserve"> </w:t>
      </w:r>
      <w:r w:rsidR="00C55B6F">
        <w:rPr>
          <w:rFonts w:ascii="Book Antiqua" w:hAnsi="Book Antiqua"/>
          <w:sz w:val="24"/>
          <w:szCs w:val="24"/>
        </w:rPr>
        <w:t>Cámara</w:t>
      </w:r>
      <w:r w:rsidRPr="0023263A">
        <w:rPr>
          <w:rFonts w:ascii="Book Antiqua" w:hAnsi="Book Antiqua"/>
          <w:sz w:val="24"/>
          <w:szCs w:val="24"/>
        </w:rPr>
        <w:t xml:space="preserve"> Núm. </w:t>
      </w:r>
      <w:r w:rsidR="00751279">
        <w:rPr>
          <w:rFonts w:ascii="Book Antiqua" w:hAnsi="Book Antiqua"/>
          <w:sz w:val="24"/>
          <w:szCs w:val="24"/>
        </w:rPr>
        <w:t>483</w:t>
      </w:r>
      <w:r w:rsidRPr="0023263A">
        <w:rPr>
          <w:rFonts w:ascii="Book Antiqua" w:hAnsi="Book Antiqua"/>
          <w:sz w:val="24"/>
          <w:szCs w:val="24"/>
        </w:rPr>
        <w:t xml:space="preserve"> </w:t>
      </w:r>
      <w:r w:rsidR="004A593A">
        <w:rPr>
          <w:rFonts w:ascii="Book Antiqua" w:hAnsi="Book Antiqua"/>
          <w:sz w:val="24"/>
          <w:szCs w:val="24"/>
        </w:rPr>
        <w:t>sin</w:t>
      </w:r>
      <w:r w:rsidRPr="0023263A">
        <w:rPr>
          <w:rFonts w:ascii="Book Antiqua" w:hAnsi="Book Antiqua"/>
          <w:sz w:val="24"/>
          <w:szCs w:val="24"/>
        </w:rPr>
        <w:t xml:space="preserve"> reservas</w:t>
      </w:r>
      <w:r w:rsidR="004A593A">
        <w:rPr>
          <w:rFonts w:ascii="Book Antiqua" w:hAnsi="Book Antiqua"/>
          <w:sz w:val="24"/>
          <w:szCs w:val="24"/>
        </w:rPr>
        <w:t>. Esto, pues entienden que la medida constituye un paso necesario y positivo para garantizar la protección efectiva del derecho a la lactancia y a la extracción de leche materna en el lugar de trabajo</w:t>
      </w:r>
      <w:r w:rsidR="000471C1" w:rsidRPr="000471C1">
        <w:rPr>
          <w:rFonts w:ascii="Book Antiqua" w:hAnsi="Book Antiqua"/>
          <w:sz w:val="24"/>
          <w:szCs w:val="24"/>
          <w:lang w:val="es-ES"/>
        </w:rPr>
        <w:t>;</w:t>
      </w:r>
      <w:r w:rsidR="000471C1">
        <w:rPr>
          <w:rFonts w:ascii="Book Antiqua" w:hAnsi="Book Antiqua"/>
          <w:sz w:val="24"/>
          <w:szCs w:val="24"/>
          <w:lang w:val="es-ES"/>
        </w:rPr>
        <w:t xml:space="preserve"> un derecho existente en nuestro ordenamiento pero que sus disposiciones se encuentran dispersas en múltiples leyes</w:t>
      </w:r>
      <w:r w:rsidR="00082E27">
        <w:rPr>
          <w:rFonts w:ascii="Book Antiqua" w:hAnsi="Book Antiqua"/>
          <w:sz w:val="24"/>
          <w:szCs w:val="24"/>
          <w:lang w:val="es-ES"/>
        </w:rPr>
        <w:t>. El DTRH entiende que la fragmentación de la normativa dificulta su comprensión, su cumplimiento</w:t>
      </w:r>
      <w:r w:rsidR="00845132">
        <w:rPr>
          <w:rFonts w:ascii="Book Antiqua" w:hAnsi="Book Antiqua"/>
          <w:sz w:val="24"/>
          <w:szCs w:val="24"/>
          <w:lang w:val="es-ES"/>
        </w:rPr>
        <w:t xml:space="preserve"> uniforme y su aplicación adecuada. En síntesis, entienden que la medida fortalece la política p</w:t>
      </w:r>
      <w:r w:rsidR="008E5589">
        <w:rPr>
          <w:rFonts w:ascii="Book Antiqua" w:hAnsi="Book Antiqua"/>
          <w:sz w:val="24"/>
          <w:szCs w:val="24"/>
          <w:lang w:val="es-ES"/>
        </w:rPr>
        <w:t>ública de apoyo a la maternidad y promueve un entorno laboral más equitativo, inclusivo y sensible a las necesidades de las familias puertorriqueñas.</w:t>
      </w:r>
    </w:p>
    <w:p w14:paraId="1CC5A36A" w14:textId="77777777" w:rsidR="007B3187" w:rsidRPr="0023263A" w:rsidRDefault="007B3187" w:rsidP="007B3187">
      <w:pPr>
        <w:spacing w:after="0" w:line="240" w:lineRule="auto"/>
        <w:jc w:val="both"/>
        <w:rPr>
          <w:rFonts w:ascii="Book Antiqua" w:hAnsi="Book Antiqua"/>
          <w:sz w:val="24"/>
          <w:szCs w:val="24"/>
        </w:rPr>
      </w:pPr>
    </w:p>
    <w:p w14:paraId="14EAA962" w14:textId="77777777" w:rsidR="00421D9C" w:rsidRPr="0023263A" w:rsidRDefault="00421D9C" w:rsidP="007B3187">
      <w:pPr>
        <w:pStyle w:val="Heading3"/>
        <w:spacing w:after="120"/>
        <w:ind w:left="3540" w:firstLine="0"/>
        <w:jc w:val="left"/>
        <w:rPr>
          <w:rFonts w:ascii="Book Antiqua" w:hAnsi="Book Antiqua"/>
        </w:rPr>
      </w:pPr>
      <w:r w:rsidRPr="0023263A">
        <w:rPr>
          <w:rFonts w:ascii="Book Antiqua" w:hAnsi="Book Antiqua"/>
        </w:rPr>
        <w:t>CONCLUSIÓN</w:t>
      </w:r>
    </w:p>
    <w:p w14:paraId="1897BF91" w14:textId="05AAB394" w:rsidR="007B3187" w:rsidRDefault="007B3187" w:rsidP="007B3187">
      <w:pPr>
        <w:spacing w:after="0" w:line="240" w:lineRule="auto"/>
        <w:jc w:val="both"/>
        <w:rPr>
          <w:rFonts w:ascii="Book Antiqua" w:hAnsi="Book Antiqua"/>
          <w:sz w:val="24"/>
          <w:szCs w:val="24"/>
        </w:rPr>
      </w:pPr>
      <w:r w:rsidRPr="0023263A">
        <w:rPr>
          <w:rFonts w:ascii="Book Antiqua" w:hAnsi="Book Antiqua"/>
          <w:sz w:val="24"/>
          <w:szCs w:val="24"/>
        </w:rPr>
        <w:t xml:space="preserve">La Comisión del Trabajo y Asuntos Laborales </w:t>
      </w:r>
      <w:r w:rsidR="009A42DC">
        <w:rPr>
          <w:rFonts w:ascii="Book Antiqua" w:hAnsi="Book Antiqua"/>
          <w:sz w:val="24"/>
          <w:szCs w:val="24"/>
        </w:rPr>
        <w:t>c</w:t>
      </w:r>
      <w:r w:rsidRPr="0023263A">
        <w:rPr>
          <w:rFonts w:ascii="Book Antiqua" w:hAnsi="Book Antiqua"/>
          <w:sz w:val="24"/>
          <w:szCs w:val="24"/>
        </w:rPr>
        <w:t xml:space="preserve">oncluye que la medida constituye una respuesta legislativa </w:t>
      </w:r>
      <w:r w:rsidR="0026315B">
        <w:rPr>
          <w:rFonts w:ascii="Book Antiqua" w:hAnsi="Book Antiqua"/>
          <w:sz w:val="24"/>
          <w:szCs w:val="24"/>
        </w:rPr>
        <w:t>necesaria para consolidar bajo una sola ley todo el marco jurídico</w:t>
      </w:r>
      <w:r w:rsidR="00AE34C7">
        <w:rPr>
          <w:rFonts w:ascii="Book Antiqua" w:hAnsi="Book Antiqua"/>
          <w:sz w:val="24"/>
          <w:szCs w:val="24"/>
        </w:rPr>
        <w:t xml:space="preserve"> y protecciones a favor de las madres lactantes en Puerto Rico</w:t>
      </w:r>
      <w:r w:rsidRPr="0023263A">
        <w:rPr>
          <w:rFonts w:ascii="Book Antiqua" w:hAnsi="Book Antiqua"/>
          <w:sz w:val="24"/>
          <w:szCs w:val="24"/>
        </w:rPr>
        <w:t>. El P. de</w:t>
      </w:r>
      <w:r w:rsidR="00AE34C7">
        <w:rPr>
          <w:rFonts w:ascii="Book Antiqua" w:hAnsi="Book Antiqua"/>
          <w:sz w:val="24"/>
          <w:szCs w:val="24"/>
        </w:rPr>
        <w:t xml:space="preserve"> </w:t>
      </w:r>
      <w:r w:rsidRPr="0023263A">
        <w:rPr>
          <w:rFonts w:ascii="Book Antiqua" w:hAnsi="Book Antiqua"/>
          <w:sz w:val="24"/>
          <w:szCs w:val="24"/>
        </w:rPr>
        <w:t>l</w:t>
      </w:r>
      <w:r w:rsidR="00AE34C7">
        <w:rPr>
          <w:rFonts w:ascii="Book Antiqua" w:hAnsi="Book Antiqua"/>
          <w:sz w:val="24"/>
          <w:szCs w:val="24"/>
        </w:rPr>
        <w:t>a C</w:t>
      </w:r>
      <w:r w:rsidRPr="0023263A">
        <w:rPr>
          <w:rFonts w:ascii="Book Antiqua" w:hAnsi="Book Antiqua"/>
          <w:sz w:val="24"/>
          <w:szCs w:val="24"/>
        </w:rPr>
        <w:t xml:space="preserve">. </w:t>
      </w:r>
      <w:r w:rsidR="00751279">
        <w:rPr>
          <w:rFonts w:ascii="Book Antiqua" w:hAnsi="Book Antiqua"/>
          <w:sz w:val="24"/>
          <w:szCs w:val="24"/>
        </w:rPr>
        <w:t>483</w:t>
      </w:r>
      <w:r w:rsidRPr="0023263A">
        <w:rPr>
          <w:rFonts w:ascii="Book Antiqua" w:hAnsi="Book Antiqua"/>
          <w:sz w:val="24"/>
          <w:szCs w:val="24"/>
        </w:rPr>
        <w:t xml:space="preserve"> ofrece un marco legal </w:t>
      </w:r>
      <w:r w:rsidR="00AE34C7">
        <w:rPr>
          <w:rFonts w:ascii="Book Antiqua" w:hAnsi="Book Antiqua"/>
          <w:sz w:val="24"/>
          <w:szCs w:val="24"/>
        </w:rPr>
        <w:t xml:space="preserve">sencillo, que </w:t>
      </w:r>
      <w:r w:rsidR="000B0775">
        <w:rPr>
          <w:rFonts w:ascii="Book Antiqua" w:hAnsi="Book Antiqua"/>
          <w:sz w:val="24"/>
          <w:szCs w:val="24"/>
        </w:rPr>
        <w:t>reúne en un solo código toda la normativa vigente relacionada a la lactancia y extracci</w:t>
      </w:r>
      <w:r w:rsidR="00557834">
        <w:rPr>
          <w:rFonts w:ascii="Book Antiqua" w:hAnsi="Book Antiqua"/>
          <w:sz w:val="24"/>
          <w:szCs w:val="24"/>
        </w:rPr>
        <w:t>ón de leche materna</w:t>
      </w:r>
      <w:r w:rsidRPr="0023263A">
        <w:rPr>
          <w:rFonts w:ascii="Book Antiqua" w:hAnsi="Book Antiqua"/>
          <w:sz w:val="24"/>
          <w:szCs w:val="24"/>
        </w:rPr>
        <w:t xml:space="preserve">. </w:t>
      </w:r>
    </w:p>
    <w:p w14:paraId="1686DBA8" w14:textId="77777777" w:rsidR="007B3187" w:rsidRPr="0023263A" w:rsidRDefault="007B3187" w:rsidP="007B3187">
      <w:pPr>
        <w:spacing w:after="0" w:line="240" w:lineRule="auto"/>
        <w:jc w:val="both"/>
        <w:rPr>
          <w:rFonts w:ascii="Book Antiqua" w:hAnsi="Book Antiqua"/>
          <w:sz w:val="24"/>
          <w:szCs w:val="24"/>
        </w:rPr>
      </w:pPr>
    </w:p>
    <w:p w14:paraId="6D2DD5F9" w14:textId="310CFFE8" w:rsidR="00BF449E" w:rsidRDefault="0023263A" w:rsidP="009B0280">
      <w:pPr>
        <w:spacing w:after="0" w:line="240" w:lineRule="auto"/>
        <w:jc w:val="both"/>
        <w:rPr>
          <w:rFonts w:ascii="Book Antiqua" w:hAnsi="Book Antiqua"/>
          <w:sz w:val="24"/>
          <w:szCs w:val="24"/>
        </w:rPr>
      </w:pPr>
      <w:r w:rsidRPr="0023263A">
        <w:rPr>
          <w:rFonts w:ascii="Book Antiqua" w:hAnsi="Book Antiqua"/>
          <w:sz w:val="24"/>
          <w:szCs w:val="24"/>
        </w:rPr>
        <w:t>La aprobación</w:t>
      </w:r>
      <w:r w:rsidR="007B3187" w:rsidRPr="0023263A">
        <w:rPr>
          <w:rFonts w:ascii="Book Antiqua" w:hAnsi="Book Antiqua"/>
          <w:sz w:val="24"/>
          <w:szCs w:val="24"/>
        </w:rPr>
        <w:t xml:space="preserve"> </w:t>
      </w:r>
      <w:r w:rsidRPr="0023263A">
        <w:rPr>
          <w:rFonts w:ascii="Book Antiqua" w:hAnsi="Book Antiqua"/>
          <w:sz w:val="24"/>
          <w:szCs w:val="24"/>
        </w:rPr>
        <w:t>d</w:t>
      </w:r>
      <w:r w:rsidR="007B3187" w:rsidRPr="0023263A">
        <w:rPr>
          <w:rFonts w:ascii="Book Antiqua" w:hAnsi="Book Antiqua"/>
          <w:sz w:val="24"/>
          <w:szCs w:val="24"/>
        </w:rPr>
        <w:t>el Proyecto de</w:t>
      </w:r>
      <w:r w:rsidR="00BB0018">
        <w:rPr>
          <w:rFonts w:ascii="Book Antiqua" w:hAnsi="Book Antiqua"/>
          <w:sz w:val="24"/>
          <w:szCs w:val="24"/>
        </w:rPr>
        <w:t xml:space="preserve"> </w:t>
      </w:r>
      <w:r w:rsidR="007B3187" w:rsidRPr="0023263A">
        <w:rPr>
          <w:rFonts w:ascii="Book Antiqua" w:hAnsi="Book Antiqua"/>
          <w:sz w:val="24"/>
          <w:szCs w:val="24"/>
        </w:rPr>
        <w:t>l</w:t>
      </w:r>
      <w:r w:rsidR="00BB0018">
        <w:rPr>
          <w:rFonts w:ascii="Book Antiqua" w:hAnsi="Book Antiqua"/>
          <w:sz w:val="24"/>
          <w:szCs w:val="24"/>
        </w:rPr>
        <w:t>a</w:t>
      </w:r>
      <w:r w:rsidR="007B3187" w:rsidRPr="0023263A">
        <w:rPr>
          <w:rFonts w:ascii="Book Antiqua" w:hAnsi="Book Antiqua"/>
          <w:sz w:val="24"/>
          <w:szCs w:val="24"/>
        </w:rPr>
        <w:t xml:space="preserve"> </w:t>
      </w:r>
      <w:r w:rsidR="00BB0018">
        <w:rPr>
          <w:rFonts w:ascii="Book Antiqua" w:hAnsi="Book Antiqua"/>
          <w:sz w:val="24"/>
          <w:szCs w:val="24"/>
        </w:rPr>
        <w:t xml:space="preserve">Cámara </w:t>
      </w:r>
      <w:r w:rsidR="00751279">
        <w:rPr>
          <w:rFonts w:ascii="Book Antiqua" w:hAnsi="Book Antiqua"/>
          <w:sz w:val="24"/>
          <w:szCs w:val="24"/>
        </w:rPr>
        <w:t>483</w:t>
      </w:r>
      <w:r w:rsidR="007B3187" w:rsidRPr="0023263A">
        <w:rPr>
          <w:rFonts w:ascii="Book Antiqua" w:hAnsi="Book Antiqua"/>
          <w:sz w:val="24"/>
          <w:szCs w:val="24"/>
        </w:rPr>
        <w:t xml:space="preserve"> </w:t>
      </w:r>
      <w:r w:rsidR="00601F6D">
        <w:rPr>
          <w:rFonts w:ascii="Book Antiqua" w:hAnsi="Book Antiqua"/>
          <w:sz w:val="24"/>
          <w:szCs w:val="24"/>
        </w:rPr>
        <w:t>beneficia la ciudadanía en general, en la medida que incorpora normativa</w:t>
      </w:r>
      <w:r w:rsidR="009C468C">
        <w:rPr>
          <w:rFonts w:ascii="Book Antiqua" w:hAnsi="Book Antiqua"/>
          <w:sz w:val="24"/>
          <w:szCs w:val="24"/>
        </w:rPr>
        <w:t xml:space="preserve"> y jurisprudencia aplicable</w:t>
      </w:r>
      <w:r w:rsidR="00601F6D">
        <w:rPr>
          <w:rFonts w:ascii="Book Antiqua" w:hAnsi="Book Antiqua"/>
          <w:sz w:val="24"/>
          <w:szCs w:val="24"/>
        </w:rPr>
        <w:t xml:space="preserve"> sobre lactancia y extracción de leche</w:t>
      </w:r>
      <w:r w:rsidR="00E95AB4">
        <w:rPr>
          <w:rFonts w:ascii="Book Antiqua" w:hAnsi="Book Antiqua"/>
          <w:sz w:val="24"/>
          <w:szCs w:val="24"/>
        </w:rPr>
        <w:t xml:space="preserve"> materna</w:t>
      </w:r>
      <w:r w:rsidR="009B0280">
        <w:rPr>
          <w:rFonts w:ascii="Book Antiqua" w:hAnsi="Book Antiqua"/>
          <w:sz w:val="24"/>
          <w:szCs w:val="24"/>
        </w:rPr>
        <w:t xml:space="preserve"> e incluye protecciones a las que tiene derecho una madre lactante en nuestra Isla</w:t>
      </w:r>
      <w:r w:rsidR="007B3187" w:rsidRPr="0023263A">
        <w:rPr>
          <w:rFonts w:ascii="Book Antiqua" w:hAnsi="Book Antiqua"/>
          <w:sz w:val="24"/>
          <w:szCs w:val="24"/>
        </w:rPr>
        <w:t>.</w:t>
      </w:r>
      <w:bookmarkEnd w:id="0"/>
    </w:p>
    <w:p w14:paraId="37B16093" w14:textId="77777777" w:rsidR="00B25AEF" w:rsidRPr="009B0280" w:rsidRDefault="00B25AEF" w:rsidP="009B0280">
      <w:pPr>
        <w:spacing w:after="0" w:line="240" w:lineRule="auto"/>
        <w:jc w:val="both"/>
        <w:rPr>
          <w:rFonts w:ascii="Book Antiqua" w:hAnsi="Book Antiqua"/>
          <w:sz w:val="24"/>
          <w:szCs w:val="24"/>
        </w:rPr>
      </w:pPr>
    </w:p>
    <w:p w14:paraId="259CA63F" w14:textId="2070CCA0" w:rsidR="009A25C7" w:rsidRPr="00E95AB4" w:rsidRDefault="009A25C7" w:rsidP="00E95AB4">
      <w:pPr>
        <w:jc w:val="both"/>
        <w:rPr>
          <w:rFonts w:ascii="Book Antiqua" w:hAnsi="Book Antiqua"/>
          <w:bCs/>
          <w:sz w:val="24"/>
          <w:szCs w:val="24"/>
          <w:lang w:val="es-ES_tradnl"/>
        </w:rPr>
      </w:pPr>
      <w:r w:rsidRPr="0023263A">
        <w:rPr>
          <w:rFonts w:ascii="Book Antiqua" w:hAnsi="Book Antiqua"/>
          <w:bCs/>
          <w:iCs/>
          <w:sz w:val="24"/>
          <w:szCs w:val="24"/>
          <w:lang w:val="es-ES_tradnl" w:eastAsia="x-none"/>
        </w:rPr>
        <w:t>Por todo lo antes expuesto</w:t>
      </w:r>
      <w:r w:rsidRPr="0023263A">
        <w:rPr>
          <w:rFonts w:ascii="Book Antiqua" w:eastAsia="Times New Roman" w:hAnsi="Book Antiqua" w:cs="Times New Roman"/>
          <w:sz w:val="24"/>
          <w:szCs w:val="24"/>
        </w:rPr>
        <w:t xml:space="preserve">, la </w:t>
      </w:r>
      <w:r w:rsidRPr="0023263A">
        <w:rPr>
          <w:rFonts w:ascii="Book Antiqua" w:eastAsia="Times New Roman" w:hAnsi="Book Antiqua" w:cs="Times New Roman"/>
          <w:sz w:val="24"/>
          <w:szCs w:val="24"/>
          <w:lang w:val="es-ES_tradnl"/>
        </w:rPr>
        <w:t xml:space="preserve">Comisión </w:t>
      </w:r>
      <w:r w:rsidRPr="0023263A">
        <w:rPr>
          <w:rFonts w:ascii="Book Antiqua" w:eastAsia="Times New Roman" w:hAnsi="Book Antiqua" w:cs="Times New Roman"/>
          <w:sz w:val="24"/>
          <w:szCs w:val="24"/>
        </w:rPr>
        <w:t xml:space="preserve">del Trabajo y Asuntos Laborales de la Cámara de Representantes de </w:t>
      </w:r>
      <w:r w:rsidRPr="0023263A">
        <w:rPr>
          <w:rFonts w:ascii="Book Antiqua" w:eastAsia="Times New Roman" w:hAnsi="Book Antiqua" w:cs="Times New Roman"/>
          <w:sz w:val="24"/>
          <w:szCs w:val="24"/>
          <w:lang w:val="es-ES_tradnl"/>
        </w:rPr>
        <w:t>Puerto Rico</w:t>
      </w:r>
      <w:r w:rsidRPr="0023263A">
        <w:rPr>
          <w:rFonts w:ascii="Book Antiqua" w:eastAsia="Times New Roman" w:hAnsi="Book Antiqua" w:cs="Times New Roman"/>
          <w:sz w:val="24"/>
          <w:szCs w:val="24"/>
        </w:rPr>
        <w:t>, luego del estudio y consideración correspondiente, tiene a bien someter a este Alto Cuerpo</w:t>
      </w:r>
      <w:r w:rsidR="002531D9" w:rsidRPr="0023263A">
        <w:rPr>
          <w:rFonts w:ascii="Book Antiqua" w:eastAsia="Times New Roman" w:hAnsi="Book Antiqua" w:cs="Times New Roman"/>
          <w:sz w:val="24"/>
          <w:szCs w:val="24"/>
        </w:rPr>
        <w:t xml:space="preserve"> </w:t>
      </w:r>
      <w:r w:rsidR="00DE694D" w:rsidRPr="0023263A">
        <w:rPr>
          <w:rFonts w:ascii="Book Antiqua" w:eastAsia="Times New Roman" w:hAnsi="Book Antiqua" w:cs="Times New Roman"/>
          <w:sz w:val="24"/>
          <w:szCs w:val="24"/>
        </w:rPr>
        <w:t>el informe positivo</w:t>
      </w:r>
      <w:r w:rsidRPr="0023263A">
        <w:rPr>
          <w:rFonts w:ascii="Book Antiqua" w:eastAsia="Times New Roman" w:hAnsi="Book Antiqua" w:cs="Times New Roman"/>
          <w:sz w:val="24"/>
          <w:szCs w:val="24"/>
        </w:rPr>
        <w:t xml:space="preserve">, </w:t>
      </w:r>
      <w:r w:rsidRPr="0023263A">
        <w:rPr>
          <w:rFonts w:ascii="Book Antiqua" w:eastAsia="Times New Roman" w:hAnsi="Book Antiqua" w:cs="Times New Roman"/>
          <w:b/>
          <w:sz w:val="24"/>
          <w:szCs w:val="24"/>
        </w:rPr>
        <w:t>recomendando la aprobación</w:t>
      </w:r>
      <w:r w:rsidR="003547E9" w:rsidRPr="0023263A">
        <w:rPr>
          <w:rFonts w:ascii="Book Antiqua" w:eastAsia="Times New Roman" w:hAnsi="Book Antiqua" w:cs="Times New Roman"/>
          <w:b/>
          <w:sz w:val="24"/>
          <w:szCs w:val="24"/>
        </w:rPr>
        <w:t xml:space="preserve"> </w:t>
      </w:r>
      <w:r w:rsidR="00BB5C03" w:rsidRPr="0023263A">
        <w:rPr>
          <w:rFonts w:ascii="Book Antiqua" w:eastAsia="Times New Roman" w:hAnsi="Book Antiqua" w:cs="Times New Roman"/>
          <w:b/>
          <w:sz w:val="24"/>
          <w:szCs w:val="24"/>
        </w:rPr>
        <w:t>del P. de</w:t>
      </w:r>
      <w:r w:rsidR="00B25AEF">
        <w:rPr>
          <w:rFonts w:ascii="Book Antiqua" w:eastAsia="Times New Roman" w:hAnsi="Book Antiqua" w:cs="Times New Roman"/>
          <w:b/>
          <w:sz w:val="24"/>
          <w:szCs w:val="24"/>
        </w:rPr>
        <w:t xml:space="preserve"> </w:t>
      </w:r>
      <w:r w:rsidR="0023263A" w:rsidRPr="0023263A">
        <w:rPr>
          <w:rFonts w:ascii="Book Antiqua" w:eastAsia="Times New Roman" w:hAnsi="Book Antiqua" w:cs="Times New Roman"/>
          <w:b/>
          <w:sz w:val="24"/>
          <w:szCs w:val="24"/>
        </w:rPr>
        <w:t>l</w:t>
      </w:r>
      <w:r w:rsidR="00B25AEF">
        <w:rPr>
          <w:rFonts w:ascii="Book Antiqua" w:eastAsia="Times New Roman" w:hAnsi="Book Antiqua" w:cs="Times New Roman"/>
          <w:b/>
          <w:sz w:val="24"/>
          <w:szCs w:val="24"/>
        </w:rPr>
        <w:t>a</w:t>
      </w:r>
      <w:r w:rsidR="0023263A" w:rsidRPr="0023263A">
        <w:rPr>
          <w:rFonts w:ascii="Book Antiqua" w:eastAsia="Times New Roman" w:hAnsi="Book Antiqua" w:cs="Times New Roman"/>
          <w:b/>
          <w:sz w:val="24"/>
          <w:szCs w:val="24"/>
        </w:rPr>
        <w:t xml:space="preserve"> </w:t>
      </w:r>
      <w:r w:rsidR="00B25AEF">
        <w:rPr>
          <w:rFonts w:ascii="Book Antiqua" w:eastAsia="Times New Roman" w:hAnsi="Book Antiqua" w:cs="Times New Roman"/>
          <w:b/>
          <w:sz w:val="24"/>
          <w:szCs w:val="24"/>
        </w:rPr>
        <w:t>C</w:t>
      </w:r>
      <w:r w:rsidR="0023263A" w:rsidRPr="0023263A">
        <w:rPr>
          <w:rFonts w:ascii="Book Antiqua" w:eastAsia="Times New Roman" w:hAnsi="Book Antiqua" w:cs="Times New Roman"/>
          <w:b/>
          <w:sz w:val="24"/>
          <w:szCs w:val="24"/>
        </w:rPr>
        <w:t>.</w:t>
      </w:r>
      <w:r w:rsidR="00BB5C03" w:rsidRPr="0023263A">
        <w:rPr>
          <w:rFonts w:ascii="Book Antiqua" w:eastAsia="Times New Roman" w:hAnsi="Book Antiqua" w:cs="Times New Roman"/>
          <w:b/>
          <w:sz w:val="24"/>
          <w:szCs w:val="24"/>
        </w:rPr>
        <w:t xml:space="preserve"> </w:t>
      </w:r>
      <w:r w:rsidR="00751279">
        <w:rPr>
          <w:rFonts w:ascii="Book Antiqua" w:eastAsia="Times New Roman" w:hAnsi="Book Antiqua" w:cs="Times New Roman"/>
          <w:b/>
          <w:sz w:val="24"/>
          <w:szCs w:val="24"/>
        </w:rPr>
        <w:t>483</w:t>
      </w:r>
      <w:r w:rsidR="00BB5C03" w:rsidRPr="0023263A">
        <w:rPr>
          <w:rFonts w:ascii="Book Antiqua" w:eastAsia="Times New Roman" w:hAnsi="Book Antiqua" w:cs="Times New Roman"/>
          <w:b/>
          <w:sz w:val="24"/>
          <w:szCs w:val="24"/>
        </w:rPr>
        <w:t xml:space="preserve">, </w:t>
      </w:r>
      <w:r w:rsidR="00B25AEF">
        <w:rPr>
          <w:rFonts w:ascii="Book Antiqua" w:eastAsia="Times New Roman" w:hAnsi="Book Antiqua" w:cs="Times New Roman"/>
          <w:bCs/>
          <w:sz w:val="24"/>
          <w:szCs w:val="24"/>
        </w:rPr>
        <w:t>con las</w:t>
      </w:r>
      <w:r w:rsidR="0023263A" w:rsidRPr="0023263A">
        <w:rPr>
          <w:rFonts w:ascii="Book Antiqua" w:eastAsia="Times New Roman" w:hAnsi="Book Antiqua" w:cs="Times New Roman"/>
          <w:bCs/>
          <w:sz w:val="24"/>
          <w:szCs w:val="24"/>
        </w:rPr>
        <w:t xml:space="preserve"> enmiendas</w:t>
      </w:r>
      <w:r w:rsidR="00B25AEF">
        <w:rPr>
          <w:rFonts w:ascii="Book Antiqua" w:eastAsia="Times New Roman" w:hAnsi="Book Antiqua" w:cs="Times New Roman"/>
          <w:bCs/>
          <w:sz w:val="24"/>
          <w:szCs w:val="24"/>
        </w:rPr>
        <w:t xml:space="preserve"> incluidas en el </w:t>
      </w:r>
      <w:proofErr w:type="spellStart"/>
      <w:r w:rsidR="00B25AEF">
        <w:rPr>
          <w:rFonts w:ascii="Book Antiqua" w:eastAsia="Times New Roman" w:hAnsi="Book Antiqua" w:cs="Times New Roman"/>
          <w:bCs/>
          <w:sz w:val="24"/>
          <w:szCs w:val="24"/>
        </w:rPr>
        <w:t>entirillado</w:t>
      </w:r>
      <w:proofErr w:type="spellEnd"/>
      <w:r w:rsidR="00B25AEF">
        <w:rPr>
          <w:rFonts w:ascii="Book Antiqua" w:eastAsia="Times New Roman" w:hAnsi="Book Antiqua" w:cs="Times New Roman"/>
          <w:bCs/>
          <w:sz w:val="24"/>
          <w:szCs w:val="24"/>
        </w:rPr>
        <w:t xml:space="preserve"> electrónico que acompaña este informe</w:t>
      </w:r>
      <w:r w:rsidR="0023263A" w:rsidRPr="0023263A">
        <w:rPr>
          <w:rFonts w:ascii="Book Antiqua" w:eastAsia="Times New Roman" w:hAnsi="Book Antiqua" w:cs="Times New Roman"/>
          <w:bCs/>
          <w:sz w:val="24"/>
          <w:szCs w:val="24"/>
        </w:rPr>
        <w:t>.</w:t>
      </w:r>
    </w:p>
    <w:p w14:paraId="05A2988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HON. VIMARIE PEÑA DÁVILA</w:t>
      </w:r>
    </w:p>
    <w:p w14:paraId="433BF3C4"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Presidenta</w:t>
      </w:r>
    </w:p>
    <w:p w14:paraId="6E037A0C" w14:textId="77777777"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del Trabajo y Asuntos Laborales</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C461" w14:textId="77777777" w:rsidR="00E51B2C" w:rsidRDefault="00E51B2C">
      <w:pPr>
        <w:spacing w:after="0" w:line="240" w:lineRule="auto"/>
      </w:pPr>
      <w:r>
        <w:separator/>
      </w:r>
    </w:p>
  </w:endnote>
  <w:endnote w:type="continuationSeparator" w:id="0">
    <w:p w14:paraId="20510C45" w14:textId="77777777" w:rsidR="00E51B2C" w:rsidRDefault="00E51B2C">
      <w:pPr>
        <w:spacing w:after="0" w:line="240" w:lineRule="auto"/>
      </w:pPr>
      <w:r>
        <w:continuationSeparator/>
      </w:r>
    </w:p>
  </w:endnote>
  <w:endnote w:type="continuationNotice" w:id="1">
    <w:p w14:paraId="0C547C4D" w14:textId="77777777" w:rsidR="00E51B2C" w:rsidRDefault="00E51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81AB" w14:textId="77777777" w:rsidR="00E51B2C" w:rsidRDefault="00E51B2C">
      <w:pPr>
        <w:spacing w:after="0" w:line="240" w:lineRule="auto"/>
      </w:pPr>
      <w:r>
        <w:separator/>
      </w:r>
    </w:p>
  </w:footnote>
  <w:footnote w:type="continuationSeparator" w:id="0">
    <w:p w14:paraId="0C858D93" w14:textId="77777777" w:rsidR="00E51B2C" w:rsidRDefault="00E51B2C">
      <w:pPr>
        <w:spacing w:after="0" w:line="240" w:lineRule="auto"/>
      </w:pPr>
      <w:r>
        <w:continuationSeparator/>
      </w:r>
    </w:p>
  </w:footnote>
  <w:footnote w:type="continuationNotice" w:id="1">
    <w:p w14:paraId="42C6A918" w14:textId="77777777" w:rsidR="00E51B2C" w:rsidRDefault="00E51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01EC5CAA"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w:t>
    </w:r>
    <w:r w:rsidR="00721BDE">
      <w:rPr>
        <w:rFonts w:ascii="Book Antiqua" w:hAnsi="Book Antiqua"/>
        <w:b/>
        <w:i/>
        <w:color w:val="7F7F7F" w:themeColor="text1" w:themeTint="80"/>
        <w:spacing w:val="60"/>
        <w:lang w:val="es-PR"/>
      </w:rPr>
      <w:t>o</w:t>
    </w:r>
    <w:r w:rsidR="0015377F">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7B3187">
      <w:rPr>
        <w:rFonts w:ascii="Book Antiqua" w:hAnsi="Book Antiqua"/>
        <w:b/>
        <w:i/>
        <w:color w:val="7F7F7F" w:themeColor="text1" w:themeTint="80"/>
        <w:spacing w:val="60"/>
        <w:lang w:val="es-PR"/>
      </w:rPr>
      <w:t>e</w:t>
    </w:r>
    <w:r w:rsidR="00721BDE">
      <w:rPr>
        <w:rFonts w:ascii="Book Antiqua" w:hAnsi="Book Antiqua"/>
        <w:b/>
        <w:i/>
        <w:color w:val="7F7F7F" w:themeColor="text1" w:themeTint="80"/>
        <w:spacing w:val="60"/>
        <w:lang w:val="es-PR"/>
      </w:rPr>
      <w:t xml:space="preserve"> </w:t>
    </w:r>
    <w:r w:rsidR="007B3187">
      <w:rPr>
        <w:rFonts w:ascii="Book Antiqua" w:hAnsi="Book Antiqua"/>
        <w:b/>
        <w:i/>
        <w:color w:val="7F7F7F" w:themeColor="text1" w:themeTint="80"/>
        <w:spacing w:val="60"/>
        <w:lang w:val="es-PR"/>
      </w:rPr>
      <w:t>l</w:t>
    </w:r>
    <w:r w:rsidR="00721BDE">
      <w:rPr>
        <w:rFonts w:ascii="Book Antiqua" w:hAnsi="Book Antiqua"/>
        <w:b/>
        <w:i/>
        <w:color w:val="7F7F7F" w:themeColor="text1" w:themeTint="80"/>
        <w:spacing w:val="60"/>
        <w:lang w:val="es-PR"/>
      </w:rPr>
      <w:t>a</w:t>
    </w:r>
    <w:r w:rsidR="007B3187">
      <w:rPr>
        <w:rFonts w:ascii="Book Antiqua" w:hAnsi="Book Antiqua"/>
        <w:b/>
        <w:i/>
        <w:color w:val="7F7F7F" w:themeColor="text1" w:themeTint="80"/>
        <w:spacing w:val="60"/>
        <w:lang w:val="es-PR"/>
      </w:rPr>
      <w:t xml:space="preserve"> </w:t>
    </w:r>
    <w:r w:rsidR="00721BDE">
      <w:rPr>
        <w:rFonts w:ascii="Book Antiqua" w:hAnsi="Book Antiqua"/>
        <w:b/>
        <w:i/>
        <w:color w:val="7F7F7F" w:themeColor="text1" w:themeTint="80"/>
        <w:spacing w:val="60"/>
        <w:lang w:val="es-PR"/>
      </w:rPr>
      <w:t>C</w:t>
    </w:r>
    <w:r w:rsidR="007B3187">
      <w:rPr>
        <w:rFonts w:ascii="Book Antiqua" w:hAnsi="Book Antiqua"/>
        <w:b/>
        <w:i/>
        <w:color w:val="7F7F7F" w:themeColor="text1" w:themeTint="80"/>
        <w:spacing w:val="60"/>
        <w:lang w:val="es-PR"/>
      </w:rPr>
      <w:t xml:space="preserve">. </w:t>
    </w:r>
    <w:r w:rsidR="00A22FDC">
      <w:rPr>
        <w:rFonts w:ascii="Book Antiqua" w:hAnsi="Book Antiqua"/>
        <w:b/>
        <w:i/>
        <w:color w:val="7F7F7F" w:themeColor="text1" w:themeTint="80"/>
        <w:spacing w:val="60"/>
        <w:lang w:val="es-PR"/>
      </w:rPr>
      <w:t>483</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3"/>
  </w:num>
  <w:num w:numId="2" w16cid:durableId="61176380">
    <w:abstractNumId w:val="1"/>
  </w:num>
  <w:num w:numId="3" w16cid:durableId="1059595349">
    <w:abstractNumId w:val="0"/>
  </w:num>
  <w:num w:numId="4" w16cid:durableId="2061787766">
    <w:abstractNumId w:val="7"/>
  </w:num>
  <w:num w:numId="5" w16cid:durableId="1979995804">
    <w:abstractNumId w:val="2"/>
  </w:num>
  <w:num w:numId="6" w16cid:durableId="248587837">
    <w:abstractNumId w:val="4"/>
  </w:num>
  <w:num w:numId="7" w16cid:durableId="1013386577">
    <w:abstractNumId w:val="5"/>
  </w:num>
  <w:num w:numId="8" w16cid:durableId="192153168">
    <w:abstractNumId w:val="8"/>
  </w:num>
  <w:num w:numId="9" w16cid:durableId="13348431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5F9B"/>
    <w:rsid w:val="000304B5"/>
    <w:rsid w:val="00032057"/>
    <w:rsid w:val="00033FC1"/>
    <w:rsid w:val="00040B2F"/>
    <w:rsid w:val="000422D9"/>
    <w:rsid w:val="000471C1"/>
    <w:rsid w:val="00047A01"/>
    <w:rsid w:val="00050EA2"/>
    <w:rsid w:val="00061727"/>
    <w:rsid w:val="00064B89"/>
    <w:rsid w:val="00065F8A"/>
    <w:rsid w:val="00070369"/>
    <w:rsid w:val="00075375"/>
    <w:rsid w:val="00075E8A"/>
    <w:rsid w:val="00077928"/>
    <w:rsid w:val="00080CE3"/>
    <w:rsid w:val="00082E27"/>
    <w:rsid w:val="00087891"/>
    <w:rsid w:val="0009177F"/>
    <w:rsid w:val="0009268B"/>
    <w:rsid w:val="000939F8"/>
    <w:rsid w:val="000A00A2"/>
    <w:rsid w:val="000A1321"/>
    <w:rsid w:val="000A7D79"/>
    <w:rsid w:val="000B0775"/>
    <w:rsid w:val="000B67BF"/>
    <w:rsid w:val="000C3683"/>
    <w:rsid w:val="000C3C0B"/>
    <w:rsid w:val="000C4519"/>
    <w:rsid w:val="000D27C8"/>
    <w:rsid w:val="000D2AC7"/>
    <w:rsid w:val="000E5BA2"/>
    <w:rsid w:val="000E5FD5"/>
    <w:rsid w:val="000F1DB9"/>
    <w:rsid w:val="00100979"/>
    <w:rsid w:val="00104CFC"/>
    <w:rsid w:val="001053AD"/>
    <w:rsid w:val="0011677E"/>
    <w:rsid w:val="00117E0F"/>
    <w:rsid w:val="00124C65"/>
    <w:rsid w:val="0012509B"/>
    <w:rsid w:val="00125E9E"/>
    <w:rsid w:val="001270C2"/>
    <w:rsid w:val="00146D4D"/>
    <w:rsid w:val="00150327"/>
    <w:rsid w:val="0015377F"/>
    <w:rsid w:val="00164FDF"/>
    <w:rsid w:val="00166898"/>
    <w:rsid w:val="00170214"/>
    <w:rsid w:val="00172D4D"/>
    <w:rsid w:val="0017514B"/>
    <w:rsid w:val="0017673D"/>
    <w:rsid w:val="0018253F"/>
    <w:rsid w:val="00186ECD"/>
    <w:rsid w:val="00193B05"/>
    <w:rsid w:val="00194554"/>
    <w:rsid w:val="001A16E7"/>
    <w:rsid w:val="001A296C"/>
    <w:rsid w:val="001C545F"/>
    <w:rsid w:val="001C7E62"/>
    <w:rsid w:val="001D2F9B"/>
    <w:rsid w:val="001D4D02"/>
    <w:rsid w:val="001E470C"/>
    <w:rsid w:val="001F0CE2"/>
    <w:rsid w:val="00207FDA"/>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9577C"/>
    <w:rsid w:val="00296371"/>
    <w:rsid w:val="0029730D"/>
    <w:rsid w:val="002A78E9"/>
    <w:rsid w:val="002B1945"/>
    <w:rsid w:val="002B417D"/>
    <w:rsid w:val="002B5271"/>
    <w:rsid w:val="002B6F5D"/>
    <w:rsid w:val="002C42AD"/>
    <w:rsid w:val="002C73CA"/>
    <w:rsid w:val="002D12EA"/>
    <w:rsid w:val="002D4046"/>
    <w:rsid w:val="002D6515"/>
    <w:rsid w:val="002D7B2D"/>
    <w:rsid w:val="002E1CA2"/>
    <w:rsid w:val="002F3F0B"/>
    <w:rsid w:val="00303634"/>
    <w:rsid w:val="00311262"/>
    <w:rsid w:val="00314244"/>
    <w:rsid w:val="0032169C"/>
    <w:rsid w:val="003258E9"/>
    <w:rsid w:val="00334DC6"/>
    <w:rsid w:val="0033626E"/>
    <w:rsid w:val="00345B19"/>
    <w:rsid w:val="0035079E"/>
    <w:rsid w:val="003537E8"/>
    <w:rsid w:val="003547E9"/>
    <w:rsid w:val="003579CA"/>
    <w:rsid w:val="00360DE1"/>
    <w:rsid w:val="003657E1"/>
    <w:rsid w:val="00372B11"/>
    <w:rsid w:val="00373DAB"/>
    <w:rsid w:val="0037424B"/>
    <w:rsid w:val="00381646"/>
    <w:rsid w:val="00382143"/>
    <w:rsid w:val="00383202"/>
    <w:rsid w:val="00383B9C"/>
    <w:rsid w:val="0039094F"/>
    <w:rsid w:val="00394B8D"/>
    <w:rsid w:val="00396185"/>
    <w:rsid w:val="003A2B3D"/>
    <w:rsid w:val="003A38EE"/>
    <w:rsid w:val="003A47C3"/>
    <w:rsid w:val="003A72A1"/>
    <w:rsid w:val="003A79C9"/>
    <w:rsid w:val="003B1FF2"/>
    <w:rsid w:val="003B2B79"/>
    <w:rsid w:val="003B7F97"/>
    <w:rsid w:val="003C0A97"/>
    <w:rsid w:val="003C1B1D"/>
    <w:rsid w:val="003C2E71"/>
    <w:rsid w:val="003C5548"/>
    <w:rsid w:val="003C7251"/>
    <w:rsid w:val="003C7E72"/>
    <w:rsid w:val="003E12EB"/>
    <w:rsid w:val="003F2E94"/>
    <w:rsid w:val="003F5D18"/>
    <w:rsid w:val="00406232"/>
    <w:rsid w:val="00406AC1"/>
    <w:rsid w:val="00410ECE"/>
    <w:rsid w:val="004122EE"/>
    <w:rsid w:val="00412348"/>
    <w:rsid w:val="004136A3"/>
    <w:rsid w:val="00416DD1"/>
    <w:rsid w:val="00416F11"/>
    <w:rsid w:val="00417EA5"/>
    <w:rsid w:val="00421D9C"/>
    <w:rsid w:val="00422688"/>
    <w:rsid w:val="0042540A"/>
    <w:rsid w:val="00426402"/>
    <w:rsid w:val="00433B94"/>
    <w:rsid w:val="004351E0"/>
    <w:rsid w:val="00445DB5"/>
    <w:rsid w:val="00447CEA"/>
    <w:rsid w:val="00453020"/>
    <w:rsid w:val="004577FB"/>
    <w:rsid w:val="004620B0"/>
    <w:rsid w:val="004626CA"/>
    <w:rsid w:val="00467A36"/>
    <w:rsid w:val="00470B60"/>
    <w:rsid w:val="00472407"/>
    <w:rsid w:val="00472793"/>
    <w:rsid w:val="00477BA6"/>
    <w:rsid w:val="0048070C"/>
    <w:rsid w:val="00487B4C"/>
    <w:rsid w:val="00491786"/>
    <w:rsid w:val="00491844"/>
    <w:rsid w:val="004A4A0A"/>
    <w:rsid w:val="004A593A"/>
    <w:rsid w:val="004B2EE4"/>
    <w:rsid w:val="004C0940"/>
    <w:rsid w:val="004C1C8B"/>
    <w:rsid w:val="004C4B22"/>
    <w:rsid w:val="004E36CD"/>
    <w:rsid w:val="004E4121"/>
    <w:rsid w:val="004E784A"/>
    <w:rsid w:val="004F4F61"/>
    <w:rsid w:val="005021E4"/>
    <w:rsid w:val="00502B33"/>
    <w:rsid w:val="00503E24"/>
    <w:rsid w:val="0051286B"/>
    <w:rsid w:val="00514543"/>
    <w:rsid w:val="005213F5"/>
    <w:rsid w:val="00530B50"/>
    <w:rsid w:val="005330A2"/>
    <w:rsid w:val="00533BD0"/>
    <w:rsid w:val="00547C7B"/>
    <w:rsid w:val="0055155D"/>
    <w:rsid w:val="005536DA"/>
    <w:rsid w:val="00557834"/>
    <w:rsid w:val="00560A4F"/>
    <w:rsid w:val="00561732"/>
    <w:rsid w:val="00581AA3"/>
    <w:rsid w:val="00584073"/>
    <w:rsid w:val="0059467F"/>
    <w:rsid w:val="005A45DD"/>
    <w:rsid w:val="005B0570"/>
    <w:rsid w:val="005B649D"/>
    <w:rsid w:val="005B7D24"/>
    <w:rsid w:val="005C4ABB"/>
    <w:rsid w:val="005C76B7"/>
    <w:rsid w:val="005E0023"/>
    <w:rsid w:val="005E532D"/>
    <w:rsid w:val="005E667D"/>
    <w:rsid w:val="006005E2"/>
    <w:rsid w:val="00601F6D"/>
    <w:rsid w:val="00602468"/>
    <w:rsid w:val="00612BDA"/>
    <w:rsid w:val="00613838"/>
    <w:rsid w:val="00615A07"/>
    <w:rsid w:val="00616A32"/>
    <w:rsid w:val="00620F0B"/>
    <w:rsid w:val="00622332"/>
    <w:rsid w:val="00623090"/>
    <w:rsid w:val="006271A3"/>
    <w:rsid w:val="0063442C"/>
    <w:rsid w:val="00635DE6"/>
    <w:rsid w:val="00640129"/>
    <w:rsid w:val="00644AD2"/>
    <w:rsid w:val="006471A0"/>
    <w:rsid w:val="00650CE2"/>
    <w:rsid w:val="00651B48"/>
    <w:rsid w:val="00652772"/>
    <w:rsid w:val="00654477"/>
    <w:rsid w:val="006560AF"/>
    <w:rsid w:val="0065616E"/>
    <w:rsid w:val="006574EC"/>
    <w:rsid w:val="00666E22"/>
    <w:rsid w:val="0067067D"/>
    <w:rsid w:val="00672C7E"/>
    <w:rsid w:val="006772BB"/>
    <w:rsid w:val="00677A22"/>
    <w:rsid w:val="00680204"/>
    <w:rsid w:val="00680B44"/>
    <w:rsid w:val="00681327"/>
    <w:rsid w:val="00686ED6"/>
    <w:rsid w:val="00690604"/>
    <w:rsid w:val="00695B6A"/>
    <w:rsid w:val="006B031C"/>
    <w:rsid w:val="006B2162"/>
    <w:rsid w:val="006C0721"/>
    <w:rsid w:val="006C13D4"/>
    <w:rsid w:val="006D03E5"/>
    <w:rsid w:val="006D26CB"/>
    <w:rsid w:val="006D48FC"/>
    <w:rsid w:val="006D4A95"/>
    <w:rsid w:val="006E199B"/>
    <w:rsid w:val="006F0BC0"/>
    <w:rsid w:val="006F58BD"/>
    <w:rsid w:val="00702995"/>
    <w:rsid w:val="00704C2F"/>
    <w:rsid w:val="0071579E"/>
    <w:rsid w:val="00721472"/>
    <w:rsid w:val="00721BDE"/>
    <w:rsid w:val="00731329"/>
    <w:rsid w:val="00751279"/>
    <w:rsid w:val="00755D0F"/>
    <w:rsid w:val="00764BA1"/>
    <w:rsid w:val="00766288"/>
    <w:rsid w:val="007708BB"/>
    <w:rsid w:val="00774716"/>
    <w:rsid w:val="00774AC3"/>
    <w:rsid w:val="00774D75"/>
    <w:rsid w:val="00776A21"/>
    <w:rsid w:val="007777A1"/>
    <w:rsid w:val="007A1C67"/>
    <w:rsid w:val="007A7A0A"/>
    <w:rsid w:val="007B0E5F"/>
    <w:rsid w:val="007B2CFB"/>
    <w:rsid w:val="007B3187"/>
    <w:rsid w:val="007B6081"/>
    <w:rsid w:val="007C0C4F"/>
    <w:rsid w:val="007C4053"/>
    <w:rsid w:val="007D1990"/>
    <w:rsid w:val="007E09FA"/>
    <w:rsid w:val="007F2B70"/>
    <w:rsid w:val="007F4530"/>
    <w:rsid w:val="007F6B77"/>
    <w:rsid w:val="007F6B80"/>
    <w:rsid w:val="00800B5C"/>
    <w:rsid w:val="00804C1C"/>
    <w:rsid w:val="00813DEF"/>
    <w:rsid w:val="00813E35"/>
    <w:rsid w:val="0081745A"/>
    <w:rsid w:val="00823135"/>
    <w:rsid w:val="00825C96"/>
    <w:rsid w:val="00845132"/>
    <w:rsid w:val="0084732F"/>
    <w:rsid w:val="00850D8F"/>
    <w:rsid w:val="008518F6"/>
    <w:rsid w:val="00855FD8"/>
    <w:rsid w:val="00857A6A"/>
    <w:rsid w:val="00857C4D"/>
    <w:rsid w:val="00865118"/>
    <w:rsid w:val="00875E48"/>
    <w:rsid w:val="00876B8E"/>
    <w:rsid w:val="00885A17"/>
    <w:rsid w:val="00891AA2"/>
    <w:rsid w:val="00892ACB"/>
    <w:rsid w:val="00894F91"/>
    <w:rsid w:val="008A3ED8"/>
    <w:rsid w:val="008A7491"/>
    <w:rsid w:val="008B556E"/>
    <w:rsid w:val="008C01FF"/>
    <w:rsid w:val="008C2D0E"/>
    <w:rsid w:val="008C2E3C"/>
    <w:rsid w:val="008C56A2"/>
    <w:rsid w:val="008C6BBE"/>
    <w:rsid w:val="008C79EC"/>
    <w:rsid w:val="008D728C"/>
    <w:rsid w:val="008E22AD"/>
    <w:rsid w:val="008E3937"/>
    <w:rsid w:val="008E5589"/>
    <w:rsid w:val="008F1D17"/>
    <w:rsid w:val="008F42AC"/>
    <w:rsid w:val="008F5D92"/>
    <w:rsid w:val="00903341"/>
    <w:rsid w:val="00906246"/>
    <w:rsid w:val="00906F79"/>
    <w:rsid w:val="0091103A"/>
    <w:rsid w:val="00914F89"/>
    <w:rsid w:val="0091508E"/>
    <w:rsid w:val="0091792A"/>
    <w:rsid w:val="0092099E"/>
    <w:rsid w:val="009259CF"/>
    <w:rsid w:val="009276C5"/>
    <w:rsid w:val="0093150A"/>
    <w:rsid w:val="009340BE"/>
    <w:rsid w:val="0093434C"/>
    <w:rsid w:val="00936C03"/>
    <w:rsid w:val="00956C43"/>
    <w:rsid w:val="00960FEB"/>
    <w:rsid w:val="009636A1"/>
    <w:rsid w:val="00963E72"/>
    <w:rsid w:val="00963F5D"/>
    <w:rsid w:val="00975363"/>
    <w:rsid w:val="009802D0"/>
    <w:rsid w:val="00982654"/>
    <w:rsid w:val="009866E0"/>
    <w:rsid w:val="00991CC5"/>
    <w:rsid w:val="00992D25"/>
    <w:rsid w:val="00993115"/>
    <w:rsid w:val="00996905"/>
    <w:rsid w:val="009A25C7"/>
    <w:rsid w:val="009A42DC"/>
    <w:rsid w:val="009A5F8F"/>
    <w:rsid w:val="009A7177"/>
    <w:rsid w:val="009B0280"/>
    <w:rsid w:val="009B364F"/>
    <w:rsid w:val="009C0504"/>
    <w:rsid w:val="009C1DD7"/>
    <w:rsid w:val="009C467F"/>
    <w:rsid w:val="009C468C"/>
    <w:rsid w:val="009C4A57"/>
    <w:rsid w:val="009D1631"/>
    <w:rsid w:val="009D1E43"/>
    <w:rsid w:val="009D4592"/>
    <w:rsid w:val="009D6158"/>
    <w:rsid w:val="009D6C16"/>
    <w:rsid w:val="009D708D"/>
    <w:rsid w:val="009E4D8F"/>
    <w:rsid w:val="00A00AAC"/>
    <w:rsid w:val="00A02F94"/>
    <w:rsid w:val="00A075CE"/>
    <w:rsid w:val="00A1077A"/>
    <w:rsid w:val="00A22FDC"/>
    <w:rsid w:val="00A246E2"/>
    <w:rsid w:val="00A269E6"/>
    <w:rsid w:val="00A272AE"/>
    <w:rsid w:val="00A30719"/>
    <w:rsid w:val="00A351A4"/>
    <w:rsid w:val="00A35ADF"/>
    <w:rsid w:val="00A411DE"/>
    <w:rsid w:val="00A41DA6"/>
    <w:rsid w:val="00A42EA8"/>
    <w:rsid w:val="00A442AC"/>
    <w:rsid w:val="00A46626"/>
    <w:rsid w:val="00A4749A"/>
    <w:rsid w:val="00A52B84"/>
    <w:rsid w:val="00A62BE8"/>
    <w:rsid w:val="00A67CF5"/>
    <w:rsid w:val="00A71C45"/>
    <w:rsid w:val="00A74FA0"/>
    <w:rsid w:val="00A77B02"/>
    <w:rsid w:val="00A81AC5"/>
    <w:rsid w:val="00A8282B"/>
    <w:rsid w:val="00A85B80"/>
    <w:rsid w:val="00A877B1"/>
    <w:rsid w:val="00A87E22"/>
    <w:rsid w:val="00A902A3"/>
    <w:rsid w:val="00A92B10"/>
    <w:rsid w:val="00AA060B"/>
    <w:rsid w:val="00AB2223"/>
    <w:rsid w:val="00AB2704"/>
    <w:rsid w:val="00AB4E48"/>
    <w:rsid w:val="00AB5613"/>
    <w:rsid w:val="00AC3607"/>
    <w:rsid w:val="00AC5728"/>
    <w:rsid w:val="00AD37CB"/>
    <w:rsid w:val="00AD4371"/>
    <w:rsid w:val="00AD6DF6"/>
    <w:rsid w:val="00AE34C7"/>
    <w:rsid w:val="00AE6E12"/>
    <w:rsid w:val="00AE710F"/>
    <w:rsid w:val="00AE716B"/>
    <w:rsid w:val="00AE78A6"/>
    <w:rsid w:val="00AF4E9C"/>
    <w:rsid w:val="00AF5CBC"/>
    <w:rsid w:val="00B03008"/>
    <w:rsid w:val="00B03370"/>
    <w:rsid w:val="00B035FD"/>
    <w:rsid w:val="00B130F1"/>
    <w:rsid w:val="00B17A2F"/>
    <w:rsid w:val="00B2137E"/>
    <w:rsid w:val="00B2328A"/>
    <w:rsid w:val="00B23C14"/>
    <w:rsid w:val="00B25AEF"/>
    <w:rsid w:val="00B30598"/>
    <w:rsid w:val="00B306EA"/>
    <w:rsid w:val="00B31778"/>
    <w:rsid w:val="00B32D5B"/>
    <w:rsid w:val="00B426DC"/>
    <w:rsid w:val="00B541DE"/>
    <w:rsid w:val="00B548DD"/>
    <w:rsid w:val="00B54C95"/>
    <w:rsid w:val="00B7102C"/>
    <w:rsid w:val="00B710C7"/>
    <w:rsid w:val="00B72D6D"/>
    <w:rsid w:val="00B73F26"/>
    <w:rsid w:val="00B74176"/>
    <w:rsid w:val="00B87D26"/>
    <w:rsid w:val="00B951BC"/>
    <w:rsid w:val="00BA52E3"/>
    <w:rsid w:val="00BA5838"/>
    <w:rsid w:val="00BB0018"/>
    <w:rsid w:val="00BB0907"/>
    <w:rsid w:val="00BB1BA5"/>
    <w:rsid w:val="00BB3F58"/>
    <w:rsid w:val="00BB4FA8"/>
    <w:rsid w:val="00BB5C03"/>
    <w:rsid w:val="00BB6F81"/>
    <w:rsid w:val="00BC0BD5"/>
    <w:rsid w:val="00BC219E"/>
    <w:rsid w:val="00BC764D"/>
    <w:rsid w:val="00BD39A5"/>
    <w:rsid w:val="00BE429D"/>
    <w:rsid w:val="00BE4F3F"/>
    <w:rsid w:val="00BE5B3F"/>
    <w:rsid w:val="00BF1528"/>
    <w:rsid w:val="00BF2010"/>
    <w:rsid w:val="00BF449E"/>
    <w:rsid w:val="00C06548"/>
    <w:rsid w:val="00C10019"/>
    <w:rsid w:val="00C10EC0"/>
    <w:rsid w:val="00C12E7C"/>
    <w:rsid w:val="00C16A9C"/>
    <w:rsid w:val="00C219CA"/>
    <w:rsid w:val="00C23BB2"/>
    <w:rsid w:val="00C26A6A"/>
    <w:rsid w:val="00C26D35"/>
    <w:rsid w:val="00C3740E"/>
    <w:rsid w:val="00C55B6F"/>
    <w:rsid w:val="00C61D64"/>
    <w:rsid w:val="00C70EBC"/>
    <w:rsid w:val="00C72EF4"/>
    <w:rsid w:val="00C740B5"/>
    <w:rsid w:val="00C7600A"/>
    <w:rsid w:val="00C76BFC"/>
    <w:rsid w:val="00C77DA5"/>
    <w:rsid w:val="00C80A21"/>
    <w:rsid w:val="00C83FDF"/>
    <w:rsid w:val="00C8670B"/>
    <w:rsid w:val="00C9033D"/>
    <w:rsid w:val="00CB0189"/>
    <w:rsid w:val="00CB6663"/>
    <w:rsid w:val="00CC0F42"/>
    <w:rsid w:val="00CC12B8"/>
    <w:rsid w:val="00CC1801"/>
    <w:rsid w:val="00CC21E1"/>
    <w:rsid w:val="00CC2EDA"/>
    <w:rsid w:val="00CC7420"/>
    <w:rsid w:val="00CD337C"/>
    <w:rsid w:val="00CE293D"/>
    <w:rsid w:val="00CE2F7D"/>
    <w:rsid w:val="00CF0CC1"/>
    <w:rsid w:val="00CF348D"/>
    <w:rsid w:val="00D01635"/>
    <w:rsid w:val="00D0422A"/>
    <w:rsid w:val="00D0746A"/>
    <w:rsid w:val="00D07F57"/>
    <w:rsid w:val="00D12404"/>
    <w:rsid w:val="00D20C28"/>
    <w:rsid w:val="00D27220"/>
    <w:rsid w:val="00D27704"/>
    <w:rsid w:val="00D301C6"/>
    <w:rsid w:val="00D3213B"/>
    <w:rsid w:val="00D32D5A"/>
    <w:rsid w:val="00D36D3A"/>
    <w:rsid w:val="00D526C6"/>
    <w:rsid w:val="00D537E1"/>
    <w:rsid w:val="00D578A4"/>
    <w:rsid w:val="00D63605"/>
    <w:rsid w:val="00D65881"/>
    <w:rsid w:val="00D80F47"/>
    <w:rsid w:val="00D84FBD"/>
    <w:rsid w:val="00D8549B"/>
    <w:rsid w:val="00D85B94"/>
    <w:rsid w:val="00D8709F"/>
    <w:rsid w:val="00D87F37"/>
    <w:rsid w:val="00D92151"/>
    <w:rsid w:val="00D93450"/>
    <w:rsid w:val="00D94489"/>
    <w:rsid w:val="00D96B2E"/>
    <w:rsid w:val="00D97AF4"/>
    <w:rsid w:val="00DA2A2D"/>
    <w:rsid w:val="00DA4527"/>
    <w:rsid w:val="00DA7FC2"/>
    <w:rsid w:val="00DB4669"/>
    <w:rsid w:val="00DB4E3D"/>
    <w:rsid w:val="00DB6043"/>
    <w:rsid w:val="00DC6EF6"/>
    <w:rsid w:val="00DD0431"/>
    <w:rsid w:val="00DE0F64"/>
    <w:rsid w:val="00DE694D"/>
    <w:rsid w:val="00DF3586"/>
    <w:rsid w:val="00DF66A6"/>
    <w:rsid w:val="00DF76B3"/>
    <w:rsid w:val="00E0723E"/>
    <w:rsid w:val="00E07576"/>
    <w:rsid w:val="00E226F1"/>
    <w:rsid w:val="00E276E6"/>
    <w:rsid w:val="00E312A7"/>
    <w:rsid w:val="00E36DEC"/>
    <w:rsid w:val="00E41C75"/>
    <w:rsid w:val="00E43951"/>
    <w:rsid w:val="00E43C17"/>
    <w:rsid w:val="00E457D9"/>
    <w:rsid w:val="00E50259"/>
    <w:rsid w:val="00E51B2C"/>
    <w:rsid w:val="00E52E31"/>
    <w:rsid w:val="00E55005"/>
    <w:rsid w:val="00E57562"/>
    <w:rsid w:val="00E6365A"/>
    <w:rsid w:val="00E65C8F"/>
    <w:rsid w:val="00E6795B"/>
    <w:rsid w:val="00E737AF"/>
    <w:rsid w:val="00E75AF4"/>
    <w:rsid w:val="00E81DC8"/>
    <w:rsid w:val="00E95AB4"/>
    <w:rsid w:val="00E971D4"/>
    <w:rsid w:val="00EA1061"/>
    <w:rsid w:val="00EB7241"/>
    <w:rsid w:val="00EC659A"/>
    <w:rsid w:val="00EC767B"/>
    <w:rsid w:val="00ED15C8"/>
    <w:rsid w:val="00ED45D3"/>
    <w:rsid w:val="00EE5DF0"/>
    <w:rsid w:val="00EF4097"/>
    <w:rsid w:val="00EF5320"/>
    <w:rsid w:val="00F02DE0"/>
    <w:rsid w:val="00F1152E"/>
    <w:rsid w:val="00F148E2"/>
    <w:rsid w:val="00F17C16"/>
    <w:rsid w:val="00F270E8"/>
    <w:rsid w:val="00F41DCD"/>
    <w:rsid w:val="00F50E33"/>
    <w:rsid w:val="00F530A0"/>
    <w:rsid w:val="00F562AA"/>
    <w:rsid w:val="00F61DBC"/>
    <w:rsid w:val="00F65F7B"/>
    <w:rsid w:val="00F66BFD"/>
    <w:rsid w:val="00F67784"/>
    <w:rsid w:val="00F7077C"/>
    <w:rsid w:val="00F814EF"/>
    <w:rsid w:val="00F8219F"/>
    <w:rsid w:val="00F83704"/>
    <w:rsid w:val="00F93D79"/>
    <w:rsid w:val="00F95A22"/>
    <w:rsid w:val="00FA028D"/>
    <w:rsid w:val="00FA0B9E"/>
    <w:rsid w:val="00FA7093"/>
    <w:rsid w:val="00FB4D06"/>
    <w:rsid w:val="00FB5682"/>
    <w:rsid w:val="00FD4A10"/>
    <w:rsid w:val="00FD65E7"/>
    <w:rsid w:val="00FE0B0E"/>
    <w:rsid w:val="00FE4C21"/>
    <w:rsid w:val="00FE6DD7"/>
    <w:rsid w:val="00FF0FD1"/>
    <w:rsid w:val="00FF231A"/>
    <w:rsid w:val="00FF2A00"/>
    <w:rsid w:val="00FF30A9"/>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1405</Words>
  <Characters>8013</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2025-06-23T19:05:00Z</dcterms:created>
  <dcterms:modified xsi:type="dcterms:W3CDTF">2025-06-23T19:05:00Z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