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B3BC1" w14:textId="77777777" w:rsidR="00C06961" w:rsidRPr="00C06961" w:rsidRDefault="00C06961" w:rsidP="00C06961">
      <w:pPr>
        <w:jc w:val="center"/>
        <w:rPr>
          <w:rFonts w:ascii="Book Antiqua" w:hAnsi="Book Antiqua"/>
          <w:b/>
          <w:bCs/>
          <w:lang w:val="es-ES"/>
        </w:rPr>
      </w:pPr>
      <w:r w:rsidRPr="00C06961">
        <w:rPr>
          <w:rFonts w:ascii="Book Antiqua" w:hAnsi="Book Antiqua"/>
          <w:b/>
          <w:bCs/>
          <w:lang w:val="es-ES"/>
        </w:rPr>
        <w:t>(TEXTO DE APROBACIÓN FINAL POR LA CÁMARA)</w:t>
      </w:r>
      <w:r w:rsidRPr="00C06961">
        <w:rPr>
          <w:rFonts w:ascii="Book Antiqua" w:hAnsi="Book Antiqua"/>
          <w:b/>
          <w:bCs/>
          <w:lang w:val="es-ES_tradnl"/>
        </w:rPr>
        <w:fldChar w:fldCharType="begin"/>
      </w:r>
      <w:r w:rsidRPr="00C06961">
        <w:rPr>
          <w:rFonts w:ascii="Book Antiqua" w:hAnsi="Book Antiqua"/>
          <w:b/>
          <w:bCs/>
          <w:lang w:val="es-ES"/>
        </w:rPr>
        <w:instrText xml:space="preserve">PRIVATE </w:instrText>
      </w:r>
      <w:r w:rsidRPr="00C06961">
        <w:rPr>
          <w:rFonts w:ascii="Book Antiqua" w:hAnsi="Book Antiqua"/>
          <w:b/>
          <w:bCs/>
          <w:lang w:val="es-ES_tradnl"/>
        </w:rPr>
        <w:fldChar w:fldCharType="end"/>
      </w:r>
    </w:p>
    <w:p w14:paraId="3E302C43" w14:textId="77777777" w:rsidR="00C06961" w:rsidRPr="00C06961" w:rsidRDefault="00C06961" w:rsidP="00C06961">
      <w:pPr>
        <w:jc w:val="center"/>
        <w:rPr>
          <w:rFonts w:ascii="Book Antiqua" w:hAnsi="Book Antiqua"/>
          <w:b/>
          <w:bCs/>
          <w:lang w:val="es-ES"/>
        </w:rPr>
      </w:pPr>
      <w:r w:rsidRPr="00C06961">
        <w:rPr>
          <w:rFonts w:ascii="Book Antiqua" w:hAnsi="Book Antiqua"/>
          <w:b/>
          <w:bCs/>
          <w:lang w:val="es-ES"/>
        </w:rPr>
        <w:t>(8 DE MAYO DE 2025)</w:t>
      </w:r>
    </w:p>
    <w:p w14:paraId="591ED550" w14:textId="77777777" w:rsidR="00C06961" w:rsidRPr="00C06961" w:rsidRDefault="00C06961" w:rsidP="00C06961">
      <w:pPr>
        <w:rPr>
          <w:rFonts w:ascii="Book Antiqua" w:hAnsi="Book Antiqua"/>
          <w:b/>
          <w:bCs/>
          <w:sz w:val="28"/>
          <w:szCs w:val="28"/>
          <w:lang w:val="es-ES_tradnl"/>
        </w:rPr>
      </w:pPr>
      <w:r w:rsidRPr="00C06961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EEA4923" wp14:editId="4D048CD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833853991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4B8D1" id="Rectángulo 5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79550656" w14:textId="6B6F538D" w:rsidR="00FF2214" w:rsidRPr="00311003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</w:pPr>
      <w:r w:rsidRPr="00311003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</w:rPr>
          <w:tag w:val="goog_rdk_0"/>
          <w:id w:val="-2063775325"/>
        </w:sdtPr>
        <w:sdtEndPr/>
        <w:sdtContent/>
      </w:sdt>
      <w:r w:rsidRPr="00311003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>PUERTO RICO</w:t>
      </w:r>
    </w:p>
    <w:p w14:paraId="79550657" w14:textId="77777777" w:rsidR="00FF2214" w:rsidRPr="007F2135" w:rsidRDefault="00FF2214">
      <w:pPr>
        <w:jc w:val="center"/>
        <w:rPr>
          <w:rFonts w:ascii="Book Antiqua" w:eastAsia="Book Antiqua" w:hAnsi="Book Antiqua" w:cs="Book Antiqua"/>
          <w:color w:val="000000" w:themeColor="text1"/>
        </w:rPr>
      </w:pPr>
    </w:p>
    <w:p w14:paraId="79550658" w14:textId="123293D6" w:rsidR="00FF2214" w:rsidRPr="00A16C2A" w:rsidRDefault="00A16C2A" w:rsidP="00A16C2A">
      <w:pPr>
        <w:rPr>
          <w:rFonts w:ascii="Book Antiqua" w:eastAsia="Book Antiqua" w:hAnsi="Book Antiqua" w:cs="Book Antiqua"/>
          <w:color w:val="000000" w:themeColor="text1"/>
          <w:lang w:val="it-IT"/>
        </w:rPr>
      </w:pPr>
      <w:r w:rsidRPr="00A16C2A">
        <w:rPr>
          <w:rFonts w:ascii="Book Antiqua" w:eastAsia="Book Antiqua" w:hAnsi="Book Antiqua" w:cs="Book Antiqua"/>
          <w:color w:val="000000" w:themeColor="text1"/>
          <w:lang w:val="it-IT"/>
        </w:rPr>
        <w:t xml:space="preserve">20ma. </w:t>
      </w:r>
      <w:r w:rsidR="00850770" w:rsidRPr="00A16C2A">
        <w:rPr>
          <w:rFonts w:ascii="Book Antiqua" w:eastAsia="Book Antiqua" w:hAnsi="Book Antiqua" w:cs="Book Antiqua"/>
          <w:color w:val="000000" w:themeColor="text1"/>
          <w:lang w:val="it-IT"/>
        </w:rPr>
        <w:t>Asamblea</w:t>
      </w:r>
      <w:r w:rsidR="00850770" w:rsidRPr="00A16C2A">
        <w:rPr>
          <w:rFonts w:ascii="Book Antiqua" w:eastAsia="Book Antiqua" w:hAnsi="Book Antiqua" w:cs="Book Antiqua"/>
          <w:color w:val="000000" w:themeColor="text1"/>
          <w:lang w:val="it-IT"/>
        </w:rPr>
        <w:tab/>
      </w:r>
      <w:r>
        <w:rPr>
          <w:rFonts w:ascii="Book Antiqua" w:eastAsia="Book Antiqua" w:hAnsi="Book Antiqua" w:cs="Book Antiqua"/>
          <w:color w:val="000000" w:themeColor="text1"/>
          <w:lang w:val="it-IT"/>
        </w:rPr>
        <w:t xml:space="preserve">                </w:t>
      </w:r>
      <w:r>
        <w:rPr>
          <w:rFonts w:ascii="Book Antiqua" w:eastAsia="Book Antiqua" w:hAnsi="Book Antiqua" w:cs="Book Antiqua"/>
          <w:color w:val="000000" w:themeColor="text1"/>
          <w:lang w:val="it-IT"/>
        </w:rPr>
        <w:tab/>
      </w:r>
      <w:r>
        <w:rPr>
          <w:rFonts w:ascii="Book Antiqua" w:eastAsia="Book Antiqua" w:hAnsi="Book Antiqua" w:cs="Book Antiqua"/>
          <w:color w:val="000000" w:themeColor="text1"/>
          <w:lang w:val="it-IT"/>
        </w:rPr>
        <w:tab/>
      </w:r>
      <w:r>
        <w:rPr>
          <w:rFonts w:ascii="Book Antiqua" w:eastAsia="Book Antiqua" w:hAnsi="Book Antiqua" w:cs="Book Antiqua"/>
          <w:color w:val="000000" w:themeColor="text1"/>
          <w:lang w:val="it-IT"/>
        </w:rPr>
        <w:tab/>
      </w:r>
      <w:r>
        <w:rPr>
          <w:rFonts w:ascii="Book Antiqua" w:eastAsia="Book Antiqua" w:hAnsi="Book Antiqua" w:cs="Book Antiqua"/>
          <w:color w:val="000000" w:themeColor="text1"/>
          <w:lang w:val="it-IT"/>
        </w:rPr>
        <w:tab/>
      </w:r>
      <w:r>
        <w:rPr>
          <w:rFonts w:ascii="Book Antiqua" w:eastAsia="Book Antiqua" w:hAnsi="Book Antiqua" w:cs="Book Antiqua"/>
          <w:color w:val="000000" w:themeColor="text1"/>
          <w:lang w:val="it-IT"/>
        </w:rPr>
        <w:tab/>
      </w:r>
      <w:r>
        <w:rPr>
          <w:rFonts w:ascii="Book Antiqua" w:eastAsia="Book Antiqua" w:hAnsi="Book Antiqua" w:cs="Book Antiqua"/>
          <w:color w:val="000000" w:themeColor="text1"/>
          <w:lang w:val="it-IT"/>
        </w:rPr>
        <w:tab/>
        <w:t xml:space="preserve">          </w:t>
      </w:r>
      <w:r w:rsidRPr="00A16C2A">
        <w:rPr>
          <w:rFonts w:ascii="Book Antiqua" w:eastAsia="Book Antiqua" w:hAnsi="Book Antiqua" w:cs="Book Antiqua"/>
          <w:color w:val="000000" w:themeColor="text1"/>
          <w:lang w:val="it-IT"/>
        </w:rPr>
        <w:t xml:space="preserve">1ra. </w:t>
      </w:r>
      <w:r w:rsidR="00850770" w:rsidRPr="00A16C2A">
        <w:rPr>
          <w:rFonts w:ascii="Book Antiqua" w:eastAsia="Book Antiqua" w:hAnsi="Book Antiqua" w:cs="Book Antiqua"/>
          <w:color w:val="000000" w:themeColor="text1"/>
          <w:lang w:val="it-IT"/>
        </w:rPr>
        <w:t>Sesión</w:t>
      </w:r>
    </w:p>
    <w:p w14:paraId="79550659" w14:textId="3D5AFFE6" w:rsidR="00FF2214" w:rsidRPr="00A16C2A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it-IT"/>
        </w:rPr>
      </w:pPr>
      <w:r w:rsidRPr="00A16C2A">
        <w:rPr>
          <w:rFonts w:ascii="Book Antiqua" w:eastAsia="Book Antiqua" w:hAnsi="Book Antiqua" w:cs="Book Antiqua"/>
          <w:color w:val="000000" w:themeColor="text1"/>
          <w:lang w:val="it-IT"/>
        </w:rPr>
        <w:tab/>
      </w:r>
      <w:r w:rsidR="00A16C2A" w:rsidRPr="00A16C2A">
        <w:rPr>
          <w:rFonts w:ascii="Book Antiqua" w:eastAsia="Book Antiqua" w:hAnsi="Book Antiqua" w:cs="Book Antiqua"/>
          <w:color w:val="000000" w:themeColor="text1"/>
          <w:lang w:val="it-IT"/>
        </w:rPr>
        <w:t xml:space="preserve"> </w:t>
      </w:r>
      <w:r w:rsidRPr="00A16C2A">
        <w:rPr>
          <w:rFonts w:ascii="Book Antiqua" w:eastAsia="Book Antiqua" w:hAnsi="Book Antiqua" w:cs="Book Antiqua"/>
          <w:color w:val="000000" w:themeColor="text1"/>
          <w:lang w:val="it-IT"/>
        </w:rPr>
        <w:t>Legislativa</w:t>
      </w:r>
      <w:r w:rsidRPr="00A16C2A">
        <w:rPr>
          <w:rFonts w:ascii="Book Antiqua" w:eastAsia="Book Antiqua" w:hAnsi="Book Antiqua" w:cs="Book Antiqua"/>
          <w:color w:val="000000" w:themeColor="text1"/>
          <w:lang w:val="it-IT"/>
        </w:rPr>
        <w:tab/>
      </w:r>
      <w:r w:rsidRPr="00A16C2A">
        <w:rPr>
          <w:rFonts w:ascii="Book Antiqua" w:eastAsia="Book Antiqua" w:hAnsi="Book Antiqua" w:cs="Book Antiqua"/>
          <w:color w:val="000000" w:themeColor="text1"/>
          <w:lang w:val="it-IT"/>
        </w:rPr>
        <w:tab/>
      </w:r>
      <w:r w:rsidR="00A16C2A" w:rsidRPr="00A16C2A">
        <w:rPr>
          <w:rFonts w:ascii="Book Antiqua" w:eastAsia="Book Antiqua" w:hAnsi="Book Antiqua" w:cs="Book Antiqua"/>
          <w:color w:val="000000" w:themeColor="text1"/>
          <w:lang w:val="it-IT"/>
        </w:rPr>
        <w:t xml:space="preserve"> </w:t>
      </w:r>
      <w:r w:rsidR="00A16C2A">
        <w:rPr>
          <w:rFonts w:ascii="Book Antiqua" w:eastAsia="Book Antiqua" w:hAnsi="Book Antiqua" w:cs="Book Antiqua"/>
          <w:color w:val="000000" w:themeColor="text1"/>
          <w:lang w:val="it-IT"/>
        </w:rPr>
        <w:t xml:space="preserve">      </w:t>
      </w:r>
      <w:r w:rsidRPr="00A16C2A">
        <w:rPr>
          <w:rFonts w:ascii="Book Antiqua" w:eastAsia="Book Antiqua" w:hAnsi="Book Antiqua" w:cs="Book Antiqua"/>
          <w:color w:val="000000" w:themeColor="text1"/>
          <w:lang w:val="it-IT"/>
        </w:rPr>
        <w:t>Ordinaria</w:t>
      </w:r>
    </w:p>
    <w:p w14:paraId="7955065A" w14:textId="77777777" w:rsidR="00FF2214" w:rsidRPr="00A16C2A" w:rsidRDefault="00FF2214">
      <w:pPr>
        <w:rPr>
          <w:rFonts w:ascii="Book Antiqua" w:eastAsia="Book Antiqua" w:hAnsi="Book Antiqua" w:cs="Book Antiqua"/>
          <w:color w:val="000000" w:themeColor="text1"/>
          <w:lang w:val="it-IT"/>
        </w:rPr>
      </w:pPr>
    </w:p>
    <w:p w14:paraId="32A931BE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</w:rPr>
      </w:pPr>
      <w:r w:rsidRPr="007F2135">
        <w:rPr>
          <w:rFonts w:ascii="Book Antiqua" w:hAnsi="Book Antiqua"/>
          <w:b/>
          <w:color w:val="000000" w:themeColor="text1"/>
          <w:sz w:val="36"/>
          <w:szCs w:val="36"/>
        </w:rPr>
        <w:t>CÁMARA DE REPRESENTANTES</w:t>
      </w:r>
    </w:p>
    <w:p w14:paraId="1FE61380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5886E84B" w14:textId="67D7EBE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</w:rPr>
      </w:pPr>
      <w:r w:rsidRPr="007F2135">
        <w:rPr>
          <w:rFonts w:ascii="Book Antiqua" w:hAnsi="Book Antiqua"/>
          <w:b/>
          <w:color w:val="000000" w:themeColor="text1"/>
          <w:sz w:val="52"/>
          <w:szCs w:val="52"/>
        </w:rPr>
        <w:t>P. de la C.</w:t>
      </w:r>
      <w:r w:rsidR="00B06AA7">
        <w:rPr>
          <w:rFonts w:ascii="Book Antiqua" w:hAnsi="Book Antiqua"/>
          <w:b/>
          <w:color w:val="000000" w:themeColor="text1"/>
          <w:sz w:val="52"/>
          <w:szCs w:val="52"/>
        </w:rPr>
        <w:t xml:space="preserve"> 486</w:t>
      </w:r>
    </w:p>
    <w:p w14:paraId="4A8A7A6F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3D87D176" w14:textId="4F2C6A39" w:rsidR="00950505" w:rsidRPr="007F2135" w:rsidRDefault="00B06AA7" w:rsidP="00950505">
      <w:pPr>
        <w:jc w:val="center"/>
        <w:rPr>
          <w:rFonts w:ascii="Book Antiqua" w:hAnsi="Book Antiqua"/>
          <w:b/>
          <w:color w:val="000000" w:themeColor="text1"/>
          <w:sz w:val="48"/>
        </w:rPr>
      </w:pPr>
      <w:r>
        <w:rPr>
          <w:rFonts w:ascii="Book Antiqua" w:hAnsi="Book Antiqua"/>
          <w:caps/>
          <w:color w:val="000000" w:themeColor="text1"/>
        </w:rPr>
        <w:t xml:space="preserve">3 </w:t>
      </w:r>
      <w:r w:rsidR="00950505" w:rsidRPr="007F2135">
        <w:rPr>
          <w:rFonts w:ascii="Book Antiqua" w:hAnsi="Book Antiqua"/>
          <w:caps/>
          <w:color w:val="000000" w:themeColor="text1"/>
        </w:rPr>
        <w:t xml:space="preserve">de </w:t>
      </w:r>
      <w:r w:rsidR="00864305" w:rsidRPr="007F2135">
        <w:rPr>
          <w:rFonts w:ascii="Book Antiqua" w:hAnsi="Book Antiqua"/>
          <w:caps/>
          <w:color w:val="000000" w:themeColor="text1"/>
        </w:rPr>
        <w:t>abril</w:t>
      </w:r>
      <w:r w:rsidR="00950505" w:rsidRPr="007F2135">
        <w:rPr>
          <w:rFonts w:ascii="Book Antiqua" w:hAnsi="Book Antiqua"/>
          <w:caps/>
          <w:color w:val="000000" w:themeColor="text1"/>
        </w:rPr>
        <w:t xml:space="preserve"> de</w:t>
      </w:r>
      <w:r w:rsidR="00950505" w:rsidRPr="007F2135">
        <w:rPr>
          <w:rFonts w:ascii="Book Antiqua" w:hAnsi="Book Antiqua"/>
          <w:color w:val="000000" w:themeColor="text1"/>
          <w:sz w:val="22"/>
          <w:szCs w:val="22"/>
        </w:rPr>
        <w:t xml:space="preserve"> </w:t>
      </w:r>
      <w:r w:rsidR="00950505" w:rsidRPr="007F2135">
        <w:rPr>
          <w:rFonts w:ascii="Book Antiqua" w:hAnsi="Book Antiqua"/>
          <w:color w:val="000000" w:themeColor="text1"/>
        </w:rPr>
        <w:t>2025</w:t>
      </w:r>
    </w:p>
    <w:p w14:paraId="1E7B6D3E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001AA10B" w14:textId="2388B596" w:rsidR="00950505" w:rsidRPr="007F2135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14:ligatures w14:val="standardContextual"/>
        </w:rPr>
      </w:pPr>
      <w:r w:rsidRPr="007F2135">
        <w:rPr>
          <w:rFonts w:ascii="Book Antiqua" w:hAnsi="Book Antiqua"/>
          <w:color w:val="000000" w:themeColor="text1"/>
        </w:rPr>
        <w:t xml:space="preserve">Presentado </w:t>
      </w:r>
      <w:r w:rsidR="00B02CD9" w:rsidRPr="007F2135">
        <w:rPr>
          <w:rFonts w:ascii="Book Antiqua" w:eastAsia="Book Antiqua" w:hAnsi="Book Antiqua" w:cs="Book Antiqua"/>
          <w:color w:val="000000" w:themeColor="text1"/>
        </w:rPr>
        <w:t xml:space="preserve">por </w:t>
      </w:r>
      <w:r w:rsidR="00B02CD9" w:rsidRPr="007F2135">
        <w:rPr>
          <w:rFonts w:ascii="Book Antiqua" w:hAnsi="Book Antiqua"/>
        </w:rPr>
        <w:t xml:space="preserve">el representante </w:t>
      </w:r>
      <w:r w:rsidR="00B02CD9" w:rsidRPr="007F2135">
        <w:rPr>
          <w:rFonts w:ascii="Book Antiqua" w:hAnsi="Book Antiqua"/>
          <w:i/>
          <w:iCs/>
        </w:rPr>
        <w:t xml:space="preserve">Méndez Núñez;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Lebrón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Ramírez, Torres Zamora, Román López, Aponte Hernández, Carlo Acosta, Charbonier Chinea, Colón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del Valle Correa;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Estévez Vélez,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Franqui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Atiles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González Aguayo, González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González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Hernández Concepción, Jiménez Torres;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Martínez Vázquez, Medina Calderón;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Morey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Noble, Muriel Sánchez, Navarro Suárez, Nieves</w:t>
      </w:r>
      <w:r w:rsidR="00EB0D65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Rosario, Ocasio Ramos, Pacheco Burgos, Parés Otero;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Dávila;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Cordero, Pérez Ortiz;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Ramírez, Ramos Rivera;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Robles Rivera, Rodríguez Aguiló, Rodríguez Torres, Roque Gracia, Sanabria Colón </w:t>
      </w:r>
      <w:r w:rsidR="00B02CD9" w:rsidRPr="00311003">
        <w:rPr>
          <w:rFonts w:ascii="Book Antiqua" w:eastAsia="Aptos" w:hAnsi="Book Antiqua"/>
          <w:kern w:val="2"/>
          <w14:ligatures w14:val="standardContextual"/>
        </w:rPr>
        <w:t>y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Santiago Guzmán</w:t>
      </w:r>
    </w:p>
    <w:p w14:paraId="18A0DB58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6E0B8939" w14:textId="4F8FC85F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  <w:r w:rsidRPr="007F2135">
        <w:rPr>
          <w:rFonts w:ascii="Book Antiqua" w:hAnsi="Book Antiqua"/>
          <w:color w:val="000000" w:themeColor="text1"/>
        </w:rPr>
        <w:t>Referido a</w:t>
      </w:r>
      <w:r w:rsidR="00AE55A0">
        <w:rPr>
          <w:rFonts w:ascii="Book Antiqua" w:hAnsi="Book Antiqua"/>
          <w:color w:val="000000" w:themeColor="text1"/>
        </w:rPr>
        <w:t xml:space="preserve"> la Comisión de Asuntos Federales y Veteranos</w:t>
      </w:r>
    </w:p>
    <w:p w14:paraId="4B9C3823" w14:textId="77777777" w:rsidR="00950505" w:rsidRPr="007F2135" w:rsidRDefault="00950505" w:rsidP="00950505">
      <w:pPr>
        <w:jc w:val="both"/>
        <w:rPr>
          <w:rFonts w:ascii="Book Antiqua" w:hAnsi="Book Antiqua"/>
          <w:color w:val="000000" w:themeColor="text1"/>
        </w:rPr>
      </w:pPr>
    </w:p>
    <w:p w14:paraId="43228070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</w:rPr>
      </w:pPr>
      <w:r w:rsidRPr="007F2135">
        <w:rPr>
          <w:rFonts w:ascii="Book Antiqua" w:hAnsi="Book Antiqua"/>
          <w:b/>
          <w:color w:val="000000" w:themeColor="text1"/>
          <w:sz w:val="28"/>
        </w:rPr>
        <w:t>LEY</w:t>
      </w:r>
    </w:p>
    <w:p w14:paraId="79550663" w14:textId="77777777" w:rsidR="00FF2214" w:rsidRPr="007F2135" w:rsidRDefault="00FF2214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222B13C6" w14:textId="3D5CCD0A" w:rsidR="00EB0D65" w:rsidRPr="007F2135" w:rsidRDefault="00850770" w:rsidP="00A16C2A">
      <w:pPr>
        <w:ind w:left="720" w:hanging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>Para</w:t>
      </w:r>
      <w:r w:rsidR="00E45E9B" w:rsidRP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422BCD">
        <w:rPr>
          <w:rFonts w:ascii="Book Antiqua" w:eastAsia="Book Antiqua" w:hAnsi="Book Antiqua" w:cs="Book Antiqua"/>
          <w:color w:val="000000" w:themeColor="text1"/>
        </w:rPr>
        <w:t>enmendar la Ley Núm. 270-2011,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conocida como “Ley del Día del Veterano de Vietnam”,</w:t>
      </w:r>
      <w:r w:rsidR="007F2135" w:rsidRPr="00422BCD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4778E4">
        <w:rPr>
          <w:rFonts w:ascii="Book Antiqua" w:eastAsia="Book Antiqua" w:hAnsi="Book Antiqua" w:cs="Book Antiqua"/>
          <w:color w:val="000000" w:themeColor="text1"/>
        </w:rPr>
        <w:t xml:space="preserve">a los fines de </w:t>
      </w:r>
      <w:r w:rsidR="007F2135">
        <w:rPr>
          <w:rFonts w:ascii="Book Antiqua" w:eastAsia="Book Antiqua" w:hAnsi="Book Antiqua" w:cs="Book Antiqua"/>
          <w:color w:val="000000" w:themeColor="text1"/>
        </w:rPr>
        <w:t>atemperar</w:t>
      </w:r>
      <w:r w:rsidR="007F2135" w:rsidRPr="004778E4">
        <w:rPr>
          <w:rFonts w:ascii="Book Antiqua" w:eastAsia="Book Antiqua" w:hAnsi="Book Antiqua" w:cs="Book Antiqua"/>
          <w:color w:val="000000" w:themeColor="text1"/>
        </w:rPr>
        <w:t xml:space="preserve"> la fecha oficial de dicha conmemoración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4778E4">
        <w:rPr>
          <w:rFonts w:ascii="Book Antiqua" w:eastAsia="Book Antiqua" w:hAnsi="Book Antiqua" w:cs="Book Antiqua"/>
          <w:color w:val="000000" w:themeColor="text1"/>
        </w:rPr>
        <w:t>conforme al reconocimiento dispuesto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a nivel nacional</w:t>
      </w:r>
      <w:r w:rsidR="007F2135" w:rsidRPr="00BC5767">
        <w:rPr>
          <w:rFonts w:ascii="Book Antiqua" w:eastAsia="Book Antiqua" w:hAnsi="Book Antiqua" w:cs="Book Antiqua"/>
          <w:color w:val="000000" w:themeColor="text1"/>
        </w:rPr>
        <w:t>; y para otros fines relacionados.</w:t>
      </w:r>
    </w:p>
    <w:p w14:paraId="726F9974" w14:textId="16000114" w:rsidR="000B77A8" w:rsidRPr="007F2135" w:rsidRDefault="000B77A8" w:rsidP="00A16C2A">
      <w:pPr>
        <w:ind w:left="720" w:hanging="720"/>
        <w:jc w:val="both"/>
        <w:rPr>
          <w:rFonts w:ascii="Book Antiqua" w:eastAsia="Aptos" w:hAnsi="Book Antiqua"/>
          <w:color w:val="000000" w:themeColor="text1"/>
          <w:kern w:val="2"/>
          <w14:ligatures w14:val="standardContextual"/>
        </w:rPr>
      </w:pPr>
    </w:p>
    <w:p w14:paraId="249D67DE" w14:textId="7B01ACF9" w:rsidR="005A5C2E" w:rsidRPr="007F2135" w:rsidRDefault="00850770" w:rsidP="00864305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  <w:r w:rsidRPr="007F2135">
        <w:rPr>
          <w:rFonts w:ascii="Book Antiqua" w:eastAsia="Book Antiqua" w:hAnsi="Book Antiqua" w:cs="Book Antiqua"/>
          <w:bCs/>
          <w:color w:val="000000" w:themeColor="text1"/>
        </w:rPr>
        <w:t>EXPOSICIÓN DE MOTIVOS</w:t>
      </w:r>
    </w:p>
    <w:p w14:paraId="794DD707" w14:textId="77777777" w:rsidR="00864305" w:rsidRPr="007F2135" w:rsidRDefault="00864305" w:rsidP="00864305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</w:p>
    <w:p w14:paraId="4154562D" w14:textId="29CB0250" w:rsidR="007F2135" w:rsidRPr="00655746" w:rsidRDefault="007F2135" w:rsidP="00433CAF">
      <w:pPr>
        <w:jc w:val="both"/>
        <w:rPr>
          <w:rFonts w:ascii="Book Antiqua" w:eastAsia="Book Antiqua" w:hAnsi="Book Antiqua" w:cs="Book Antiqua"/>
          <w:color w:val="000000" w:themeColor="text1"/>
        </w:rPr>
      </w:pPr>
      <w:r w:rsidRPr="00655746">
        <w:rPr>
          <w:rFonts w:ascii="Book Antiqua" w:eastAsia="Book Antiqua" w:hAnsi="Book Antiqua" w:cs="Book Antiqua"/>
          <w:color w:val="000000" w:themeColor="text1"/>
        </w:rPr>
        <w:t xml:space="preserve">El Congreso de los Estados Unidos aprobó el </w:t>
      </w:r>
      <w:r>
        <w:rPr>
          <w:rFonts w:ascii="Book Antiqua" w:eastAsia="Book Antiqua" w:hAnsi="Book Antiqua" w:cs="Book Antiqua"/>
          <w:color w:val="000000" w:themeColor="text1"/>
        </w:rPr>
        <w:t>“</w:t>
      </w:r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Vietnam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War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Veterans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Recognition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Act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of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2017</w:t>
      </w:r>
      <w:r>
        <w:rPr>
          <w:rFonts w:ascii="Book Antiqua" w:eastAsia="Book Antiqua" w:hAnsi="Book Antiqua" w:cs="Book Antiqua"/>
          <w:color w:val="000000" w:themeColor="text1"/>
        </w:rPr>
        <w:t>”</w:t>
      </w:r>
      <w:r w:rsidRPr="00655746">
        <w:rPr>
          <w:rFonts w:ascii="Book Antiqua" w:eastAsia="Book Antiqua" w:hAnsi="Book Antiqua" w:cs="Book Antiqua"/>
          <w:color w:val="000000" w:themeColor="text1"/>
        </w:rPr>
        <w:t>, mediante la Ley Pública 115–15, en la cual se designa oficialmente el 29 de marzo</w:t>
      </w:r>
      <w:r w:rsidR="00D2351A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D2351A" w:rsidRPr="00A16C2A">
        <w:rPr>
          <w:rFonts w:ascii="Book Antiqua" w:eastAsia="Book Antiqua" w:hAnsi="Book Antiqua" w:cs="Book Antiqua"/>
          <w:color w:val="000000" w:themeColor="text1"/>
        </w:rPr>
        <w:t>de cada año,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como el Día Nacional de los Veteranos de la Guerra de Vietnam. </w:t>
      </w:r>
      <w:r>
        <w:rPr>
          <w:rFonts w:ascii="Book Antiqua" w:eastAsia="Book Antiqua" w:hAnsi="Book Antiqua" w:cs="Book Antiqua"/>
          <w:color w:val="000000" w:themeColor="text1"/>
        </w:rPr>
        <w:t>Dicha Ley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reconoce de manera solemne y permanente la valentía, el sacrificio y la entrega de los </w:t>
      </w:r>
      <w:r w:rsidRPr="00655746">
        <w:rPr>
          <w:rFonts w:ascii="Book Antiqua" w:eastAsia="Book Antiqua" w:hAnsi="Book Antiqua" w:cs="Book Antiqua"/>
          <w:color w:val="000000" w:themeColor="text1"/>
        </w:rPr>
        <w:lastRenderedPageBreak/>
        <w:t>hombres y mujeres que sirvieron durante uno de los conflictos más complejos del siglo XX.</w:t>
      </w:r>
    </w:p>
    <w:p w14:paraId="5B7ADECD" w14:textId="77777777" w:rsidR="007F2135" w:rsidRPr="00655746" w:rsidRDefault="007F2135" w:rsidP="007F2135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13C2523D" w14:textId="7CE874F4" w:rsidR="007F2135" w:rsidRDefault="007F2135" w:rsidP="00433CAF">
      <w:pPr>
        <w:jc w:val="both"/>
        <w:rPr>
          <w:rFonts w:ascii="Book Antiqua" w:eastAsia="Book Antiqua" w:hAnsi="Book Antiqua" w:cs="Book Antiqua"/>
          <w:color w:val="000000" w:themeColor="text1"/>
        </w:rPr>
      </w:pPr>
      <w:r w:rsidRPr="00655746">
        <w:rPr>
          <w:rFonts w:ascii="Book Antiqua" w:eastAsia="Book Antiqua" w:hAnsi="Book Antiqua" w:cs="Book Antiqua"/>
          <w:color w:val="000000" w:themeColor="text1"/>
        </w:rPr>
        <w:t xml:space="preserve">En consonancia con esta designación federal, y con el propósito de honrar a nuestros veteranos puertorriqueños, </w:t>
      </w:r>
      <w:r>
        <w:rPr>
          <w:rFonts w:ascii="Book Antiqua" w:eastAsia="Book Antiqua" w:hAnsi="Book Antiqua" w:cs="Book Antiqua"/>
          <w:color w:val="000000" w:themeColor="text1"/>
        </w:rPr>
        <w:t>es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necesario </w:t>
      </w:r>
      <w:r>
        <w:rPr>
          <w:rFonts w:ascii="Book Antiqua" w:eastAsia="Book Antiqua" w:hAnsi="Book Antiqua" w:cs="Book Antiqua"/>
          <w:color w:val="000000" w:themeColor="text1"/>
        </w:rPr>
        <w:t>atemperar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la legislación estatal con la normativa federal, trasladando la conmemoración del “Día del Veterano de Vietnam” en Puerto Rico al 29 de marzo</w:t>
      </w:r>
      <w:r w:rsidR="00D2351A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D2351A" w:rsidRPr="00A16C2A">
        <w:rPr>
          <w:rFonts w:ascii="Book Antiqua" w:eastAsia="Book Antiqua" w:hAnsi="Book Antiqua" w:cs="Book Antiqua"/>
          <w:color w:val="000000" w:themeColor="text1"/>
        </w:rPr>
        <w:t>de cada año</w:t>
      </w:r>
      <w:r w:rsidRPr="00A16C2A">
        <w:rPr>
          <w:rFonts w:ascii="Book Antiqua" w:eastAsia="Book Antiqua" w:hAnsi="Book Antiqua" w:cs="Book Antiqua"/>
          <w:color w:val="000000" w:themeColor="text1"/>
        </w:rPr>
        <w:t>.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Esta </w:t>
      </w:r>
      <w:r w:rsidR="006F2A5C">
        <w:rPr>
          <w:rFonts w:ascii="Book Antiqua" w:eastAsia="Book Antiqua" w:hAnsi="Book Antiqua" w:cs="Book Antiqua"/>
          <w:color w:val="000000" w:themeColor="text1"/>
        </w:rPr>
        <w:t>Ley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no solo asegura uniformidad en el reconocimiento de </w:t>
      </w:r>
      <w:r>
        <w:rPr>
          <w:rFonts w:ascii="Book Antiqua" w:eastAsia="Book Antiqua" w:hAnsi="Book Antiqua" w:cs="Book Antiqua"/>
          <w:color w:val="000000" w:themeColor="text1"/>
        </w:rPr>
        <w:t>nuestros héroes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, sino que también promueve una celebración conjunta, a nivel </w:t>
      </w:r>
      <w:r>
        <w:rPr>
          <w:rFonts w:ascii="Book Antiqua" w:eastAsia="Book Antiqua" w:hAnsi="Book Antiqua" w:cs="Book Antiqua"/>
          <w:color w:val="000000" w:themeColor="text1"/>
        </w:rPr>
        <w:t>estatal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y nacional, que realce la memoria histórica, fortalezca el sentido de gratitud colectiva y rinda el más alto tributo a quienes defendieron los principios de libertad y democracia en suelo extranjero.</w:t>
      </w:r>
    </w:p>
    <w:p w14:paraId="3994D1F1" w14:textId="77777777" w:rsidR="00A5416B" w:rsidRPr="007F2135" w:rsidRDefault="00A5416B" w:rsidP="00A5416B">
      <w:pPr>
        <w:rPr>
          <w:rFonts w:ascii="Book Antiqua" w:eastAsia="Book Antiqua" w:hAnsi="Book Antiqua" w:cs="Book Antiqua"/>
          <w:color w:val="000000" w:themeColor="text1"/>
        </w:rPr>
      </w:pPr>
    </w:p>
    <w:p w14:paraId="7955066D" w14:textId="77777777" w:rsidR="00FF2214" w:rsidRPr="007F2135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</w:rPr>
        <w:sectPr w:rsidR="00FF2214" w:rsidRPr="007F2135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2135">
        <w:rPr>
          <w:rFonts w:ascii="Book Antiqua" w:eastAsia="Book Antiqua" w:hAnsi="Book Antiqua" w:cs="Book Antiqua"/>
          <w:i/>
          <w:color w:val="000000" w:themeColor="text1"/>
        </w:rPr>
        <w:t>DECRÉTASE POR LA ASAMBLEA LEGISLATIVA DE PUERTO RICO:</w:t>
      </w:r>
    </w:p>
    <w:p w14:paraId="79909B1F" w14:textId="0951995D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bookmarkStart w:id="0" w:name="{20D8}"/>
      <w:bookmarkStart w:id="1" w:name="_Hlk189832381"/>
      <w:r w:rsidRPr="007F2135">
        <w:rPr>
          <w:rFonts w:ascii="Book Antiqua" w:hAnsi="Book Antiqua"/>
        </w:rPr>
        <w:t>Sección 1.</w:t>
      </w:r>
      <w:r w:rsidR="00403990">
        <w:rPr>
          <w:rFonts w:ascii="Book Antiqua" w:hAnsi="Book Antiqua"/>
        </w:rPr>
        <w:t>-</w:t>
      </w:r>
      <w:r w:rsidRPr="007F2135">
        <w:rPr>
          <w:rFonts w:ascii="Book Antiqua" w:hAnsi="Book Antiqua"/>
        </w:rPr>
        <w:t>Se enmienda el Artículo 1 de la Ley Núm. 270-2011,</w:t>
      </w:r>
      <w:r w:rsidR="00EB2DF0" w:rsidRPr="00EB2DF0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EB2DF0" w:rsidRPr="00A16C2A">
        <w:rPr>
          <w:rFonts w:ascii="Book Antiqua" w:eastAsia="Book Antiqua" w:hAnsi="Book Antiqua" w:cs="Book Antiqua"/>
          <w:color w:val="000000" w:themeColor="text1"/>
        </w:rPr>
        <w:t>conocida como “Ley del Día del Veterano de Vietnam”</w:t>
      </w:r>
      <w:r w:rsidRPr="007F2135">
        <w:rPr>
          <w:rFonts w:ascii="Book Antiqua" w:hAnsi="Book Antiqua"/>
        </w:rPr>
        <w:t xml:space="preserve"> para que lea como sigue: </w:t>
      </w:r>
    </w:p>
    <w:p w14:paraId="3B9BED6C" w14:textId="77777777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“Artículo 1. </w:t>
      </w:r>
    </w:p>
    <w:p w14:paraId="67F01722" w14:textId="1DE8CBDA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Se designa el día </w:t>
      </w:r>
      <w:r w:rsidRPr="00A16C2A">
        <w:rPr>
          <w:rFonts w:ascii="Book Antiqua" w:hAnsi="Book Antiqua"/>
        </w:rPr>
        <w:t>29</w:t>
      </w:r>
      <w:r w:rsidRPr="007F2135">
        <w:rPr>
          <w:rFonts w:ascii="Book Antiqua" w:hAnsi="Book Antiqua"/>
        </w:rPr>
        <w:t xml:space="preserve"> de marzo de cada año como “Día del Veterano de Vietnam”, en Puerto Rico, para honrar a todos los veteranos participantes de esta Guerra.”</w:t>
      </w:r>
    </w:p>
    <w:p w14:paraId="00B45776" w14:textId="5EAB6119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 Sección 2.</w:t>
      </w:r>
      <w:r w:rsidR="00A16C2A">
        <w:rPr>
          <w:rFonts w:ascii="Book Antiqua" w:hAnsi="Book Antiqua"/>
        </w:rPr>
        <w:t>-</w:t>
      </w:r>
      <w:r w:rsidRPr="007F2135">
        <w:rPr>
          <w:rFonts w:ascii="Book Antiqua" w:hAnsi="Book Antiqua"/>
        </w:rPr>
        <w:t>Se enmienda el Artículo 2 de la Ley Núm. 270-2011,</w:t>
      </w:r>
      <w:r w:rsidR="00EB2DF0">
        <w:rPr>
          <w:rFonts w:ascii="Book Antiqua" w:hAnsi="Book Antiqua"/>
        </w:rPr>
        <w:t xml:space="preserve"> </w:t>
      </w:r>
      <w:r w:rsidR="00EB2DF0" w:rsidRPr="00A16C2A">
        <w:rPr>
          <w:rFonts w:ascii="Book Antiqua" w:eastAsia="Book Antiqua" w:hAnsi="Book Antiqua" w:cs="Book Antiqua"/>
          <w:color w:val="000000" w:themeColor="text1"/>
        </w:rPr>
        <w:t>conocida como “Ley del Día del Veterano de Vietnam”</w:t>
      </w:r>
      <w:r w:rsidRPr="007F2135">
        <w:rPr>
          <w:rFonts w:ascii="Book Antiqua" w:hAnsi="Book Antiqua"/>
        </w:rPr>
        <w:t xml:space="preserve"> para que lea como sigue: </w:t>
      </w:r>
    </w:p>
    <w:p w14:paraId="218BF0C2" w14:textId="77777777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“Artículo 2. </w:t>
      </w:r>
    </w:p>
    <w:p w14:paraId="10A0005F" w14:textId="5A52237E" w:rsidR="007F2135" w:rsidRPr="007F2135" w:rsidRDefault="007F2135" w:rsidP="007F2135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Se declara el día </w:t>
      </w:r>
      <w:r w:rsidRPr="00A16C2A">
        <w:rPr>
          <w:rFonts w:ascii="Book Antiqua" w:hAnsi="Book Antiqua"/>
        </w:rPr>
        <w:t xml:space="preserve">29 </w:t>
      </w:r>
      <w:r w:rsidRPr="007F2135">
        <w:rPr>
          <w:rFonts w:ascii="Book Antiqua" w:hAnsi="Book Antiqua"/>
        </w:rPr>
        <w:t xml:space="preserve">de marzo de cada año como “Día del Veterano de Vietnam”, en Puerto Rico. El Gobernador de Puerto Rico, mediante proclama y por lo menos diez (10) días de antelación al </w:t>
      </w:r>
      <w:r w:rsidRPr="00A16C2A">
        <w:rPr>
          <w:rFonts w:ascii="Book Antiqua" w:hAnsi="Book Antiqua"/>
        </w:rPr>
        <w:t>29</w:t>
      </w:r>
      <w:r w:rsidRPr="007F2135">
        <w:rPr>
          <w:rFonts w:ascii="Book Antiqua" w:hAnsi="Book Antiqua"/>
        </w:rPr>
        <w:t xml:space="preserve"> de marzo de cada año, recordará al pueblo puertorriqueño la importancia de las actividades propias que se deban llevar a cabo con motivo de la proclama.”</w:t>
      </w:r>
    </w:p>
    <w:bookmarkEnd w:id="0"/>
    <w:bookmarkEnd w:id="1"/>
    <w:p w14:paraId="653AFCD6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>Sección 3.- Disposiciones en Pugna Quedan sin Efecto.</w:t>
      </w:r>
    </w:p>
    <w:p w14:paraId="23028868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lastRenderedPageBreak/>
        <w:t>En los casos en que las disposiciones de esta Ley estén en pugna con las disposiciones de cualquier otra ley aprobada por la Asamblea Legislativa, prevalecerán las disposiciones de esta Ley a menos que las disposiciones de dicha otra ley enmienden alguna o todas las disposiciones de esta Ley.</w:t>
      </w:r>
    </w:p>
    <w:p w14:paraId="3337B3BB" w14:textId="062460BD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>Sección 4.-Cláusula de Separabilidad.</w:t>
      </w:r>
    </w:p>
    <w:p w14:paraId="7AF6DE61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 xml:space="preserve">Si cualquier cláusula, párrafo, artículo, sección, título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artículo, sección, título o parte de </w:t>
      </w:r>
      <w:proofErr w:type="gramStart"/>
      <w:r w:rsidRPr="007F2135">
        <w:rPr>
          <w:rFonts w:ascii="Book Antiqua" w:hAnsi="Book Antiqua"/>
          <w:color w:val="000000"/>
        </w:rPr>
        <w:t>la misma</w:t>
      </w:r>
      <w:proofErr w:type="gramEnd"/>
      <w:r w:rsidRPr="007F2135">
        <w:rPr>
          <w:rFonts w:ascii="Book Antiqua" w:hAnsi="Book Antiqua"/>
          <w:color w:val="000000"/>
        </w:rPr>
        <w:t xml:space="preserve"> que así hubiere sido declarada inconstitucional o defectuosa.</w:t>
      </w:r>
    </w:p>
    <w:p w14:paraId="6BBE1A15" w14:textId="3B4C917E" w:rsidR="007F2135" w:rsidRPr="007F2135" w:rsidRDefault="007F2135" w:rsidP="007F2135">
      <w:pPr>
        <w:spacing w:line="480" w:lineRule="auto"/>
        <w:ind w:firstLine="720"/>
        <w:jc w:val="both"/>
        <w:rPr>
          <w:rFonts w:ascii="Book Antiqua" w:eastAsia="Arial" w:hAnsi="Book Antiqua"/>
          <w:color w:val="000000"/>
        </w:rPr>
      </w:pPr>
      <w:r w:rsidRPr="007F2135">
        <w:rPr>
          <w:rFonts w:ascii="Book Antiqua" w:hAnsi="Book Antiqua"/>
          <w:color w:val="000000"/>
        </w:rPr>
        <w:t>Sección 5.-Vigencia</w:t>
      </w:r>
    </w:p>
    <w:p w14:paraId="79550695" w14:textId="72B4F3D5" w:rsidR="00FF2214" w:rsidRPr="0086430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7F2135">
        <w:rPr>
          <w:rFonts w:ascii="Book Antiqua" w:hAnsi="Book Antiqua"/>
          <w:color w:val="000000"/>
        </w:rPr>
        <w:t>Esta Ley comenzará a regir inmediatamente después de su aprobación.</w:t>
      </w:r>
    </w:p>
    <w:sectPr w:rsidR="00FF2214" w:rsidRPr="00864305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E2D5C" w14:textId="77777777" w:rsidR="00425710" w:rsidRPr="007F2135" w:rsidRDefault="00425710">
      <w:r w:rsidRPr="007F2135">
        <w:separator/>
      </w:r>
    </w:p>
  </w:endnote>
  <w:endnote w:type="continuationSeparator" w:id="0">
    <w:p w14:paraId="79F099AB" w14:textId="77777777" w:rsidR="00425710" w:rsidRPr="007F2135" w:rsidRDefault="00425710">
      <w:r w:rsidRPr="007F2135">
        <w:continuationSeparator/>
      </w:r>
    </w:p>
  </w:endnote>
  <w:endnote w:type="continuationNotice" w:id="1">
    <w:p w14:paraId="3B1D331F" w14:textId="77777777" w:rsidR="00425710" w:rsidRPr="007F2135" w:rsidRDefault="004257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9CD913F8-BAF1-4C50-9834-94C1D378BB3A}"/>
    <w:embedBold r:id="rId2" w:fontKey="{F228268F-185B-432C-9632-767A2C6E0A7D}"/>
    <w:embedItalic r:id="rId3" w:fontKey="{2033729C-EBFC-4052-BD6E-23A64E4DD19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B6A5079C-D4D3-4170-9F59-4BDBCB3C7A9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48A1E623-F811-4DF2-A337-352395F2B419}"/>
    <w:embedItalic r:id="rId6" w:fontKey="{5A4C7741-C49D-48C0-9429-1662C69A869E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1DD1799C-E6AC-4304-A992-2B2DAD934AD4}"/>
    <w:embedItalic r:id="rId8" w:fontKey="{4984CCA7-001F-46B2-BAC1-A678A087500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D1C9D554-B432-4592-A8F1-E304A93DEDB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63480AE8-50C0-4523-A748-5047B2DF47C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Pr="007F2135" w:rsidRDefault="00FF2214">
    <w:pPr>
      <w:widowControl w:val="0"/>
      <w:spacing w:line="276" w:lineRule="auto"/>
      <w:rPr>
        <w:color w:val="000000"/>
      </w:rPr>
    </w:pPr>
  </w:p>
  <w:p w14:paraId="795506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Pr="007F2135" w:rsidRDefault="00FF2214">
    <w:pPr>
      <w:widowControl w:val="0"/>
      <w:spacing w:line="276" w:lineRule="auto"/>
      <w:rPr>
        <w:color w:val="000000"/>
      </w:rPr>
    </w:pPr>
  </w:p>
  <w:p w14:paraId="795506A8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Pr="007F2135" w:rsidRDefault="00FF2214">
    <w:pPr>
      <w:widowControl w:val="0"/>
      <w:spacing w:line="276" w:lineRule="auto"/>
      <w:rPr>
        <w:color w:val="000000"/>
      </w:rPr>
    </w:pPr>
  </w:p>
  <w:p w14:paraId="1D6323BF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4359" w14:textId="77777777" w:rsidR="00425710" w:rsidRPr="007F2135" w:rsidRDefault="00425710">
      <w:r w:rsidRPr="007F2135">
        <w:separator/>
      </w:r>
    </w:p>
  </w:footnote>
  <w:footnote w:type="continuationSeparator" w:id="0">
    <w:p w14:paraId="167421D6" w14:textId="77777777" w:rsidR="00425710" w:rsidRPr="007F2135" w:rsidRDefault="00425710">
      <w:r w:rsidRPr="007F2135">
        <w:continuationSeparator/>
      </w:r>
    </w:p>
  </w:footnote>
  <w:footnote w:type="continuationNotice" w:id="1">
    <w:p w14:paraId="1AD15F26" w14:textId="77777777" w:rsidR="00425710" w:rsidRPr="007F2135" w:rsidRDefault="004257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Pr="007F2135" w:rsidRDefault="00850770">
    <w:pPr>
      <w:tabs>
        <w:tab w:val="center" w:pos="4320"/>
        <w:tab w:val="right" w:pos="8640"/>
      </w:tabs>
      <w:jc w:val="center"/>
      <w:rPr>
        <w:color w:val="000000"/>
      </w:rPr>
    </w:pPr>
    <w:r w:rsidRPr="007F2135">
      <w:rPr>
        <w:color w:val="000000"/>
      </w:rPr>
      <w:fldChar w:fldCharType="begin"/>
    </w:r>
    <w:r w:rsidRPr="007F2135">
      <w:rPr>
        <w:color w:val="000000"/>
      </w:rPr>
      <w:instrText>PAGE</w:instrText>
    </w:r>
    <w:r w:rsidRPr="007F2135">
      <w:rPr>
        <w:color w:val="000000"/>
      </w:rPr>
      <w:fldChar w:fldCharType="separate"/>
    </w:r>
    <w:r w:rsidRPr="007F2135">
      <w:rPr>
        <w:color w:val="000000"/>
      </w:rPr>
      <w:t>2</w:t>
    </w:r>
    <w:r w:rsidRPr="007F2135"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3309591A" w:rsidR="00FF2214" w:rsidRPr="007F2135" w:rsidRDefault="00850770">
    <w:pPr>
      <w:tabs>
        <w:tab w:val="center" w:pos="4320"/>
        <w:tab w:val="right" w:pos="8640"/>
      </w:tabs>
      <w:jc w:val="right"/>
      <w:rPr>
        <w:color w:val="000000"/>
      </w:rPr>
    </w:pPr>
    <w:r w:rsidRPr="007F2135">
      <w:rPr>
        <w:color w:val="000000"/>
      </w:rPr>
      <w:t>A-0</w:t>
    </w:r>
    <w:r w:rsidR="00864305" w:rsidRPr="007F2135">
      <w:rPr>
        <w:color w:val="000000"/>
      </w:rPr>
      <w:t>41</w:t>
    </w:r>
  </w:p>
  <w:p w14:paraId="795506A2" w14:textId="1A036CB6" w:rsidR="00FF2214" w:rsidRPr="007F2135" w:rsidRDefault="00FF2214" w:rsidP="00D2351A">
    <w:pPr>
      <w:tabs>
        <w:tab w:val="left" w:pos="3600"/>
        <w:tab w:val="center" w:pos="4320"/>
        <w:tab w:val="right" w:pos="8640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9"/>
  </w:num>
  <w:num w:numId="4" w16cid:durableId="1106316835">
    <w:abstractNumId w:val="15"/>
  </w:num>
  <w:num w:numId="5" w16cid:durableId="455106598">
    <w:abstractNumId w:val="13"/>
  </w:num>
  <w:num w:numId="6" w16cid:durableId="175340939">
    <w:abstractNumId w:val="1"/>
  </w:num>
  <w:num w:numId="7" w16cid:durableId="1854225982">
    <w:abstractNumId w:val="16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7"/>
  </w:num>
  <w:num w:numId="15" w16cid:durableId="478498451">
    <w:abstractNumId w:val="8"/>
  </w:num>
  <w:num w:numId="16" w16cid:durableId="46998239">
    <w:abstractNumId w:val="18"/>
  </w:num>
  <w:num w:numId="17" w16cid:durableId="275597364">
    <w:abstractNumId w:val="2"/>
  </w:num>
  <w:num w:numId="18" w16cid:durableId="1162702400">
    <w:abstractNumId w:val="5"/>
  </w:num>
  <w:num w:numId="19" w16cid:durableId="2055156664">
    <w:abstractNumId w:val="12"/>
  </w:num>
  <w:num w:numId="20" w16cid:durableId="11214619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189E"/>
    <w:rsid w:val="0001793B"/>
    <w:rsid w:val="00022FC4"/>
    <w:rsid w:val="00027C66"/>
    <w:rsid w:val="00032F6A"/>
    <w:rsid w:val="00040CAA"/>
    <w:rsid w:val="00047EC4"/>
    <w:rsid w:val="000502AE"/>
    <w:rsid w:val="00056D71"/>
    <w:rsid w:val="00057EF4"/>
    <w:rsid w:val="0007036F"/>
    <w:rsid w:val="000741B3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0F5BFE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22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10FDD"/>
    <w:rsid w:val="00311003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062D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03990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3CAF"/>
    <w:rsid w:val="00437135"/>
    <w:rsid w:val="00437DC4"/>
    <w:rsid w:val="004403A8"/>
    <w:rsid w:val="00444257"/>
    <w:rsid w:val="00452649"/>
    <w:rsid w:val="00461FBD"/>
    <w:rsid w:val="00462353"/>
    <w:rsid w:val="00462BEA"/>
    <w:rsid w:val="00465256"/>
    <w:rsid w:val="004674AD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E8"/>
    <w:rsid w:val="005427F8"/>
    <w:rsid w:val="00543529"/>
    <w:rsid w:val="00546040"/>
    <w:rsid w:val="00552C7A"/>
    <w:rsid w:val="00556C43"/>
    <w:rsid w:val="005640D7"/>
    <w:rsid w:val="0056577A"/>
    <w:rsid w:val="005666B8"/>
    <w:rsid w:val="00573345"/>
    <w:rsid w:val="0057336F"/>
    <w:rsid w:val="00573C36"/>
    <w:rsid w:val="0057614A"/>
    <w:rsid w:val="00576725"/>
    <w:rsid w:val="00580739"/>
    <w:rsid w:val="00591957"/>
    <w:rsid w:val="005A3527"/>
    <w:rsid w:val="005A5C2E"/>
    <w:rsid w:val="005B3512"/>
    <w:rsid w:val="005B3BBD"/>
    <w:rsid w:val="005B7046"/>
    <w:rsid w:val="005C3826"/>
    <w:rsid w:val="005C3AFC"/>
    <w:rsid w:val="005C7524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4DA6"/>
    <w:rsid w:val="00612C54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82FA1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2A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1C20"/>
    <w:rsid w:val="0073352B"/>
    <w:rsid w:val="00736EAA"/>
    <w:rsid w:val="00740BAC"/>
    <w:rsid w:val="00753E10"/>
    <w:rsid w:val="00755AEC"/>
    <w:rsid w:val="00755DDC"/>
    <w:rsid w:val="0076079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300B"/>
    <w:rsid w:val="007D76E0"/>
    <w:rsid w:val="007E368D"/>
    <w:rsid w:val="007F2135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45CA4"/>
    <w:rsid w:val="00850770"/>
    <w:rsid w:val="008574AE"/>
    <w:rsid w:val="00864305"/>
    <w:rsid w:val="008670BC"/>
    <w:rsid w:val="008720A6"/>
    <w:rsid w:val="00881D48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71D18"/>
    <w:rsid w:val="00975B0E"/>
    <w:rsid w:val="009833D3"/>
    <w:rsid w:val="009927E5"/>
    <w:rsid w:val="009A0ED5"/>
    <w:rsid w:val="009A46A4"/>
    <w:rsid w:val="009B47BF"/>
    <w:rsid w:val="009D1C75"/>
    <w:rsid w:val="009D3FB2"/>
    <w:rsid w:val="009D5726"/>
    <w:rsid w:val="009D61E3"/>
    <w:rsid w:val="009D7450"/>
    <w:rsid w:val="009D79EC"/>
    <w:rsid w:val="009E36AA"/>
    <w:rsid w:val="009F15AE"/>
    <w:rsid w:val="009F3C51"/>
    <w:rsid w:val="00A02203"/>
    <w:rsid w:val="00A04577"/>
    <w:rsid w:val="00A11BAB"/>
    <w:rsid w:val="00A16C2A"/>
    <w:rsid w:val="00A1720E"/>
    <w:rsid w:val="00A22039"/>
    <w:rsid w:val="00A23051"/>
    <w:rsid w:val="00A23CBE"/>
    <w:rsid w:val="00A258A5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A6534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E55A0"/>
    <w:rsid w:val="00AF19DC"/>
    <w:rsid w:val="00AF26DE"/>
    <w:rsid w:val="00B00227"/>
    <w:rsid w:val="00B01686"/>
    <w:rsid w:val="00B02CD9"/>
    <w:rsid w:val="00B03F2F"/>
    <w:rsid w:val="00B06AA7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06961"/>
    <w:rsid w:val="00C13DC9"/>
    <w:rsid w:val="00C25487"/>
    <w:rsid w:val="00C32AB8"/>
    <w:rsid w:val="00C32AF1"/>
    <w:rsid w:val="00C33CEB"/>
    <w:rsid w:val="00C361CD"/>
    <w:rsid w:val="00C57448"/>
    <w:rsid w:val="00C635EB"/>
    <w:rsid w:val="00C71782"/>
    <w:rsid w:val="00C8076C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EE1"/>
    <w:rsid w:val="00D21E5F"/>
    <w:rsid w:val="00D2351A"/>
    <w:rsid w:val="00D24065"/>
    <w:rsid w:val="00D312C4"/>
    <w:rsid w:val="00D42696"/>
    <w:rsid w:val="00D43E19"/>
    <w:rsid w:val="00D50765"/>
    <w:rsid w:val="00D50CD3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1D11"/>
    <w:rsid w:val="00E03053"/>
    <w:rsid w:val="00E05064"/>
    <w:rsid w:val="00E138E0"/>
    <w:rsid w:val="00E142DA"/>
    <w:rsid w:val="00E22AE3"/>
    <w:rsid w:val="00E22CE1"/>
    <w:rsid w:val="00E2741C"/>
    <w:rsid w:val="00E30811"/>
    <w:rsid w:val="00E31356"/>
    <w:rsid w:val="00E45E9B"/>
    <w:rsid w:val="00E64141"/>
    <w:rsid w:val="00E65583"/>
    <w:rsid w:val="00E67017"/>
    <w:rsid w:val="00E673B7"/>
    <w:rsid w:val="00E702EC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0D65"/>
    <w:rsid w:val="00EB2DF0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6B71"/>
    <w:rsid w:val="00F245C1"/>
    <w:rsid w:val="00F27415"/>
    <w:rsid w:val="00F3308A"/>
    <w:rsid w:val="00F36138"/>
    <w:rsid w:val="00F3720D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58BD"/>
    <w:rsid w:val="00FA0CB1"/>
    <w:rsid w:val="00FA11F4"/>
    <w:rsid w:val="00FA76A0"/>
    <w:rsid w:val="00FB470E"/>
    <w:rsid w:val="00FB77D5"/>
    <w:rsid w:val="00FD065B"/>
    <w:rsid w:val="00FD093E"/>
    <w:rsid w:val="00FE2D53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Carlos Y. Rosado Cruz</cp:lastModifiedBy>
  <cp:revision>7</cp:revision>
  <cp:lastPrinted>2025-05-09T17:01:00Z</cp:lastPrinted>
  <dcterms:created xsi:type="dcterms:W3CDTF">2025-05-05T19:56:00Z</dcterms:created>
  <dcterms:modified xsi:type="dcterms:W3CDTF">2025-05-09T17:02:00Z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