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822A92" w:rsidRDefault="00850770">
      <w:pPr>
        <w:jc w:val="center"/>
        <w:rPr>
          <w:rFonts w:ascii="Book Antiqua" w:eastAsia="Book Antiqua" w:hAnsi="Book Antiqua" w:cs="Book Antiqua"/>
          <w:bCs/>
          <w:color w:val="000000" w:themeColor="text1"/>
          <w:sz w:val="28"/>
          <w:szCs w:val="28"/>
        </w:rPr>
      </w:pPr>
      <w:r w:rsidRPr="00822A92">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822A92">
        <w:rPr>
          <w:rFonts w:ascii="Book Antiqua" w:eastAsia="Book Antiqua" w:hAnsi="Book Antiqua" w:cs="Book Antiqua"/>
          <w:bCs/>
          <w:color w:val="000000" w:themeColor="text1"/>
          <w:sz w:val="28"/>
          <w:szCs w:val="28"/>
        </w:rPr>
        <w:t>PUERTO RICO</w:t>
      </w:r>
    </w:p>
    <w:p w14:paraId="79550657" w14:textId="77777777" w:rsidR="00FF2214" w:rsidRPr="00864305" w:rsidRDefault="00FF2214">
      <w:pPr>
        <w:jc w:val="center"/>
        <w:rPr>
          <w:rFonts w:ascii="Book Antiqua" w:eastAsia="Book Antiqua" w:hAnsi="Book Antiqua" w:cs="Book Antiqua"/>
          <w:color w:val="000000" w:themeColor="text1"/>
        </w:rPr>
      </w:pPr>
    </w:p>
    <w:p w14:paraId="79550658" w14:textId="77777777" w:rsidR="00FF2214" w:rsidRPr="00864305" w:rsidRDefault="00850770">
      <w:pPr>
        <w:tabs>
          <w:tab w:val="left" w:pos="648"/>
          <w:tab w:val="right" w:pos="7776"/>
          <w:tab w:val="left" w:pos="7848"/>
        </w:tabs>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 xml:space="preserve">20 </w:t>
      </w:r>
      <w:r w:rsidRPr="00864305">
        <w:rPr>
          <w:rFonts w:ascii="Book Antiqua" w:eastAsia="Book Antiqua" w:hAnsi="Book Antiqua" w:cs="Book Antiqua"/>
          <w:color w:val="000000" w:themeColor="text1"/>
          <w:vertAlign w:val="superscript"/>
        </w:rPr>
        <w:t>ma.</w:t>
      </w:r>
      <w:r w:rsidRPr="00864305">
        <w:rPr>
          <w:rFonts w:ascii="Book Antiqua" w:eastAsia="Book Antiqua" w:hAnsi="Book Antiqua" w:cs="Book Antiqua"/>
          <w:color w:val="000000" w:themeColor="text1"/>
        </w:rPr>
        <w:tab/>
        <w:t>Asamblea</w:t>
      </w:r>
      <w:r w:rsidRPr="00864305">
        <w:rPr>
          <w:rFonts w:ascii="Book Antiqua" w:eastAsia="Book Antiqua" w:hAnsi="Book Antiqua" w:cs="Book Antiqua"/>
          <w:color w:val="000000" w:themeColor="text1"/>
        </w:rPr>
        <w:tab/>
        <w:t>1</w:t>
      </w:r>
      <w:r w:rsidRPr="00864305">
        <w:rPr>
          <w:rFonts w:ascii="Book Antiqua" w:eastAsia="Book Antiqua" w:hAnsi="Book Antiqua" w:cs="Book Antiqua"/>
          <w:color w:val="000000" w:themeColor="text1"/>
          <w:vertAlign w:val="superscript"/>
        </w:rPr>
        <w:t>ra.</w:t>
      </w:r>
      <w:r w:rsidRPr="00864305">
        <w:rPr>
          <w:rFonts w:ascii="Book Antiqua" w:eastAsia="Book Antiqua" w:hAnsi="Book Antiqua" w:cs="Book Antiqua"/>
          <w:color w:val="000000" w:themeColor="text1"/>
          <w:vertAlign w:val="superscript"/>
        </w:rPr>
        <w:tab/>
      </w:r>
      <w:r w:rsidRPr="00864305">
        <w:rPr>
          <w:rFonts w:ascii="Book Antiqua" w:eastAsia="Book Antiqua" w:hAnsi="Book Antiqua" w:cs="Book Antiqua"/>
          <w:color w:val="000000" w:themeColor="text1"/>
        </w:rPr>
        <w:t>Sesión</w:t>
      </w:r>
    </w:p>
    <w:p w14:paraId="79550659" w14:textId="77777777" w:rsidR="00FF2214" w:rsidRPr="00864305" w:rsidRDefault="00850770">
      <w:pPr>
        <w:tabs>
          <w:tab w:val="left" w:pos="648"/>
          <w:tab w:val="right" w:pos="7776"/>
          <w:tab w:val="left" w:pos="7848"/>
        </w:tabs>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ab/>
        <w:t>Legislativa</w:t>
      </w:r>
      <w:r w:rsidRPr="00864305">
        <w:rPr>
          <w:rFonts w:ascii="Book Antiqua" w:eastAsia="Book Antiqua" w:hAnsi="Book Antiqua" w:cs="Book Antiqua"/>
          <w:color w:val="000000" w:themeColor="text1"/>
        </w:rPr>
        <w:tab/>
      </w:r>
      <w:r w:rsidRPr="00864305">
        <w:rPr>
          <w:rFonts w:ascii="Book Antiqua" w:eastAsia="Book Antiqua" w:hAnsi="Book Antiqua" w:cs="Book Antiqua"/>
          <w:color w:val="000000" w:themeColor="text1"/>
        </w:rPr>
        <w:tab/>
        <w:t>Ordinaria</w:t>
      </w:r>
    </w:p>
    <w:p w14:paraId="7955065A" w14:textId="77777777" w:rsidR="00FF2214" w:rsidRPr="00864305" w:rsidRDefault="00FF2214">
      <w:pPr>
        <w:rPr>
          <w:rFonts w:ascii="Book Antiqua" w:eastAsia="Book Antiqua" w:hAnsi="Book Antiqua" w:cs="Book Antiqua"/>
          <w:color w:val="000000" w:themeColor="text1"/>
        </w:rPr>
      </w:pPr>
    </w:p>
    <w:p w14:paraId="32A931BE" w14:textId="77777777" w:rsidR="00950505" w:rsidRPr="00864305" w:rsidRDefault="00950505" w:rsidP="00950505">
      <w:pPr>
        <w:jc w:val="center"/>
        <w:rPr>
          <w:rFonts w:ascii="Book Antiqua" w:hAnsi="Book Antiqua"/>
          <w:b/>
          <w:color w:val="000000" w:themeColor="text1"/>
          <w:sz w:val="36"/>
          <w:szCs w:val="36"/>
        </w:rPr>
      </w:pPr>
      <w:r w:rsidRPr="00864305">
        <w:rPr>
          <w:rFonts w:ascii="Book Antiqua" w:hAnsi="Book Antiqua"/>
          <w:b/>
          <w:color w:val="000000" w:themeColor="text1"/>
          <w:sz w:val="36"/>
          <w:szCs w:val="36"/>
        </w:rPr>
        <w:t>CÁMARA DE REPRESENTANTES</w:t>
      </w:r>
    </w:p>
    <w:p w14:paraId="1FE61380" w14:textId="77777777" w:rsidR="00950505" w:rsidRPr="00864305" w:rsidRDefault="00950505" w:rsidP="00950505">
      <w:pPr>
        <w:jc w:val="center"/>
        <w:rPr>
          <w:rFonts w:ascii="Book Antiqua" w:hAnsi="Book Antiqua"/>
          <w:color w:val="000000" w:themeColor="text1"/>
        </w:rPr>
      </w:pPr>
    </w:p>
    <w:p w14:paraId="5886E84B" w14:textId="76980D18" w:rsidR="00950505" w:rsidRPr="00864305" w:rsidRDefault="00950505" w:rsidP="00950505">
      <w:pPr>
        <w:jc w:val="center"/>
        <w:rPr>
          <w:rFonts w:ascii="Book Antiqua" w:hAnsi="Book Antiqua"/>
          <w:b/>
          <w:color w:val="000000" w:themeColor="text1"/>
          <w:sz w:val="52"/>
          <w:szCs w:val="52"/>
        </w:rPr>
      </w:pPr>
      <w:r w:rsidRPr="00864305">
        <w:rPr>
          <w:rFonts w:ascii="Book Antiqua" w:hAnsi="Book Antiqua"/>
          <w:b/>
          <w:color w:val="000000" w:themeColor="text1"/>
          <w:sz w:val="52"/>
          <w:szCs w:val="52"/>
        </w:rPr>
        <w:t>P. de la C.</w:t>
      </w:r>
      <w:r w:rsidR="00782572">
        <w:rPr>
          <w:rFonts w:ascii="Book Antiqua" w:hAnsi="Book Antiqua"/>
          <w:b/>
          <w:color w:val="000000" w:themeColor="text1"/>
          <w:sz w:val="52"/>
          <w:szCs w:val="52"/>
        </w:rPr>
        <w:t xml:space="preserve"> 487</w:t>
      </w:r>
    </w:p>
    <w:p w14:paraId="4A8A7A6F" w14:textId="77777777" w:rsidR="00950505" w:rsidRPr="00864305" w:rsidRDefault="00950505" w:rsidP="00950505">
      <w:pPr>
        <w:jc w:val="center"/>
        <w:rPr>
          <w:rFonts w:ascii="Book Antiqua" w:hAnsi="Book Antiqua"/>
          <w:color w:val="000000" w:themeColor="text1"/>
        </w:rPr>
      </w:pPr>
    </w:p>
    <w:p w14:paraId="3D87D176" w14:textId="3558E38B" w:rsidR="00950505" w:rsidRPr="00864305" w:rsidRDefault="00782572" w:rsidP="00950505">
      <w:pPr>
        <w:jc w:val="center"/>
        <w:rPr>
          <w:rFonts w:ascii="Book Antiqua" w:hAnsi="Book Antiqua"/>
          <w:b/>
          <w:color w:val="000000" w:themeColor="text1"/>
          <w:sz w:val="48"/>
        </w:rPr>
      </w:pPr>
      <w:r>
        <w:rPr>
          <w:rFonts w:ascii="Book Antiqua" w:hAnsi="Book Antiqua"/>
          <w:color w:val="000000" w:themeColor="text1"/>
        </w:rPr>
        <w:t xml:space="preserve">3 </w:t>
      </w:r>
      <w:r w:rsidR="00822A92">
        <w:rPr>
          <w:rFonts w:ascii="Book Antiqua" w:hAnsi="Book Antiqua"/>
          <w:color w:val="000000" w:themeColor="text1"/>
        </w:rPr>
        <w:t>DE ABRIL DE</w:t>
      </w:r>
      <w:r w:rsidR="00950505" w:rsidRPr="00864305">
        <w:rPr>
          <w:rFonts w:ascii="Book Antiqua" w:hAnsi="Book Antiqua"/>
          <w:color w:val="000000" w:themeColor="text1"/>
        </w:rPr>
        <w:t xml:space="preserve"> 2025</w:t>
      </w:r>
    </w:p>
    <w:p w14:paraId="1E7B6D3E" w14:textId="77777777" w:rsidR="00950505" w:rsidRPr="00864305" w:rsidRDefault="00950505" w:rsidP="00950505">
      <w:pPr>
        <w:jc w:val="center"/>
        <w:rPr>
          <w:rFonts w:ascii="Book Antiqua" w:hAnsi="Book Antiqua"/>
          <w:color w:val="000000" w:themeColor="text1"/>
        </w:rPr>
      </w:pPr>
    </w:p>
    <w:p w14:paraId="001AA10B" w14:textId="2748EA1A" w:rsidR="00950505" w:rsidRPr="00864305" w:rsidRDefault="00950505" w:rsidP="00B00227">
      <w:pPr>
        <w:ind w:left="810" w:hanging="810"/>
        <w:jc w:val="both"/>
        <w:rPr>
          <w:rFonts w:ascii="Book Antiqua" w:eastAsia="Aptos" w:hAnsi="Book Antiqua"/>
          <w:i/>
          <w:iCs/>
          <w:kern w:val="2"/>
          <w14:ligatures w14:val="standardContextual"/>
        </w:rPr>
      </w:pPr>
      <w:r w:rsidRPr="00864305">
        <w:rPr>
          <w:rFonts w:ascii="Book Antiqua" w:hAnsi="Book Antiqua"/>
          <w:color w:val="000000" w:themeColor="text1"/>
        </w:rPr>
        <w:t xml:space="preserve">Presentado </w:t>
      </w:r>
      <w:r w:rsidR="00B02CD9" w:rsidRPr="00864305">
        <w:rPr>
          <w:rFonts w:ascii="Book Antiqua" w:eastAsia="Book Antiqua" w:hAnsi="Book Antiqua" w:cs="Book Antiqua"/>
          <w:color w:val="000000" w:themeColor="text1"/>
        </w:rPr>
        <w:t xml:space="preserve">por </w:t>
      </w:r>
      <w:r w:rsidR="00B02CD9" w:rsidRPr="00864305">
        <w:rPr>
          <w:rFonts w:ascii="Book Antiqua" w:hAnsi="Book Antiqua"/>
        </w:rPr>
        <w:t xml:space="preserve">el representante </w:t>
      </w:r>
      <w:r w:rsidR="00B02CD9" w:rsidRPr="00864305">
        <w:rPr>
          <w:rFonts w:ascii="Book Antiqua" w:hAnsi="Book Antiqua"/>
          <w:i/>
          <w:iCs/>
        </w:rPr>
        <w:t xml:space="preserve">Méndez Núñez;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Lebrón Rodríguez;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Peña Ramírez, Torres Zamora, Román López, Aponte Hernández, Carlo Acosta, </w:t>
      </w:r>
      <w:proofErr w:type="spellStart"/>
      <w:r w:rsidR="00B02CD9" w:rsidRPr="00864305">
        <w:rPr>
          <w:rFonts w:ascii="Book Antiqua" w:eastAsia="Aptos" w:hAnsi="Book Antiqua"/>
          <w:i/>
          <w:iCs/>
          <w:kern w:val="2"/>
          <w14:ligatures w14:val="standardContextual"/>
        </w:rPr>
        <w:t>Charbonier</w:t>
      </w:r>
      <w:proofErr w:type="spellEnd"/>
      <w:r w:rsidR="00B02CD9" w:rsidRPr="00864305">
        <w:rPr>
          <w:rFonts w:ascii="Book Antiqua" w:eastAsia="Aptos" w:hAnsi="Book Antiqua"/>
          <w:i/>
          <w:iCs/>
          <w:kern w:val="2"/>
          <w14:ligatures w14:val="standardContextual"/>
        </w:rPr>
        <w:t xml:space="preserve"> Chinea, Colón Rodríguez;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del Valle Correa;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Estévez Vélez, </w:t>
      </w:r>
      <w:proofErr w:type="spellStart"/>
      <w:r w:rsidR="00B02CD9" w:rsidRPr="00864305">
        <w:rPr>
          <w:rFonts w:ascii="Book Antiqua" w:eastAsia="Aptos" w:hAnsi="Book Antiqua"/>
          <w:i/>
          <w:iCs/>
          <w:kern w:val="2"/>
          <w14:ligatures w14:val="standardContextual"/>
        </w:rPr>
        <w:t>Franqui</w:t>
      </w:r>
      <w:proofErr w:type="spellEnd"/>
      <w:r w:rsidR="00B02CD9" w:rsidRPr="00864305">
        <w:rPr>
          <w:rFonts w:ascii="Book Antiqua" w:eastAsia="Aptos" w:hAnsi="Book Antiqua"/>
          <w:i/>
          <w:iCs/>
          <w:kern w:val="2"/>
          <w14:ligatures w14:val="standardContextual"/>
        </w:rPr>
        <w:t xml:space="preserve"> </w:t>
      </w:r>
      <w:proofErr w:type="spellStart"/>
      <w:r w:rsidR="00B02CD9" w:rsidRPr="00864305">
        <w:rPr>
          <w:rFonts w:ascii="Book Antiqua" w:eastAsia="Aptos" w:hAnsi="Book Antiqua"/>
          <w:i/>
          <w:iCs/>
          <w:kern w:val="2"/>
          <w14:ligatures w14:val="standardContextual"/>
        </w:rPr>
        <w:t>Atiles</w:t>
      </w:r>
      <w:proofErr w:type="spellEnd"/>
      <w:r w:rsidR="00B02CD9" w:rsidRPr="00864305">
        <w:rPr>
          <w:rFonts w:ascii="Book Antiqua" w:eastAsia="Aptos" w:hAnsi="Book Antiqua"/>
          <w:i/>
          <w:iCs/>
          <w:kern w:val="2"/>
          <w14:ligatures w14:val="standardContextual"/>
        </w:rPr>
        <w:t xml:space="preserve">;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González Aguayo, González </w:t>
      </w:r>
      <w:proofErr w:type="spellStart"/>
      <w:r w:rsidR="00B02CD9" w:rsidRPr="00864305">
        <w:rPr>
          <w:rFonts w:ascii="Book Antiqua" w:eastAsia="Aptos" w:hAnsi="Book Antiqua"/>
          <w:i/>
          <w:iCs/>
          <w:kern w:val="2"/>
          <w14:ligatures w14:val="standardContextual"/>
        </w:rPr>
        <w:t>González</w:t>
      </w:r>
      <w:proofErr w:type="spellEnd"/>
      <w:r w:rsidR="00B02CD9" w:rsidRPr="00864305">
        <w:rPr>
          <w:rFonts w:ascii="Book Antiqua" w:eastAsia="Aptos" w:hAnsi="Book Antiqua"/>
          <w:i/>
          <w:iCs/>
          <w:kern w:val="2"/>
          <w14:ligatures w14:val="standardContextual"/>
        </w:rPr>
        <w:t xml:space="preserve">;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Hernández Concepción, Jiménez Torres;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Martínez Vázquez, Medina Calderón;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w:t>
      </w:r>
      <w:proofErr w:type="spellStart"/>
      <w:r w:rsidR="00B02CD9" w:rsidRPr="00864305">
        <w:rPr>
          <w:rFonts w:ascii="Book Antiqua" w:eastAsia="Aptos" w:hAnsi="Book Antiqua"/>
          <w:i/>
          <w:iCs/>
          <w:kern w:val="2"/>
          <w14:ligatures w14:val="standardContextual"/>
        </w:rPr>
        <w:t>Morey</w:t>
      </w:r>
      <w:proofErr w:type="spellEnd"/>
      <w:r w:rsidR="00B02CD9" w:rsidRPr="00864305">
        <w:rPr>
          <w:rFonts w:ascii="Book Antiqua" w:eastAsia="Aptos" w:hAnsi="Book Antiqua"/>
          <w:i/>
          <w:iCs/>
          <w:kern w:val="2"/>
          <w14:ligatures w14:val="standardContextual"/>
        </w:rPr>
        <w:t xml:space="preserve"> Noble, Muriel Sánchez, Navarro Suárez, Nieves, Rosario, Ocasio Ramos, Pacheco Burgos, Parés Otero;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Peña Dávila;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Pérez Cordero, Pérez Ortiz;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Pérez Ramírez, Ramos Rivera;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Robles Rivera, Rodríguez Aguiló, Rodríguez Torres, Roque Gracia, Sanabria Colón </w:t>
      </w:r>
      <w:r w:rsidR="00B02CD9" w:rsidRPr="00822A92">
        <w:rPr>
          <w:rFonts w:ascii="Book Antiqua" w:eastAsia="Aptos" w:hAnsi="Book Antiqua"/>
          <w:kern w:val="2"/>
          <w14:ligatures w14:val="standardContextual"/>
        </w:rPr>
        <w:t>y</w:t>
      </w:r>
      <w:r w:rsidR="00B02CD9" w:rsidRPr="00864305">
        <w:rPr>
          <w:rFonts w:ascii="Book Antiqua" w:eastAsia="Aptos" w:hAnsi="Book Antiqua"/>
          <w:i/>
          <w:iCs/>
          <w:kern w:val="2"/>
          <w14:ligatures w14:val="standardContextual"/>
        </w:rPr>
        <w:t xml:space="preserve"> Santiago Guzmán</w:t>
      </w:r>
    </w:p>
    <w:p w14:paraId="18A0DB58" w14:textId="77777777" w:rsidR="00950505" w:rsidRPr="00864305" w:rsidRDefault="00950505" w:rsidP="00950505">
      <w:pPr>
        <w:jc w:val="center"/>
        <w:rPr>
          <w:rFonts w:ascii="Book Antiqua" w:hAnsi="Book Antiqua"/>
          <w:color w:val="000000" w:themeColor="text1"/>
        </w:rPr>
      </w:pPr>
    </w:p>
    <w:p w14:paraId="6E0B8939" w14:textId="02972EFC" w:rsidR="00950505" w:rsidRPr="00864305" w:rsidRDefault="00950505" w:rsidP="00950505">
      <w:pPr>
        <w:jc w:val="center"/>
        <w:rPr>
          <w:rFonts w:ascii="Book Antiqua" w:hAnsi="Book Antiqua"/>
          <w:color w:val="000000" w:themeColor="text1"/>
        </w:rPr>
      </w:pPr>
      <w:r w:rsidRPr="00864305">
        <w:rPr>
          <w:rFonts w:ascii="Book Antiqua" w:hAnsi="Book Antiqua"/>
          <w:color w:val="000000" w:themeColor="text1"/>
        </w:rPr>
        <w:t>Referido a</w:t>
      </w:r>
      <w:r w:rsidR="00481E60">
        <w:rPr>
          <w:rFonts w:ascii="Book Antiqua" w:hAnsi="Book Antiqua"/>
          <w:color w:val="000000" w:themeColor="text1"/>
        </w:rPr>
        <w:t xml:space="preserve"> la Comisión de Seguridad Pública</w:t>
      </w:r>
    </w:p>
    <w:p w14:paraId="4B9C3823" w14:textId="77777777" w:rsidR="00950505" w:rsidRPr="00864305" w:rsidRDefault="00950505" w:rsidP="00950505">
      <w:pPr>
        <w:jc w:val="both"/>
        <w:rPr>
          <w:rFonts w:ascii="Book Antiqua" w:hAnsi="Book Antiqua"/>
          <w:color w:val="000000" w:themeColor="text1"/>
        </w:rPr>
      </w:pPr>
    </w:p>
    <w:p w14:paraId="43228070" w14:textId="77777777" w:rsidR="00950505" w:rsidRPr="00864305" w:rsidRDefault="00950505" w:rsidP="00950505">
      <w:pPr>
        <w:jc w:val="center"/>
        <w:rPr>
          <w:rFonts w:ascii="Book Antiqua" w:hAnsi="Book Antiqua"/>
          <w:b/>
          <w:color w:val="000000" w:themeColor="text1"/>
          <w:sz w:val="28"/>
        </w:rPr>
      </w:pPr>
      <w:r w:rsidRPr="00864305">
        <w:rPr>
          <w:rFonts w:ascii="Book Antiqua" w:hAnsi="Book Antiqua"/>
          <w:b/>
          <w:color w:val="000000" w:themeColor="text1"/>
          <w:sz w:val="28"/>
        </w:rPr>
        <w:t>LEY</w:t>
      </w:r>
    </w:p>
    <w:p w14:paraId="79550663" w14:textId="77777777" w:rsidR="00FF2214" w:rsidRPr="00864305" w:rsidRDefault="00FF2214">
      <w:pPr>
        <w:jc w:val="both"/>
        <w:rPr>
          <w:rFonts w:ascii="Book Antiqua" w:eastAsia="Book Antiqua" w:hAnsi="Book Antiqua" w:cs="Book Antiqua"/>
          <w:color w:val="000000" w:themeColor="text1"/>
        </w:rPr>
      </w:pPr>
    </w:p>
    <w:p w14:paraId="6F84EFB6" w14:textId="2B50277E" w:rsidR="00864305" w:rsidRPr="00864305" w:rsidRDefault="00850770" w:rsidP="00864305">
      <w:pPr>
        <w:ind w:left="540" w:hanging="540"/>
        <w:jc w:val="both"/>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Para</w:t>
      </w:r>
      <w:r w:rsidR="00E45E9B" w:rsidRPr="00864305">
        <w:rPr>
          <w:rFonts w:ascii="Book Antiqua" w:eastAsia="Book Antiqua" w:hAnsi="Book Antiqua" w:cs="Book Antiqua"/>
          <w:color w:val="000000" w:themeColor="text1"/>
        </w:rPr>
        <w:t xml:space="preserve"> </w:t>
      </w:r>
      <w:r w:rsidR="00927794">
        <w:rPr>
          <w:rFonts w:ascii="Book Antiqua" w:eastAsia="Book Antiqua" w:hAnsi="Book Antiqua" w:cs="Book Antiqua"/>
          <w:color w:val="000000"/>
        </w:rPr>
        <w:t xml:space="preserve">enmendar el </w:t>
      </w:r>
      <w:r w:rsidR="00350AF5">
        <w:rPr>
          <w:rFonts w:ascii="Book Antiqua" w:eastAsia="Book Antiqua" w:hAnsi="Book Antiqua" w:cs="Book Antiqua"/>
          <w:color w:val="000000"/>
        </w:rPr>
        <w:t xml:space="preserve"> </w:t>
      </w:r>
      <w:r w:rsidR="00927794">
        <w:rPr>
          <w:rFonts w:ascii="Book Antiqua" w:eastAsia="Book Antiqua" w:hAnsi="Book Antiqua" w:cs="Book Antiqua"/>
          <w:color w:val="000000"/>
        </w:rPr>
        <w:t>Artículo 7.04</w:t>
      </w:r>
      <w:r w:rsidR="00927794" w:rsidRPr="00567D10">
        <w:rPr>
          <w:rFonts w:ascii="Book Antiqua" w:eastAsia="Book Antiqua" w:hAnsi="Book Antiqua" w:cs="Book Antiqua"/>
          <w:color w:val="000000"/>
        </w:rPr>
        <w:t>(a)</w:t>
      </w:r>
      <w:r w:rsidR="00927794">
        <w:rPr>
          <w:rFonts w:ascii="Book Antiqua" w:eastAsia="Book Antiqua" w:hAnsi="Book Antiqua" w:cs="Book Antiqua"/>
          <w:color w:val="000000"/>
        </w:rPr>
        <w:t xml:space="preserve"> de la Ley Núm. 20 </w:t>
      </w:r>
      <w:r w:rsidR="002C779B">
        <w:rPr>
          <w:rFonts w:ascii="Book Antiqua" w:eastAsia="Book Antiqua" w:hAnsi="Book Antiqua" w:cs="Book Antiqua"/>
          <w:color w:val="000000"/>
        </w:rPr>
        <w:t>-</w:t>
      </w:r>
      <w:r w:rsidR="00927794">
        <w:rPr>
          <w:rFonts w:ascii="Book Antiqua" w:eastAsia="Book Antiqua" w:hAnsi="Book Antiqua" w:cs="Book Antiqua"/>
          <w:color w:val="000000"/>
        </w:rPr>
        <w:t xml:space="preserve"> 2017, según enmendada, conocida como “Ley del Departamento de Seguridad Pública de Puerto Rico”</w:t>
      </w:r>
      <w:r w:rsidR="00567D10">
        <w:rPr>
          <w:rFonts w:ascii="Book Antiqua" w:eastAsia="Book Antiqua" w:hAnsi="Book Antiqua" w:cs="Book Antiqua"/>
          <w:i/>
          <w:iCs/>
          <w:color w:val="000000"/>
          <w:u w:val="single"/>
        </w:rPr>
        <w:t xml:space="preserve">; los Artículos 8 y 19 de la Ley Núm. 121-2019, según enmendada, conocida como” </w:t>
      </w:r>
      <w:r w:rsidR="00567D10" w:rsidRPr="00567D10">
        <w:rPr>
          <w:rFonts w:ascii="Book Antiqua" w:eastAsia="Book Antiqua" w:hAnsi="Book Antiqua" w:cs="Book Antiqua"/>
          <w:i/>
          <w:iCs/>
          <w:color w:val="000000"/>
          <w:u w:val="single"/>
        </w:rPr>
        <w:t>Carta de Derechos y la Política Pública del Gobierno a Favor de los Adultos Mayores</w:t>
      </w:r>
      <w:r w:rsidR="00567D10">
        <w:rPr>
          <w:rFonts w:ascii="Book Antiqua" w:eastAsia="Book Antiqua" w:hAnsi="Book Antiqua" w:cs="Book Antiqua"/>
          <w:i/>
          <w:iCs/>
          <w:color w:val="000000"/>
          <w:u w:val="single"/>
        </w:rPr>
        <w:t>”</w:t>
      </w:r>
      <w:r w:rsidR="00927794">
        <w:rPr>
          <w:rFonts w:ascii="Book Antiqua" w:eastAsia="Book Antiqua" w:hAnsi="Book Antiqua" w:cs="Book Antiqua"/>
          <w:color w:val="000000"/>
        </w:rPr>
        <w:t xml:space="preserve">, </w:t>
      </w:r>
      <w:r w:rsidR="00927794" w:rsidRPr="00567D10">
        <w:rPr>
          <w:rFonts w:ascii="Book Antiqua" w:eastAsia="Book Antiqua" w:hAnsi="Book Antiqua" w:cs="Book Antiqua"/>
          <w:strike/>
          <w:color w:val="000000"/>
        </w:rPr>
        <w:t>para añadir un nuevo inciso 20</w:t>
      </w:r>
      <w:r w:rsidR="00927794">
        <w:rPr>
          <w:rFonts w:ascii="Book Antiqua" w:eastAsia="Book Antiqua" w:hAnsi="Book Antiqua" w:cs="Book Antiqua"/>
          <w:color w:val="000000"/>
        </w:rPr>
        <w:t xml:space="preserve"> a los fines de disponer que el Negociado de Investigaciones Especiales, tendrá jurisdicción concurrente para investigar casos de explotación financiera de adultos mayores en los que estén involucrados personal de un establecimiento residencial, hogar sustituto o institución dedicada al cuido de adultos mayores durante las veinticuatro (24) horas del día o parte de éstas</w:t>
      </w:r>
      <w:r w:rsidR="00927794" w:rsidRPr="00567D10">
        <w:rPr>
          <w:rFonts w:ascii="Book Antiqua" w:eastAsia="Book Antiqua" w:hAnsi="Book Antiqua" w:cs="Book Antiqua"/>
          <w:color w:val="000000"/>
        </w:rPr>
        <w:t>;</w:t>
      </w:r>
      <w:r w:rsidR="00350AF5">
        <w:rPr>
          <w:rFonts w:ascii="Book Antiqua" w:eastAsia="Book Antiqua" w:hAnsi="Book Antiqua" w:cs="Book Antiqua"/>
          <w:color w:val="000000"/>
        </w:rPr>
        <w:t xml:space="preserve"> </w:t>
      </w:r>
      <w:r w:rsidR="00927794">
        <w:rPr>
          <w:rFonts w:ascii="Book Antiqua" w:eastAsia="Book Antiqua" w:hAnsi="Book Antiqua" w:cs="Book Antiqua"/>
          <w:color w:val="000000"/>
        </w:rPr>
        <w:t>y</w:t>
      </w:r>
      <w:r w:rsidR="00350AF5">
        <w:rPr>
          <w:rFonts w:ascii="Book Antiqua" w:eastAsia="Book Antiqua" w:hAnsi="Book Antiqua" w:cs="Book Antiqua"/>
          <w:color w:val="000000"/>
        </w:rPr>
        <w:t xml:space="preserve"> </w:t>
      </w:r>
      <w:r w:rsidR="00927794">
        <w:rPr>
          <w:rFonts w:ascii="Book Antiqua" w:eastAsia="Book Antiqua" w:hAnsi="Book Antiqua" w:cs="Book Antiqua"/>
          <w:color w:val="000000"/>
        </w:rPr>
        <w:t>para otros fines relacionados.</w:t>
      </w:r>
    </w:p>
    <w:p w14:paraId="0E56D835" w14:textId="77777777" w:rsidR="00440E5C" w:rsidRDefault="00440E5C" w:rsidP="00440E5C">
      <w:pPr>
        <w:rPr>
          <w:rFonts w:ascii="Book Antiqua" w:eastAsia="Book Antiqua" w:hAnsi="Book Antiqua" w:cs="Book Antiqua"/>
          <w:bCs/>
          <w:color w:val="000000" w:themeColor="text1"/>
        </w:rPr>
      </w:pPr>
    </w:p>
    <w:p w14:paraId="3268273D" w14:textId="77777777" w:rsidR="00440E5C" w:rsidRDefault="00440E5C" w:rsidP="00864305">
      <w:pPr>
        <w:ind w:left="540" w:hanging="540"/>
        <w:jc w:val="center"/>
        <w:rPr>
          <w:rFonts w:ascii="Book Antiqua" w:eastAsia="Book Antiqua" w:hAnsi="Book Antiqua" w:cs="Book Antiqua"/>
          <w:bCs/>
          <w:color w:val="000000" w:themeColor="text1"/>
        </w:rPr>
      </w:pPr>
    </w:p>
    <w:p w14:paraId="43FCDCF4" w14:textId="77777777" w:rsidR="00440E5C" w:rsidRDefault="00440E5C" w:rsidP="00864305">
      <w:pPr>
        <w:ind w:left="540" w:hanging="540"/>
        <w:jc w:val="center"/>
        <w:rPr>
          <w:rFonts w:ascii="Book Antiqua" w:eastAsia="Book Antiqua" w:hAnsi="Book Antiqua" w:cs="Book Antiqua"/>
          <w:bCs/>
          <w:color w:val="000000" w:themeColor="text1"/>
        </w:rPr>
      </w:pPr>
    </w:p>
    <w:p w14:paraId="04874C96" w14:textId="77777777" w:rsidR="00440E5C" w:rsidRDefault="00440E5C" w:rsidP="00864305">
      <w:pPr>
        <w:ind w:left="540" w:hanging="540"/>
        <w:jc w:val="center"/>
        <w:rPr>
          <w:rFonts w:ascii="Book Antiqua" w:eastAsia="Book Antiqua" w:hAnsi="Book Antiqua" w:cs="Book Antiqua"/>
          <w:bCs/>
          <w:color w:val="000000" w:themeColor="text1"/>
        </w:rPr>
      </w:pPr>
    </w:p>
    <w:p w14:paraId="249D67DE" w14:textId="56B54E3D" w:rsidR="005A5C2E" w:rsidRDefault="00850770" w:rsidP="00864305">
      <w:pPr>
        <w:ind w:left="540" w:hanging="540"/>
        <w:jc w:val="center"/>
        <w:rPr>
          <w:rFonts w:ascii="Book Antiqua" w:eastAsia="Book Antiqua" w:hAnsi="Book Antiqua" w:cs="Book Antiqua"/>
          <w:bCs/>
          <w:color w:val="000000" w:themeColor="text1"/>
        </w:rPr>
      </w:pPr>
      <w:r w:rsidRPr="00864305">
        <w:rPr>
          <w:rFonts w:ascii="Book Antiqua" w:eastAsia="Book Antiqua" w:hAnsi="Book Antiqua" w:cs="Book Antiqua"/>
          <w:bCs/>
          <w:color w:val="000000" w:themeColor="text1"/>
        </w:rPr>
        <w:lastRenderedPageBreak/>
        <w:t>EXPOSICIÓN DE MOTIVOS</w:t>
      </w:r>
    </w:p>
    <w:p w14:paraId="794DD707" w14:textId="77777777" w:rsidR="00864305" w:rsidRPr="00864305" w:rsidRDefault="00864305" w:rsidP="00864305">
      <w:pPr>
        <w:ind w:left="540" w:hanging="540"/>
        <w:jc w:val="center"/>
        <w:rPr>
          <w:rFonts w:ascii="Book Antiqua" w:eastAsia="Book Antiqua" w:hAnsi="Book Antiqua" w:cs="Book Antiqua"/>
          <w:bCs/>
          <w:color w:val="000000" w:themeColor="text1"/>
        </w:rPr>
      </w:pPr>
    </w:p>
    <w:p w14:paraId="737EC285" w14:textId="77777777" w:rsidR="00927794" w:rsidRDefault="00927794" w:rsidP="00927794">
      <w:pPr>
        <w:jc w:val="both"/>
        <w:rPr>
          <w:rFonts w:ascii="Book Antiqua" w:hAnsi="Book Antiqua" w:cs="Poppins"/>
        </w:rPr>
      </w:pPr>
      <w:r>
        <w:rPr>
          <w:rFonts w:ascii="Book Antiqua" w:hAnsi="Book Antiqua" w:cs="Poppins"/>
        </w:rPr>
        <w:t xml:space="preserve">La promulgación de políticas públicas, deben estar acompañadas de un alto grado de sensibilidad y empatía, especialmente cuando se trata de sectores vulnerables como lo son nuestros adultos mayores. Nuestro gobierno, tiene un compromiso programático con proteger a esta población, más aún cuando hemos sido testigos del aumento en casos de explotación financiera hacia ellos. </w:t>
      </w:r>
    </w:p>
    <w:p w14:paraId="60F961EC" w14:textId="77777777" w:rsidR="00927794" w:rsidRDefault="00927794" w:rsidP="00927794">
      <w:pPr>
        <w:jc w:val="both"/>
        <w:rPr>
          <w:rFonts w:ascii="Book Antiqua" w:hAnsi="Book Antiqua" w:cs="Poppins"/>
        </w:rPr>
      </w:pPr>
    </w:p>
    <w:p w14:paraId="5A2E9371" w14:textId="77777777" w:rsidR="00927794" w:rsidRDefault="00927794" w:rsidP="00927794">
      <w:pPr>
        <w:jc w:val="both"/>
        <w:rPr>
          <w:rFonts w:ascii="Book Antiqua" w:hAnsi="Book Antiqua" w:cs="Poppins"/>
        </w:rPr>
      </w:pPr>
      <w:r>
        <w:rPr>
          <w:rFonts w:ascii="Book Antiqua" w:hAnsi="Book Antiqua" w:cs="Poppins"/>
        </w:rPr>
        <w:t xml:space="preserve">La Ley 121-2019, según enmendada, conocida como “Carta de Derechos y la Política Pública del Gobierno a Favor de los Adultos Mayores”, define “explotación financiera” como “el uso impropio de los fondos, de la propiedad, o de los recursos de un adulto mayor por otra persona, incluyendo, pero no limitándose a, fraude, falsas pretensiones, malversaciones de fondos, conspiración, falsificación de documentos, falsificación de expedientes o récords, coerción, transferencia de propiedad, o negación de acceso a bienes”. </w:t>
      </w:r>
    </w:p>
    <w:p w14:paraId="47DB47CB" w14:textId="77777777" w:rsidR="00927794" w:rsidRDefault="00927794" w:rsidP="00927794">
      <w:pPr>
        <w:jc w:val="both"/>
        <w:rPr>
          <w:rFonts w:ascii="Book Antiqua" w:hAnsi="Book Antiqua" w:cs="Poppins"/>
        </w:rPr>
      </w:pPr>
    </w:p>
    <w:p w14:paraId="425E063F" w14:textId="77777777" w:rsidR="00927794" w:rsidRDefault="00927794" w:rsidP="00927794">
      <w:pPr>
        <w:jc w:val="both"/>
        <w:rPr>
          <w:rFonts w:ascii="Book Antiqua" w:hAnsi="Book Antiqua" w:cs="Poppins"/>
        </w:rPr>
      </w:pPr>
      <w:r>
        <w:rPr>
          <w:rFonts w:ascii="Book Antiqua" w:hAnsi="Book Antiqua" w:cs="Poppins"/>
        </w:rPr>
        <w:t>Actualmente han aumentado los números de querellas de maltrato a adultos mayores donde se destacan la negligencia y la explotación financiera, y los delitos de apropiación ilegal y el fraude. En el 2019, el Departamento de la Familia recibió cerca de 8,500 referidos de maltrato de adultos mayores; el año pasado, sobrepasaron los 13,200 referidos. Desafortunadamente, los hijos y miembros de la familia son los responsables más comunes en este tipo de casos.</w:t>
      </w:r>
    </w:p>
    <w:p w14:paraId="2C226E03" w14:textId="77777777" w:rsidR="00927794" w:rsidRDefault="00927794" w:rsidP="00927794">
      <w:pPr>
        <w:ind w:left="21" w:right="35"/>
        <w:jc w:val="both"/>
        <w:rPr>
          <w:rFonts w:ascii="Book Antiqua" w:eastAsia="Book Antiqua" w:hAnsi="Book Antiqua" w:cs="Book Antiqua"/>
          <w:color w:val="000000"/>
        </w:rPr>
      </w:pPr>
    </w:p>
    <w:p w14:paraId="3FE33BBC" w14:textId="77777777" w:rsidR="00927794" w:rsidRDefault="00927794" w:rsidP="00927794">
      <w:pPr>
        <w:ind w:left="21" w:right="35"/>
        <w:jc w:val="both"/>
        <w:rPr>
          <w:rFonts w:ascii="Book Antiqua" w:eastAsia="Book Antiqua" w:hAnsi="Book Antiqua" w:cs="Book Antiqua"/>
          <w:color w:val="000000"/>
        </w:rPr>
      </w:pPr>
      <w:r>
        <w:rPr>
          <w:rFonts w:ascii="Book Antiqua" w:eastAsia="Book Antiqua" w:hAnsi="Book Antiqua" w:cs="Book Antiqua"/>
          <w:color w:val="000000"/>
        </w:rPr>
        <w:t>Ante esta problemática, resulta necesario tomar acciones concretas con miras a la prevención e implementación de la legislación vigente. Esta Asamblea Legislativa reconoce la importancia que tiene la población de adultos mayores, y el asegurarle la tranquilidad en esta etapa de su vida. Por ello, considera meritorio aprobar toda legislación necesaria, que redunde en fortalecer las entidades del estado que puedan sumarse en los procesos investigativos, en aquellos casos de explotación financiera de adultos mayores.</w:t>
      </w:r>
    </w:p>
    <w:p w14:paraId="0B77828D" w14:textId="77777777" w:rsidR="00927794" w:rsidRDefault="00927794" w:rsidP="00927794">
      <w:pPr>
        <w:ind w:left="21" w:right="35" w:firstLine="699"/>
        <w:jc w:val="both"/>
        <w:rPr>
          <w:rFonts w:ascii="Book Antiqua" w:eastAsia="Book Antiqua" w:hAnsi="Book Antiqua" w:cs="Book Antiqua"/>
          <w:color w:val="000000"/>
        </w:rPr>
      </w:pPr>
    </w:p>
    <w:p w14:paraId="7955066D" w14:textId="77777777" w:rsidR="00FF2214" w:rsidRPr="00864305" w:rsidRDefault="00850770">
      <w:pPr>
        <w:spacing w:line="480" w:lineRule="auto"/>
        <w:jc w:val="both"/>
        <w:rPr>
          <w:rFonts w:ascii="Book Antiqua" w:eastAsia="Book Antiqua" w:hAnsi="Book Antiqua" w:cs="Book Antiqua"/>
          <w:i/>
          <w:color w:val="000000" w:themeColor="text1"/>
        </w:rPr>
        <w:sectPr w:rsidR="00FF2214" w:rsidRPr="0086430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864305">
        <w:rPr>
          <w:rFonts w:ascii="Book Antiqua" w:eastAsia="Book Antiqua" w:hAnsi="Book Antiqua" w:cs="Book Antiqua"/>
          <w:i/>
          <w:color w:val="000000" w:themeColor="text1"/>
        </w:rPr>
        <w:t>DECRÉTASE POR LA ASAMBLEA LEGISLATIVA DE PUERTO RICO:</w:t>
      </w:r>
    </w:p>
    <w:p w14:paraId="0A259F98" w14:textId="0B47F6F7" w:rsidR="00927794" w:rsidRDefault="00927794" w:rsidP="00927794">
      <w:pPr>
        <w:pStyle w:val="BodyText"/>
        <w:spacing w:line="480" w:lineRule="auto"/>
        <w:ind w:firstLine="720"/>
        <w:rPr>
          <w:rFonts w:ascii="Book Antiqua" w:hAnsi="Book Antiqua"/>
        </w:rPr>
      </w:pPr>
      <w:bookmarkStart w:id="0" w:name="_Hlk189832381"/>
      <w:bookmarkStart w:id="1" w:name="{20D8}"/>
      <w:r>
        <w:rPr>
          <w:rFonts w:ascii="Book Antiqua" w:hAnsi="Book Antiqua"/>
        </w:rPr>
        <w:t>Sección 1.- Se enmienda el Artículo 7.04 de la Ley Núm. 20</w:t>
      </w:r>
      <w:r w:rsidR="002C779B">
        <w:rPr>
          <w:rFonts w:ascii="Book Antiqua" w:hAnsi="Book Antiqua"/>
        </w:rPr>
        <w:t>-</w:t>
      </w:r>
      <w:r>
        <w:rPr>
          <w:rFonts w:ascii="Book Antiqua" w:hAnsi="Book Antiqua"/>
        </w:rPr>
        <w:t>2017, según enmendada, para que se lea como sigue:</w:t>
      </w:r>
    </w:p>
    <w:p w14:paraId="606849FB" w14:textId="77777777" w:rsidR="00927794" w:rsidRDefault="00927794" w:rsidP="00927794">
      <w:pPr>
        <w:pStyle w:val="BodyText"/>
        <w:spacing w:line="480" w:lineRule="auto"/>
        <w:ind w:firstLine="720"/>
        <w:rPr>
          <w:rFonts w:ascii="Book Antiqua" w:hAnsi="Book Antiqua"/>
        </w:rPr>
      </w:pPr>
      <w:r>
        <w:rPr>
          <w:rFonts w:ascii="Book Antiqua" w:hAnsi="Book Antiqua"/>
        </w:rPr>
        <w:t>“</w:t>
      </w:r>
      <w:bookmarkEnd w:id="0"/>
      <w:bookmarkEnd w:id="1"/>
      <w:r>
        <w:rPr>
          <w:rFonts w:ascii="Book Antiqua" w:hAnsi="Book Antiqua"/>
        </w:rPr>
        <w:t>Artículo 7.04. — Negociado de Investigaciones Especiales; Jurisdicción.</w:t>
      </w:r>
    </w:p>
    <w:p w14:paraId="1BEB1221" w14:textId="77777777" w:rsidR="00927794" w:rsidRDefault="00927794" w:rsidP="00927794">
      <w:pPr>
        <w:pStyle w:val="BodyText"/>
        <w:numPr>
          <w:ilvl w:val="0"/>
          <w:numId w:val="21"/>
        </w:numPr>
        <w:spacing w:line="480" w:lineRule="auto"/>
        <w:rPr>
          <w:rFonts w:ascii="Book Antiqua" w:hAnsi="Book Antiqua"/>
        </w:rPr>
      </w:pPr>
      <w:r>
        <w:rPr>
          <w:rFonts w:ascii="Book Antiqua" w:hAnsi="Book Antiqua"/>
        </w:rPr>
        <w:t>El Negociado de Investigaciones Especiales tendrá jurisdicción concurrente sobre los siguientes asuntos:</w:t>
      </w:r>
    </w:p>
    <w:p w14:paraId="24233DB4" w14:textId="77777777" w:rsidR="00927794" w:rsidRDefault="00927794" w:rsidP="00927794">
      <w:pPr>
        <w:pStyle w:val="BodyText"/>
        <w:numPr>
          <w:ilvl w:val="0"/>
          <w:numId w:val="22"/>
        </w:numPr>
        <w:spacing w:line="480" w:lineRule="auto"/>
        <w:rPr>
          <w:rFonts w:ascii="Book Antiqua" w:hAnsi="Book Antiqua"/>
        </w:rPr>
      </w:pPr>
      <w:r>
        <w:rPr>
          <w:rFonts w:ascii="Book Antiqua" w:hAnsi="Book Antiqua"/>
        </w:rPr>
        <w:lastRenderedPageBreak/>
        <w:t>Actividad criminal continúa relacionada al narcotráfico, incluyendo el tráfico ilegal de medicamentos controlados y el tráfico de armas;</w:t>
      </w:r>
    </w:p>
    <w:p w14:paraId="7702E154" w14:textId="77777777" w:rsidR="00927794" w:rsidRDefault="00927794" w:rsidP="00927794">
      <w:pPr>
        <w:pStyle w:val="BodyText"/>
        <w:spacing w:line="480" w:lineRule="auto"/>
        <w:ind w:firstLine="720"/>
        <w:rPr>
          <w:rFonts w:ascii="Book Antiqua" w:hAnsi="Book Antiqua"/>
        </w:rPr>
      </w:pPr>
      <w:r>
        <w:rPr>
          <w:rFonts w:ascii="Book Antiqua" w:hAnsi="Book Antiqua"/>
        </w:rPr>
        <w:t xml:space="preserve"> </w:t>
      </w:r>
      <w:r>
        <w:rPr>
          <w:rFonts w:ascii="Book Antiqua" w:hAnsi="Book Antiqua"/>
        </w:rPr>
        <w:tab/>
        <w:t>…</w:t>
      </w:r>
    </w:p>
    <w:p w14:paraId="448B4389" w14:textId="77777777" w:rsidR="00927794" w:rsidRDefault="00927794" w:rsidP="00927794">
      <w:pPr>
        <w:pStyle w:val="BodyText"/>
        <w:spacing w:line="480" w:lineRule="auto"/>
        <w:ind w:firstLine="720"/>
        <w:rPr>
          <w:rFonts w:ascii="Book Antiqua" w:hAnsi="Book Antiqua"/>
        </w:rPr>
      </w:pPr>
      <w:r>
        <w:rPr>
          <w:rFonts w:ascii="Book Antiqua" w:hAnsi="Book Antiqua"/>
        </w:rPr>
        <w:tab/>
        <w:t>…</w:t>
      </w:r>
    </w:p>
    <w:p w14:paraId="2DAAA787" w14:textId="77777777" w:rsidR="00927794" w:rsidRDefault="00927794" w:rsidP="00927794">
      <w:pPr>
        <w:pStyle w:val="BodyText"/>
        <w:spacing w:line="480" w:lineRule="auto"/>
        <w:ind w:firstLine="720"/>
        <w:rPr>
          <w:rFonts w:ascii="Book Antiqua" w:hAnsi="Book Antiqua"/>
        </w:rPr>
      </w:pPr>
      <w:r>
        <w:rPr>
          <w:rFonts w:ascii="Book Antiqua" w:hAnsi="Book Antiqua"/>
        </w:rPr>
        <w:tab/>
        <w:t>…</w:t>
      </w:r>
    </w:p>
    <w:p w14:paraId="06E9A7D5" w14:textId="77777777" w:rsidR="00927794" w:rsidRDefault="00927794" w:rsidP="00927794">
      <w:pPr>
        <w:pStyle w:val="BodyText"/>
        <w:spacing w:line="480" w:lineRule="auto"/>
        <w:ind w:left="1440"/>
        <w:rPr>
          <w:rFonts w:ascii="Book Antiqua" w:hAnsi="Book Antiqua"/>
          <w:i/>
          <w:iCs/>
        </w:rPr>
      </w:pPr>
      <w:r>
        <w:rPr>
          <w:rFonts w:ascii="Book Antiqua" w:hAnsi="Book Antiqua"/>
          <w:i/>
          <w:iCs/>
        </w:rPr>
        <w:t>20.  Casos de explotación financiera de adultos mayores en los que estén involucrados personal de un establecimiento residencial, hogar sustituto, o instituciones dedicadas al cuido de adultos mayores durante las veinticuatro (24) horas del día o parte de éstas.</w:t>
      </w:r>
    </w:p>
    <w:p w14:paraId="4CD85C49" w14:textId="77777777" w:rsidR="00927794" w:rsidRDefault="00927794" w:rsidP="00927794">
      <w:pPr>
        <w:pStyle w:val="BodyText"/>
        <w:numPr>
          <w:ilvl w:val="0"/>
          <w:numId w:val="21"/>
        </w:numPr>
        <w:spacing w:line="480" w:lineRule="auto"/>
        <w:rPr>
          <w:rFonts w:ascii="Book Antiqua" w:hAnsi="Book Antiqua"/>
        </w:rPr>
      </w:pPr>
      <w:r>
        <w:rPr>
          <w:rFonts w:ascii="Book Antiqua" w:hAnsi="Book Antiqua"/>
        </w:rPr>
        <w:t>El Negociado de Investigaciones Especiales tendrá jurisdicción exclusiva para investigar los siguientes casos:</w:t>
      </w:r>
    </w:p>
    <w:p w14:paraId="2359486B" w14:textId="77777777" w:rsidR="00927794" w:rsidRDefault="00927794" w:rsidP="00927794">
      <w:pPr>
        <w:pStyle w:val="BodyText"/>
        <w:spacing w:line="480" w:lineRule="auto"/>
        <w:ind w:left="720"/>
        <w:rPr>
          <w:rFonts w:ascii="Book Antiqua" w:hAnsi="Book Antiqua"/>
        </w:rPr>
      </w:pPr>
      <w:r>
        <w:rPr>
          <w:rFonts w:ascii="Book Antiqua" w:hAnsi="Book Antiqua"/>
        </w:rPr>
        <w:t>…</w:t>
      </w:r>
    </w:p>
    <w:p w14:paraId="333BF9ED" w14:textId="77777777" w:rsidR="00927794" w:rsidRDefault="00927794" w:rsidP="00927794">
      <w:pPr>
        <w:pStyle w:val="BodyText"/>
        <w:spacing w:line="480" w:lineRule="auto"/>
        <w:ind w:left="720"/>
        <w:rPr>
          <w:rFonts w:ascii="Book Antiqua" w:hAnsi="Book Antiqua"/>
          <w:strike/>
        </w:rPr>
      </w:pPr>
      <w:r>
        <w:rPr>
          <w:rFonts w:ascii="Book Antiqua" w:hAnsi="Book Antiqua"/>
        </w:rPr>
        <w:t>…</w:t>
      </w:r>
      <w:r w:rsidRPr="00EB117D">
        <w:rPr>
          <w:rFonts w:ascii="Book Antiqua" w:hAnsi="Book Antiqua"/>
        </w:rPr>
        <w:t>”</w:t>
      </w:r>
    </w:p>
    <w:p w14:paraId="4F2137EC" w14:textId="3B2739B9" w:rsidR="00EB117D" w:rsidRDefault="00A134AB" w:rsidP="00927794">
      <w:pPr>
        <w:pStyle w:val="BodyText"/>
        <w:spacing w:line="480" w:lineRule="auto"/>
        <w:ind w:firstLine="720"/>
        <w:rPr>
          <w:rFonts w:ascii="Book Antiqua" w:hAnsi="Book Antiqua"/>
          <w:i/>
          <w:iCs/>
          <w:u w:val="single"/>
        </w:rPr>
      </w:pPr>
      <w:r>
        <w:rPr>
          <w:rFonts w:ascii="Book Antiqua" w:hAnsi="Book Antiqua"/>
          <w:i/>
          <w:iCs/>
          <w:u w:val="single"/>
        </w:rPr>
        <w:t xml:space="preserve">Sección 2.- Se enmienda el Artículo 8 de la </w:t>
      </w:r>
      <w:r w:rsidRPr="00A134AB">
        <w:rPr>
          <w:rFonts w:ascii="Book Antiqua" w:hAnsi="Book Antiqua"/>
          <w:i/>
          <w:iCs/>
          <w:u w:val="single"/>
        </w:rPr>
        <w:t>Ley 121-2019, según enmendada</w:t>
      </w:r>
      <w:r>
        <w:rPr>
          <w:rFonts w:ascii="Book Antiqua" w:hAnsi="Book Antiqua"/>
          <w:i/>
          <w:iCs/>
          <w:u w:val="single"/>
        </w:rPr>
        <w:t>, para que lea como sigue:</w:t>
      </w:r>
    </w:p>
    <w:p w14:paraId="62A214F8" w14:textId="40261508" w:rsidR="00A134AB" w:rsidRPr="009712E9" w:rsidRDefault="00A134AB" w:rsidP="00927794">
      <w:pPr>
        <w:pStyle w:val="BodyText"/>
        <w:spacing w:line="480" w:lineRule="auto"/>
        <w:ind w:firstLine="720"/>
        <w:rPr>
          <w:rFonts w:ascii="Book Antiqua" w:hAnsi="Book Antiqua"/>
          <w:u w:val="single"/>
        </w:rPr>
      </w:pPr>
      <w:r>
        <w:rPr>
          <w:rFonts w:ascii="Book Antiqua" w:hAnsi="Book Antiqua"/>
          <w:i/>
          <w:iCs/>
          <w:u w:val="single"/>
        </w:rPr>
        <w:t>“</w:t>
      </w:r>
      <w:r w:rsidRPr="009712E9">
        <w:rPr>
          <w:rFonts w:ascii="Book Antiqua" w:hAnsi="Book Antiqua"/>
          <w:u w:val="single"/>
        </w:rPr>
        <w:t>Artículo 8.- Responsabilidades y Coordinación con otros componentes del Gobierno</w:t>
      </w:r>
    </w:p>
    <w:p w14:paraId="643B6313" w14:textId="740CFE99" w:rsidR="00A134AB" w:rsidRPr="009712E9" w:rsidRDefault="00A134AB" w:rsidP="00A134AB">
      <w:pPr>
        <w:pStyle w:val="BodyText"/>
        <w:spacing w:line="480" w:lineRule="auto"/>
        <w:ind w:firstLine="720"/>
        <w:rPr>
          <w:rFonts w:ascii="Book Antiqua" w:hAnsi="Book Antiqua"/>
          <w:u w:val="single"/>
        </w:rPr>
      </w:pPr>
      <w:r w:rsidRPr="009712E9">
        <w:rPr>
          <w:rFonts w:ascii="Book Antiqua" w:hAnsi="Book Antiqua"/>
          <w:u w:val="single"/>
        </w:rPr>
        <w:t xml:space="preserve">El Departamento de la Familia será el ente central en el aseguramiento del cumplimiento de la nueva legislación, con el apoyo y cooperación de las agencias e instrumentalidades del Gobierno. </w:t>
      </w:r>
    </w:p>
    <w:p w14:paraId="5554C7B6" w14:textId="77777777" w:rsidR="00A134AB" w:rsidRPr="009712E9" w:rsidRDefault="00A134AB" w:rsidP="00A134AB">
      <w:pPr>
        <w:pStyle w:val="BodyText"/>
        <w:spacing w:line="480" w:lineRule="auto"/>
        <w:ind w:firstLine="720"/>
        <w:rPr>
          <w:rFonts w:ascii="Book Antiqua" w:hAnsi="Book Antiqua"/>
          <w:u w:val="single"/>
        </w:rPr>
      </w:pPr>
      <w:r w:rsidRPr="009712E9">
        <w:rPr>
          <w:rFonts w:ascii="Book Antiqua" w:hAnsi="Book Antiqua"/>
          <w:u w:val="single"/>
        </w:rPr>
        <w:t>Serán colaboradores, además, en los propósitos de la nueva legislación:</w:t>
      </w:r>
    </w:p>
    <w:p w14:paraId="48C61852" w14:textId="54AF8C1F" w:rsidR="00A134AB" w:rsidRPr="009712E9" w:rsidRDefault="00A134AB" w:rsidP="00A134AB">
      <w:pPr>
        <w:pStyle w:val="BodyText"/>
        <w:numPr>
          <w:ilvl w:val="2"/>
          <w:numId w:val="21"/>
        </w:numPr>
        <w:spacing w:line="480" w:lineRule="auto"/>
        <w:rPr>
          <w:rFonts w:ascii="Book Antiqua" w:hAnsi="Book Antiqua"/>
          <w:u w:val="single"/>
        </w:rPr>
      </w:pPr>
      <w:r w:rsidRPr="009712E9">
        <w:rPr>
          <w:rFonts w:ascii="Book Antiqua" w:hAnsi="Book Antiqua"/>
          <w:u w:val="single"/>
        </w:rPr>
        <w:t>…</w:t>
      </w:r>
    </w:p>
    <w:p w14:paraId="3CDA212F" w14:textId="62CE7EBC" w:rsidR="00A134AB" w:rsidRPr="009712E9" w:rsidRDefault="00A134AB" w:rsidP="00A134AB">
      <w:pPr>
        <w:pStyle w:val="BodyText"/>
        <w:spacing w:line="480" w:lineRule="auto"/>
        <w:ind w:left="2160"/>
        <w:rPr>
          <w:rFonts w:ascii="Book Antiqua" w:hAnsi="Book Antiqua"/>
          <w:u w:val="single"/>
        </w:rPr>
      </w:pPr>
      <w:r w:rsidRPr="009712E9">
        <w:rPr>
          <w:rFonts w:ascii="Book Antiqua" w:hAnsi="Book Antiqua"/>
          <w:u w:val="single"/>
        </w:rPr>
        <w:lastRenderedPageBreak/>
        <w:t>…</w:t>
      </w:r>
    </w:p>
    <w:p w14:paraId="19AF7FEB" w14:textId="0D09B678" w:rsidR="00A134AB" w:rsidRPr="009712E9" w:rsidRDefault="00A134AB" w:rsidP="00927794">
      <w:pPr>
        <w:pStyle w:val="BodyText"/>
        <w:spacing w:line="480" w:lineRule="auto"/>
        <w:ind w:firstLine="720"/>
        <w:rPr>
          <w:rFonts w:ascii="Book Antiqua" w:hAnsi="Book Antiqua"/>
          <w:u w:val="single"/>
        </w:rPr>
      </w:pPr>
      <w:r w:rsidRPr="009712E9">
        <w:rPr>
          <w:rFonts w:ascii="Book Antiqua" w:hAnsi="Book Antiqua"/>
          <w:u w:val="single"/>
        </w:rPr>
        <w:t>Con el propósito de garantizar el fiel cumplimiento con la política pública establecida en esta ley, los municipios, las agencias y entidades del Gobierno le darán prioridad a todo caso de maltrato hacia una persona adulta mayor tan pronto advengan en conocimiento.</w:t>
      </w:r>
    </w:p>
    <w:p w14:paraId="213979CF" w14:textId="7608DE9B" w:rsidR="00A134AB" w:rsidRPr="009712E9" w:rsidRDefault="00A134AB" w:rsidP="00927794">
      <w:pPr>
        <w:pStyle w:val="BodyText"/>
        <w:spacing w:line="480" w:lineRule="auto"/>
        <w:ind w:firstLine="720"/>
        <w:rPr>
          <w:rFonts w:ascii="Book Antiqua" w:hAnsi="Book Antiqua"/>
          <w:u w:val="single"/>
        </w:rPr>
      </w:pPr>
      <w:r w:rsidRPr="009712E9">
        <w:rPr>
          <w:rFonts w:ascii="Book Antiqua" w:hAnsi="Book Antiqua"/>
          <w:u w:val="single"/>
        </w:rPr>
        <w:t>…</w:t>
      </w:r>
    </w:p>
    <w:p w14:paraId="4506C9E6" w14:textId="2953B44A" w:rsidR="00A134AB" w:rsidRPr="009712E9" w:rsidRDefault="00A134AB" w:rsidP="00A134AB">
      <w:pPr>
        <w:pStyle w:val="BodyText"/>
        <w:numPr>
          <w:ilvl w:val="0"/>
          <w:numId w:val="23"/>
        </w:numPr>
        <w:spacing w:line="480" w:lineRule="auto"/>
        <w:rPr>
          <w:rFonts w:ascii="Book Antiqua" w:hAnsi="Book Antiqua"/>
          <w:u w:val="single"/>
        </w:rPr>
      </w:pPr>
      <w:r w:rsidRPr="009712E9">
        <w:rPr>
          <w:rFonts w:ascii="Book Antiqua" w:hAnsi="Book Antiqua"/>
          <w:u w:val="single"/>
        </w:rPr>
        <w:t>Administración de Servicios de Salud Mental y Contra la Adicción hará lo siguiente:</w:t>
      </w:r>
    </w:p>
    <w:p w14:paraId="6E4415DB" w14:textId="3E337ADA" w:rsidR="00A134AB" w:rsidRPr="009712E9" w:rsidRDefault="00A134AB" w:rsidP="00A134AB">
      <w:pPr>
        <w:pStyle w:val="BodyText"/>
        <w:numPr>
          <w:ilvl w:val="0"/>
          <w:numId w:val="24"/>
        </w:numPr>
        <w:spacing w:line="480" w:lineRule="auto"/>
        <w:rPr>
          <w:rFonts w:ascii="Book Antiqua" w:hAnsi="Book Antiqua"/>
          <w:u w:val="single"/>
        </w:rPr>
      </w:pPr>
      <w:r w:rsidRPr="009712E9">
        <w:rPr>
          <w:rFonts w:ascii="Book Antiqua" w:hAnsi="Book Antiqua"/>
          <w:u w:val="single"/>
        </w:rPr>
        <w:t>…</w:t>
      </w:r>
    </w:p>
    <w:p w14:paraId="1B2FF2E9" w14:textId="11AD43FA" w:rsidR="00A134AB" w:rsidRPr="009712E9" w:rsidRDefault="00A134AB" w:rsidP="00A134AB">
      <w:pPr>
        <w:pStyle w:val="BodyText"/>
        <w:spacing w:line="480" w:lineRule="auto"/>
        <w:ind w:left="1440"/>
        <w:rPr>
          <w:rFonts w:ascii="Book Antiqua" w:hAnsi="Book Antiqua"/>
          <w:u w:val="single"/>
        </w:rPr>
      </w:pPr>
      <w:r w:rsidRPr="009712E9">
        <w:rPr>
          <w:rFonts w:ascii="Book Antiqua" w:hAnsi="Book Antiqua"/>
          <w:u w:val="single"/>
        </w:rPr>
        <w:t>…</w:t>
      </w:r>
    </w:p>
    <w:p w14:paraId="1599F86C" w14:textId="68E61842" w:rsidR="00A134AB" w:rsidRPr="009712E9" w:rsidRDefault="00A134AB" w:rsidP="00A134AB">
      <w:pPr>
        <w:pStyle w:val="BodyText"/>
        <w:spacing w:line="480" w:lineRule="auto"/>
        <w:rPr>
          <w:rFonts w:ascii="Book Antiqua" w:hAnsi="Book Antiqua"/>
          <w:u w:val="single"/>
        </w:rPr>
      </w:pPr>
      <w:r w:rsidRPr="009712E9">
        <w:rPr>
          <w:rFonts w:ascii="Book Antiqua" w:hAnsi="Book Antiqua"/>
        </w:rPr>
        <w:tab/>
      </w:r>
      <w:r w:rsidRPr="009712E9">
        <w:rPr>
          <w:rFonts w:ascii="Book Antiqua" w:hAnsi="Book Antiqua"/>
          <w:u w:val="single"/>
        </w:rPr>
        <w:t>…</w:t>
      </w:r>
    </w:p>
    <w:p w14:paraId="7DEDD0BC" w14:textId="77777777" w:rsidR="00A134AB" w:rsidRPr="009712E9" w:rsidRDefault="00A134AB" w:rsidP="00A134AB">
      <w:pPr>
        <w:pStyle w:val="BodyText"/>
        <w:spacing w:line="480" w:lineRule="auto"/>
        <w:rPr>
          <w:rFonts w:ascii="Book Antiqua" w:hAnsi="Book Antiqua"/>
          <w:u w:val="single"/>
        </w:rPr>
      </w:pPr>
      <w:r w:rsidRPr="009712E9">
        <w:rPr>
          <w:rFonts w:ascii="Book Antiqua" w:hAnsi="Book Antiqua"/>
        </w:rPr>
        <w:tab/>
      </w:r>
      <w:r w:rsidRPr="009712E9">
        <w:rPr>
          <w:rFonts w:ascii="Book Antiqua" w:hAnsi="Book Antiqua"/>
          <w:u w:val="single"/>
        </w:rPr>
        <w:t xml:space="preserve">(d) Departamento de Seguridad Pública hará lo siguiente: </w:t>
      </w:r>
    </w:p>
    <w:p w14:paraId="7A97A4DA" w14:textId="1CA841B7" w:rsidR="00A134AB" w:rsidRPr="009712E9" w:rsidRDefault="00A134AB" w:rsidP="00A971E3">
      <w:pPr>
        <w:pStyle w:val="BodyText"/>
        <w:spacing w:line="480" w:lineRule="auto"/>
        <w:ind w:left="720" w:firstLine="720"/>
        <w:rPr>
          <w:rFonts w:ascii="Book Antiqua" w:hAnsi="Book Antiqua"/>
          <w:u w:val="single"/>
        </w:rPr>
      </w:pPr>
      <w:r w:rsidRPr="009712E9">
        <w:rPr>
          <w:rFonts w:ascii="Book Antiqua" w:hAnsi="Book Antiqua"/>
          <w:u w:val="single"/>
        </w:rPr>
        <w:t>(1) Asistir y colaborar con el personal del Departamento de la Familia cuando la seguridad de estas se encuentre en riesgo y así lo solicite.</w:t>
      </w:r>
    </w:p>
    <w:p w14:paraId="541DA44D" w14:textId="57488FAD" w:rsidR="00A134AB" w:rsidRPr="009712E9" w:rsidRDefault="00A134AB" w:rsidP="00A971E3">
      <w:pPr>
        <w:pStyle w:val="BodyText"/>
        <w:spacing w:line="480" w:lineRule="auto"/>
        <w:ind w:left="720" w:firstLine="720"/>
        <w:rPr>
          <w:rFonts w:ascii="Book Antiqua" w:hAnsi="Book Antiqua"/>
          <w:u w:val="single"/>
        </w:rPr>
      </w:pPr>
      <w:r w:rsidRPr="009712E9">
        <w:rPr>
          <w:rFonts w:ascii="Book Antiqua" w:hAnsi="Book Antiqua"/>
          <w:u w:val="single"/>
        </w:rPr>
        <w:t>(</w:t>
      </w:r>
      <w:r w:rsidR="005652A6" w:rsidRPr="009712E9">
        <w:rPr>
          <w:rFonts w:ascii="Book Antiqua" w:hAnsi="Book Antiqua"/>
          <w:u w:val="single"/>
        </w:rPr>
        <w:t>2) …</w:t>
      </w:r>
    </w:p>
    <w:p w14:paraId="7482C447" w14:textId="662FEF22" w:rsidR="009712E9" w:rsidRPr="009712E9" w:rsidRDefault="009712E9" w:rsidP="00A971E3">
      <w:pPr>
        <w:pStyle w:val="BodyText"/>
        <w:spacing w:line="480" w:lineRule="auto"/>
        <w:ind w:left="720" w:firstLine="720"/>
        <w:rPr>
          <w:rFonts w:ascii="Book Antiqua" w:hAnsi="Book Antiqua"/>
          <w:u w:val="single"/>
        </w:rPr>
      </w:pPr>
      <w:r w:rsidRPr="009712E9">
        <w:rPr>
          <w:rFonts w:ascii="Book Antiqua" w:hAnsi="Book Antiqua"/>
          <w:u w:val="single"/>
        </w:rPr>
        <w:t>…</w:t>
      </w:r>
    </w:p>
    <w:p w14:paraId="239DE62B" w14:textId="5AA585D7" w:rsidR="009712E9" w:rsidRPr="009712E9" w:rsidRDefault="009712E9" w:rsidP="00A971E3">
      <w:pPr>
        <w:pStyle w:val="BodyText"/>
        <w:spacing w:line="480" w:lineRule="auto"/>
        <w:ind w:left="720" w:firstLine="720"/>
        <w:rPr>
          <w:rFonts w:ascii="Book Antiqua" w:hAnsi="Book Antiqua"/>
          <w:u w:val="single"/>
        </w:rPr>
      </w:pPr>
      <w:r w:rsidRPr="009712E9">
        <w:rPr>
          <w:rFonts w:ascii="Book Antiqua" w:hAnsi="Book Antiqua"/>
          <w:u w:val="single"/>
        </w:rPr>
        <w:t>(8)</w:t>
      </w:r>
      <w:r w:rsidR="00BA0673">
        <w:rPr>
          <w:rFonts w:ascii="Book Antiqua" w:hAnsi="Book Antiqua"/>
          <w:u w:val="single"/>
        </w:rPr>
        <w:t xml:space="preserve">  </w:t>
      </w:r>
      <w:r w:rsidRPr="009712E9">
        <w:rPr>
          <w:rFonts w:ascii="Book Antiqua" w:hAnsi="Book Antiqua"/>
          <w:u w:val="single"/>
        </w:rPr>
        <w:t xml:space="preserve">Emergencias Médicas: Adiestrar y capacitar al personal para atender las emergencias médicas que involucran al adulto mayor, incluyendo a la figura del cuidador formal o informal/familiar, el cual debe ser parte de atender la situación. </w:t>
      </w:r>
    </w:p>
    <w:p w14:paraId="3FB5CE27" w14:textId="55D39E43" w:rsidR="009712E9" w:rsidRDefault="009712E9" w:rsidP="00A971E3">
      <w:pPr>
        <w:pStyle w:val="BodyText"/>
        <w:spacing w:line="480" w:lineRule="auto"/>
        <w:ind w:left="720" w:firstLine="720"/>
        <w:rPr>
          <w:rFonts w:ascii="Book Antiqua" w:hAnsi="Book Antiqua"/>
          <w:i/>
          <w:iCs/>
          <w:u w:val="single"/>
        </w:rPr>
      </w:pPr>
      <w:r w:rsidRPr="009712E9">
        <w:rPr>
          <w:rFonts w:ascii="Book Antiqua" w:hAnsi="Book Antiqua"/>
          <w:i/>
          <w:iCs/>
          <w:u w:val="single"/>
        </w:rPr>
        <w:t>(9)</w:t>
      </w:r>
      <w:r>
        <w:rPr>
          <w:rFonts w:ascii="Book Antiqua" w:hAnsi="Book Antiqua"/>
          <w:i/>
          <w:iCs/>
          <w:u w:val="single"/>
        </w:rPr>
        <w:t xml:space="preserve"> Negociado de Investigaciones Especiales: </w:t>
      </w:r>
      <w:r w:rsidRPr="009712E9">
        <w:rPr>
          <w:rFonts w:ascii="Book Antiqua" w:hAnsi="Book Antiqua"/>
          <w:i/>
          <w:iCs/>
          <w:u w:val="single"/>
        </w:rPr>
        <w:t xml:space="preserve">Colaborar activamente con el Departamento de la Familia </w:t>
      </w:r>
      <w:r>
        <w:rPr>
          <w:rFonts w:ascii="Book Antiqua" w:hAnsi="Book Antiqua"/>
          <w:i/>
          <w:iCs/>
          <w:u w:val="single"/>
        </w:rPr>
        <w:t>en toda investigación y procesamiento de los c</w:t>
      </w:r>
      <w:r w:rsidRPr="009712E9">
        <w:rPr>
          <w:rFonts w:ascii="Book Antiqua" w:hAnsi="Book Antiqua"/>
          <w:i/>
          <w:iCs/>
          <w:u w:val="single"/>
        </w:rPr>
        <w:t xml:space="preserve">asos de explotación financiera de adultos mayores en los que estén involucrados personal de un </w:t>
      </w:r>
      <w:r w:rsidRPr="009712E9">
        <w:rPr>
          <w:rFonts w:ascii="Book Antiqua" w:hAnsi="Book Antiqua"/>
          <w:i/>
          <w:iCs/>
          <w:u w:val="single"/>
        </w:rPr>
        <w:lastRenderedPageBreak/>
        <w:t xml:space="preserve">establecimiento residencial, hogar sustituto, o instituciones dedicadas al cuido de adultos mayores durante las veinticuatro (24) horas del día o parte de éstas. </w:t>
      </w:r>
    </w:p>
    <w:p w14:paraId="3C39A7CC" w14:textId="601D9DCE" w:rsidR="009712E9" w:rsidRDefault="009712E9" w:rsidP="00A971E3">
      <w:pPr>
        <w:pStyle w:val="BodyText"/>
        <w:spacing w:line="480" w:lineRule="auto"/>
        <w:ind w:left="720" w:firstLine="720"/>
        <w:rPr>
          <w:rFonts w:ascii="Book Antiqua" w:hAnsi="Book Antiqua"/>
          <w:i/>
          <w:iCs/>
          <w:u w:val="single"/>
        </w:rPr>
      </w:pPr>
      <w:r w:rsidRPr="009712E9">
        <w:rPr>
          <w:rFonts w:ascii="Book Antiqua" w:hAnsi="Book Antiqua"/>
          <w:strike/>
          <w:u w:val="single"/>
        </w:rPr>
        <w:t>(9)</w:t>
      </w:r>
      <w:r>
        <w:rPr>
          <w:rFonts w:ascii="Book Antiqua" w:hAnsi="Book Antiqua"/>
          <w:i/>
          <w:iCs/>
          <w:u w:val="single"/>
        </w:rPr>
        <w:t xml:space="preserve"> (10) </w:t>
      </w:r>
      <w:r w:rsidRPr="00F83F2E">
        <w:rPr>
          <w:rFonts w:ascii="Book Antiqua" w:hAnsi="Book Antiqua"/>
          <w:u w:val="single"/>
        </w:rPr>
        <w:t>Implantar e integrar en todos sus servicios, estrategias y acciones, aquellas medidas dirigidas al bienestar del adulto mayor y a un envejecimiento activo e inclusivo</w:t>
      </w:r>
      <w:r w:rsidRPr="009712E9">
        <w:rPr>
          <w:rFonts w:ascii="Book Antiqua" w:hAnsi="Book Antiqua"/>
          <w:i/>
          <w:iCs/>
          <w:u w:val="single"/>
        </w:rPr>
        <w:t>.</w:t>
      </w:r>
    </w:p>
    <w:p w14:paraId="6732086D" w14:textId="232AF0B3" w:rsidR="009712E9" w:rsidRPr="00F83F2E" w:rsidRDefault="009712E9" w:rsidP="00A971E3">
      <w:pPr>
        <w:pStyle w:val="BodyText"/>
        <w:spacing w:line="480" w:lineRule="auto"/>
        <w:ind w:firstLine="720"/>
        <w:rPr>
          <w:rFonts w:ascii="Book Antiqua" w:hAnsi="Book Antiqua"/>
          <w:u w:val="single"/>
        </w:rPr>
      </w:pPr>
      <w:r w:rsidRPr="00F83F2E">
        <w:rPr>
          <w:rFonts w:ascii="Book Antiqua" w:hAnsi="Book Antiqua"/>
          <w:u w:val="single"/>
        </w:rPr>
        <w:t>(e) Departamento de Corrección y Rehabilitación hará lo siguiente:</w:t>
      </w:r>
    </w:p>
    <w:p w14:paraId="58239560" w14:textId="25678D60" w:rsidR="009712E9" w:rsidRDefault="009712E9" w:rsidP="009712E9">
      <w:pPr>
        <w:pStyle w:val="BodyText"/>
        <w:spacing w:line="480" w:lineRule="auto"/>
        <w:rPr>
          <w:rFonts w:ascii="Book Antiqua" w:hAnsi="Book Antiqua"/>
          <w:i/>
          <w:iCs/>
          <w:u w:val="single"/>
        </w:rPr>
      </w:pPr>
      <w:r w:rsidRPr="009712E9">
        <w:rPr>
          <w:rFonts w:ascii="Book Antiqua" w:hAnsi="Book Antiqua"/>
          <w:i/>
          <w:iCs/>
        </w:rPr>
        <w:tab/>
      </w:r>
      <w:r w:rsidR="00A971E3">
        <w:rPr>
          <w:rFonts w:ascii="Book Antiqua" w:hAnsi="Book Antiqua"/>
          <w:i/>
          <w:iCs/>
        </w:rPr>
        <w:tab/>
      </w:r>
      <w:r>
        <w:rPr>
          <w:rFonts w:ascii="Book Antiqua" w:hAnsi="Book Antiqua"/>
          <w:i/>
          <w:iCs/>
          <w:u w:val="single"/>
        </w:rPr>
        <w:t>…</w:t>
      </w:r>
    </w:p>
    <w:p w14:paraId="3F0CA143" w14:textId="4C4FC19F" w:rsidR="00A971E3" w:rsidRDefault="00A971E3" w:rsidP="009712E9">
      <w:pPr>
        <w:pStyle w:val="BodyText"/>
        <w:spacing w:line="480" w:lineRule="auto"/>
        <w:rPr>
          <w:rFonts w:ascii="Book Antiqua" w:hAnsi="Book Antiqua"/>
          <w:i/>
          <w:iCs/>
          <w:u w:val="single"/>
        </w:rPr>
      </w:pPr>
      <w:r w:rsidRPr="00A971E3">
        <w:rPr>
          <w:rFonts w:ascii="Book Antiqua" w:hAnsi="Book Antiqua"/>
          <w:i/>
          <w:iCs/>
        </w:rPr>
        <w:tab/>
      </w:r>
      <w:r>
        <w:rPr>
          <w:rFonts w:ascii="Book Antiqua" w:hAnsi="Book Antiqua"/>
          <w:i/>
          <w:iCs/>
          <w:u w:val="single"/>
        </w:rPr>
        <w:t>…”</w:t>
      </w:r>
    </w:p>
    <w:p w14:paraId="7EE93E2F" w14:textId="367EA0E0" w:rsidR="00A971E3" w:rsidRPr="003E7234" w:rsidRDefault="00A971E3" w:rsidP="009712E9">
      <w:pPr>
        <w:pStyle w:val="BodyText"/>
        <w:spacing w:line="480" w:lineRule="auto"/>
        <w:rPr>
          <w:rFonts w:ascii="Book Antiqua" w:hAnsi="Book Antiqua"/>
          <w:i/>
          <w:iCs/>
          <w:u w:val="single"/>
        </w:rPr>
      </w:pPr>
      <w:r>
        <w:rPr>
          <w:rFonts w:ascii="Book Antiqua" w:hAnsi="Book Antiqua"/>
          <w:i/>
          <w:iCs/>
        </w:rPr>
        <w:tab/>
      </w:r>
      <w:r w:rsidRPr="003E7234">
        <w:rPr>
          <w:rFonts w:ascii="Book Antiqua" w:hAnsi="Book Antiqua"/>
          <w:i/>
          <w:iCs/>
          <w:u w:val="single"/>
        </w:rPr>
        <w:t>S</w:t>
      </w:r>
      <w:r w:rsidR="003E7234" w:rsidRPr="003E7234">
        <w:rPr>
          <w:rFonts w:ascii="Book Antiqua" w:hAnsi="Book Antiqua"/>
          <w:i/>
          <w:iCs/>
          <w:u w:val="single"/>
        </w:rPr>
        <w:t>e</w:t>
      </w:r>
      <w:r w:rsidRPr="003E7234">
        <w:rPr>
          <w:rFonts w:ascii="Book Antiqua" w:hAnsi="Book Antiqua"/>
          <w:i/>
          <w:iCs/>
          <w:u w:val="single"/>
        </w:rPr>
        <w:t>cci</w:t>
      </w:r>
      <w:r w:rsidR="003E7234" w:rsidRPr="003E7234">
        <w:rPr>
          <w:rFonts w:ascii="Book Antiqua" w:hAnsi="Book Antiqua"/>
          <w:i/>
          <w:iCs/>
          <w:u w:val="single"/>
        </w:rPr>
        <w:t>ó</w:t>
      </w:r>
      <w:r w:rsidRPr="003E7234">
        <w:rPr>
          <w:rFonts w:ascii="Book Antiqua" w:hAnsi="Book Antiqua"/>
          <w:i/>
          <w:iCs/>
          <w:u w:val="single"/>
        </w:rPr>
        <w:t>n 3.-</w:t>
      </w:r>
      <w:r w:rsidR="003E7234" w:rsidRPr="003E7234">
        <w:rPr>
          <w:rFonts w:ascii="Book Antiqua" w:hAnsi="Book Antiqua"/>
          <w:i/>
          <w:iCs/>
          <w:u w:val="single"/>
        </w:rPr>
        <w:t>Se enmienda el Artículo 19 de la Ley Núm. 121-2019, según enmendada, para que lea como sigue:</w:t>
      </w:r>
    </w:p>
    <w:p w14:paraId="546E9D2F" w14:textId="77777777" w:rsidR="003E7234" w:rsidRPr="003E7234" w:rsidRDefault="003E7234" w:rsidP="009712E9">
      <w:pPr>
        <w:pStyle w:val="BodyText"/>
        <w:spacing w:line="480" w:lineRule="auto"/>
        <w:rPr>
          <w:rFonts w:ascii="Book Antiqua" w:hAnsi="Book Antiqua"/>
          <w:u w:val="single"/>
        </w:rPr>
      </w:pPr>
      <w:r w:rsidRPr="003E7234">
        <w:rPr>
          <w:rFonts w:ascii="Book Antiqua" w:hAnsi="Book Antiqua"/>
          <w:i/>
          <w:iCs/>
        </w:rPr>
        <w:tab/>
      </w:r>
      <w:r w:rsidRPr="003E7234">
        <w:rPr>
          <w:rFonts w:ascii="Book Antiqua" w:hAnsi="Book Antiqua"/>
          <w:i/>
          <w:iCs/>
          <w:u w:val="single"/>
        </w:rPr>
        <w:t>“</w:t>
      </w:r>
      <w:r w:rsidRPr="003E7234">
        <w:rPr>
          <w:rFonts w:ascii="Book Antiqua" w:hAnsi="Book Antiqua"/>
          <w:u w:val="single"/>
        </w:rPr>
        <w:t xml:space="preserve">Artículo 19. — Coordinación entre las agencias. </w:t>
      </w:r>
    </w:p>
    <w:p w14:paraId="751E7F75" w14:textId="1503DCD8" w:rsidR="003E7234" w:rsidRPr="003E7234" w:rsidRDefault="003E7234" w:rsidP="003E7234">
      <w:pPr>
        <w:pStyle w:val="BodyText"/>
        <w:spacing w:line="480" w:lineRule="auto"/>
        <w:ind w:firstLine="720"/>
        <w:rPr>
          <w:rFonts w:ascii="Book Antiqua" w:hAnsi="Book Antiqua"/>
          <w:i/>
          <w:iCs/>
          <w:u w:val="single"/>
        </w:rPr>
      </w:pPr>
      <w:r w:rsidRPr="003E7234">
        <w:rPr>
          <w:rFonts w:ascii="Book Antiqua" w:hAnsi="Book Antiqua"/>
          <w:u w:val="single"/>
        </w:rPr>
        <w:t>Una vez el Departamento de la Familia y la Oficina del Procurador de las Personas de Edad Avanzada advengan en conocimiento o sospecha de que persona adulta mayor podría estar siendo víctima de, maltrato, maltrato institucional, maltrato por negligencia o maltrato por negligencia</w:t>
      </w:r>
      <w:r w:rsidRPr="003E7234">
        <w:rPr>
          <w:u w:val="single"/>
        </w:rPr>
        <w:t xml:space="preserve"> </w:t>
      </w:r>
      <w:r w:rsidRPr="003E7234">
        <w:rPr>
          <w:rFonts w:ascii="Book Antiqua" w:hAnsi="Book Antiqua"/>
          <w:u w:val="single"/>
        </w:rPr>
        <w:t xml:space="preserve">institucional informará inmediatamente de tal hecho al Negociado de la Policía de Puerto. De igual forma, </w:t>
      </w:r>
      <w:r>
        <w:rPr>
          <w:rFonts w:ascii="Book Antiqua" w:hAnsi="Book Antiqua"/>
          <w:i/>
          <w:iCs/>
          <w:u w:val="single"/>
        </w:rPr>
        <w:t xml:space="preserve">en los casos de </w:t>
      </w:r>
      <w:r w:rsidRPr="009712E9">
        <w:rPr>
          <w:rFonts w:ascii="Book Antiqua" w:hAnsi="Book Antiqua"/>
          <w:i/>
          <w:iCs/>
          <w:u w:val="single"/>
        </w:rPr>
        <w:t>explotación financiera de adultos mayores en los que estén involucrados personal de un establecimiento residencial, hogar sustituto, o instituciones dedicadas al cuido de adultos mayores durante las veinticuatro (24) horas del día o parte de éstas</w:t>
      </w:r>
      <w:r>
        <w:rPr>
          <w:rFonts w:ascii="Book Antiqua" w:hAnsi="Book Antiqua"/>
          <w:i/>
          <w:iCs/>
          <w:u w:val="single"/>
        </w:rPr>
        <w:t>, informarán al Negociado de la Policía de Puerto Rico o al Negociado de Investigaciones Especiales</w:t>
      </w:r>
      <w:r w:rsidRPr="003E7234">
        <w:rPr>
          <w:rFonts w:ascii="Book Antiqua" w:hAnsi="Book Antiqua"/>
          <w:u w:val="single"/>
        </w:rPr>
        <w:t>.</w:t>
      </w:r>
      <w:r>
        <w:rPr>
          <w:rFonts w:ascii="Book Antiqua" w:hAnsi="Book Antiqua"/>
          <w:u w:val="single"/>
        </w:rPr>
        <w:t xml:space="preserve"> </w:t>
      </w:r>
      <w:r w:rsidRPr="003E7234">
        <w:rPr>
          <w:rFonts w:ascii="Book Antiqua" w:hAnsi="Book Antiqua"/>
          <w:i/>
          <w:iCs/>
          <w:u w:val="single"/>
        </w:rPr>
        <w:t>Además,</w:t>
      </w:r>
      <w:r w:rsidRPr="003E7234">
        <w:rPr>
          <w:rFonts w:ascii="Book Antiqua" w:hAnsi="Book Antiqua"/>
          <w:u w:val="single"/>
        </w:rPr>
        <w:t xml:space="preserve"> tendrán el deber de colaborar y trabajar en coordinación con el Negociado de la Policía de Puerto Rico</w:t>
      </w:r>
      <w:r>
        <w:rPr>
          <w:rFonts w:ascii="Book Antiqua" w:hAnsi="Book Antiqua"/>
          <w:u w:val="single"/>
        </w:rPr>
        <w:t xml:space="preserve"> </w:t>
      </w:r>
      <w:r>
        <w:rPr>
          <w:rFonts w:ascii="Book Antiqua" w:hAnsi="Book Antiqua"/>
          <w:i/>
          <w:iCs/>
          <w:u w:val="single"/>
        </w:rPr>
        <w:t>o el Negociado de Investigaciones Especiales</w:t>
      </w:r>
      <w:r w:rsidRPr="003E7234">
        <w:rPr>
          <w:rFonts w:ascii="Book Antiqua" w:hAnsi="Book Antiqua"/>
          <w:u w:val="single"/>
        </w:rPr>
        <w:t xml:space="preserve"> </w:t>
      </w:r>
      <w:r w:rsidRPr="003E7234">
        <w:rPr>
          <w:rFonts w:ascii="Book Antiqua" w:hAnsi="Book Antiqua"/>
          <w:u w:val="single"/>
        </w:rPr>
        <w:lastRenderedPageBreak/>
        <w:t xml:space="preserve">sobre </w:t>
      </w:r>
      <w:r w:rsidRPr="003E7234">
        <w:rPr>
          <w:rFonts w:ascii="Book Antiqua" w:hAnsi="Book Antiqua"/>
          <w:strike/>
          <w:u w:val="single"/>
        </w:rPr>
        <w:t>tal referido</w:t>
      </w:r>
      <w:r w:rsidRPr="003E7234">
        <w:rPr>
          <w:rFonts w:ascii="Book Antiqua" w:hAnsi="Book Antiqua"/>
          <w:u w:val="single"/>
        </w:rPr>
        <w:t xml:space="preserve"> </w:t>
      </w:r>
      <w:r>
        <w:rPr>
          <w:rFonts w:ascii="Book Antiqua" w:hAnsi="Book Antiqua"/>
          <w:i/>
          <w:iCs/>
          <w:u w:val="single"/>
        </w:rPr>
        <w:t xml:space="preserve">estos referidos </w:t>
      </w:r>
      <w:r w:rsidRPr="003E7234">
        <w:rPr>
          <w:rFonts w:ascii="Book Antiqua" w:hAnsi="Book Antiqua"/>
          <w:u w:val="single"/>
        </w:rPr>
        <w:t>en vías de que se tomen las acciones pertinentes en pro del bienestar y la seguridad de la persona adulta mayor</w:t>
      </w:r>
      <w:r w:rsidRPr="003E7234">
        <w:rPr>
          <w:rFonts w:ascii="Book Antiqua" w:hAnsi="Book Antiqua"/>
          <w:i/>
          <w:iCs/>
          <w:u w:val="single"/>
        </w:rPr>
        <w:t xml:space="preserve">.” </w:t>
      </w:r>
    </w:p>
    <w:p w14:paraId="1EEFD6C3" w14:textId="694B241B" w:rsidR="00927794" w:rsidRDefault="00927794" w:rsidP="00927794">
      <w:pPr>
        <w:pStyle w:val="BodyText"/>
        <w:spacing w:line="480" w:lineRule="auto"/>
        <w:ind w:firstLine="720"/>
        <w:rPr>
          <w:rFonts w:ascii="Book Antiqua" w:hAnsi="Book Antiqua"/>
        </w:rPr>
      </w:pPr>
      <w:r w:rsidRPr="00A134AB">
        <w:rPr>
          <w:rFonts w:ascii="Book Antiqua" w:hAnsi="Book Antiqua"/>
          <w:strike/>
        </w:rPr>
        <w:t xml:space="preserve">Artículo </w:t>
      </w:r>
      <w:r w:rsidR="00A134AB" w:rsidRPr="00A134AB">
        <w:rPr>
          <w:rFonts w:ascii="Book Antiqua" w:hAnsi="Book Antiqua"/>
          <w:strike/>
        </w:rPr>
        <w:t>2</w:t>
      </w:r>
      <w:r w:rsidR="00A134AB">
        <w:rPr>
          <w:rFonts w:ascii="Book Antiqua" w:hAnsi="Book Antiqua"/>
        </w:rPr>
        <w:t xml:space="preserve"> </w:t>
      </w:r>
      <w:r w:rsidR="00A134AB">
        <w:rPr>
          <w:rFonts w:ascii="Book Antiqua" w:hAnsi="Book Antiqua"/>
          <w:i/>
          <w:iCs/>
          <w:u w:val="single"/>
        </w:rPr>
        <w:t xml:space="preserve">Sección </w:t>
      </w:r>
      <w:r w:rsidR="003E7234">
        <w:rPr>
          <w:rFonts w:ascii="Book Antiqua" w:hAnsi="Book Antiqua"/>
          <w:i/>
          <w:iCs/>
          <w:u w:val="single"/>
        </w:rPr>
        <w:t>4</w:t>
      </w:r>
      <w:r>
        <w:rPr>
          <w:rFonts w:ascii="Book Antiqua" w:hAnsi="Book Antiqua"/>
        </w:rPr>
        <w:t>. - Supremacía.</w:t>
      </w:r>
    </w:p>
    <w:p w14:paraId="720EAC43" w14:textId="77777777" w:rsidR="00927794" w:rsidRDefault="00927794" w:rsidP="00927794">
      <w:pPr>
        <w:pStyle w:val="BodyText"/>
        <w:spacing w:line="480" w:lineRule="auto"/>
        <w:ind w:firstLine="720"/>
        <w:rPr>
          <w:rFonts w:ascii="Book Antiqua" w:hAnsi="Book Antiqua"/>
        </w:rPr>
      </w:pPr>
      <w:r>
        <w:rPr>
          <w:rFonts w:ascii="Book Antiqua" w:hAnsi="Book Antiqua"/>
        </w:rPr>
        <w:t>Las disposiciones de esta Ley prevalecerán sobre cualquier otra disposición de ley o reglamento que no estuviere en armonía con lo aquí establecido.</w:t>
      </w:r>
    </w:p>
    <w:p w14:paraId="37F373BC" w14:textId="76F085E0" w:rsidR="00927794" w:rsidRDefault="00927794" w:rsidP="00927794">
      <w:pPr>
        <w:pStyle w:val="BodyText"/>
        <w:spacing w:line="480" w:lineRule="auto"/>
        <w:ind w:firstLine="720"/>
        <w:rPr>
          <w:rFonts w:ascii="Book Antiqua" w:hAnsi="Book Antiqua"/>
        </w:rPr>
      </w:pPr>
      <w:r w:rsidRPr="00A134AB">
        <w:rPr>
          <w:rFonts w:ascii="Book Antiqua" w:hAnsi="Book Antiqua"/>
          <w:strike/>
        </w:rPr>
        <w:t>Artículo 3</w:t>
      </w:r>
      <w:r w:rsidR="00A134AB">
        <w:rPr>
          <w:rFonts w:ascii="Book Antiqua" w:hAnsi="Book Antiqua"/>
        </w:rPr>
        <w:t xml:space="preserve"> </w:t>
      </w:r>
      <w:r w:rsidR="00A134AB">
        <w:rPr>
          <w:rFonts w:ascii="Book Antiqua" w:hAnsi="Book Antiqua"/>
          <w:i/>
          <w:iCs/>
          <w:u w:val="single"/>
        </w:rPr>
        <w:t>Sección</w:t>
      </w:r>
      <w:r w:rsidR="003E7234">
        <w:rPr>
          <w:rFonts w:ascii="Book Antiqua" w:hAnsi="Book Antiqua"/>
          <w:i/>
          <w:iCs/>
          <w:u w:val="single"/>
        </w:rPr>
        <w:t xml:space="preserve"> 5</w:t>
      </w:r>
      <w:r>
        <w:rPr>
          <w:rFonts w:ascii="Book Antiqua" w:hAnsi="Book Antiqua"/>
        </w:rPr>
        <w:t>. - Separabilidad.</w:t>
      </w:r>
    </w:p>
    <w:p w14:paraId="11ABD4A2" w14:textId="77777777" w:rsidR="00927794" w:rsidRDefault="00927794" w:rsidP="00927794">
      <w:pPr>
        <w:pStyle w:val="BodyText"/>
        <w:spacing w:line="480" w:lineRule="auto"/>
        <w:ind w:firstLine="720"/>
        <w:rPr>
          <w:rFonts w:ascii="Book Antiqua" w:hAnsi="Book Antiqua"/>
        </w:rPr>
      </w:pPr>
      <w:r>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0808FC75" w14:textId="1F940CF3" w:rsidR="00927794" w:rsidRDefault="00927794" w:rsidP="00927794">
      <w:pPr>
        <w:pStyle w:val="BodyText"/>
        <w:spacing w:line="480" w:lineRule="auto"/>
        <w:ind w:firstLine="720"/>
        <w:rPr>
          <w:rFonts w:ascii="Book Antiqua" w:hAnsi="Book Antiqua"/>
        </w:rPr>
      </w:pPr>
      <w:r w:rsidRPr="003E7234">
        <w:rPr>
          <w:rFonts w:ascii="Book Antiqua" w:hAnsi="Book Antiqua"/>
          <w:strike/>
        </w:rPr>
        <w:t>Artículo 4</w:t>
      </w:r>
      <w:r w:rsidR="003E7234">
        <w:rPr>
          <w:rFonts w:ascii="Book Antiqua" w:hAnsi="Book Antiqua"/>
        </w:rPr>
        <w:t xml:space="preserve"> </w:t>
      </w:r>
      <w:r w:rsidR="003E7234">
        <w:rPr>
          <w:rFonts w:ascii="Book Antiqua" w:hAnsi="Book Antiqua"/>
          <w:i/>
          <w:iCs/>
          <w:u w:val="single"/>
        </w:rPr>
        <w:t>Sección 6</w:t>
      </w:r>
      <w:r>
        <w:rPr>
          <w:rFonts w:ascii="Book Antiqua" w:hAnsi="Book Antiqua"/>
        </w:rPr>
        <w:t>. -Vigencia.</w:t>
      </w:r>
    </w:p>
    <w:p w14:paraId="79550695" w14:textId="59B17620" w:rsidR="00FF2214" w:rsidRPr="00927794" w:rsidRDefault="00927794" w:rsidP="00927794">
      <w:pPr>
        <w:pStyle w:val="BodyText"/>
        <w:spacing w:line="480" w:lineRule="auto"/>
        <w:rPr>
          <w:rFonts w:ascii="Book Antiqua" w:hAnsi="Book Antiqua"/>
        </w:rPr>
      </w:pPr>
      <w:r>
        <w:rPr>
          <w:rFonts w:ascii="Book Antiqua" w:hAnsi="Book Antiqua"/>
        </w:rPr>
        <w:lastRenderedPageBreak/>
        <w:tab/>
        <w:t>Esta Ley entrará en vigor inmediatamente después de su aprobación.</w:t>
      </w:r>
    </w:p>
    <w:sectPr w:rsidR="00FF2214" w:rsidRPr="00927794"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C4FC8" w14:textId="77777777" w:rsidR="003223D4" w:rsidRPr="00864305" w:rsidRDefault="003223D4">
      <w:r w:rsidRPr="00864305">
        <w:separator/>
      </w:r>
    </w:p>
  </w:endnote>
  <w:endnote w:type="continuationSeparator" w:id="0">
    <w:p w14:paraId="07DB7FD2" w14:textId="77777777" w:rsidR="003223D4" w:rsidRPr="00864305" w:rsidRDefault="003223D4">
      <w:r w:rsidRPr="00864305">
        <w:continuationSeparator/>
      </w:r>
    </w:p>
  </w:endnote>
  <w:endnote w:type="continuationNotice" w:id="1">
    <w:p w14:paraId="00DFB052" w14:textId="77777777" w:rsidR="003223D4" w:rsidRPr="00864305" w:rsidRDefault="003223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E6EF283B-FC6C-40DF-A8AB-BFD5B9910D5D}"/>
    <w:embedBold r:id="rId2" w:fontKey="{F5A763DA-C4EE-4321-BB75-7974822399FB}"/>
    <w:embedItalic r:id="rId3" w:fontKey="{0195D175-9FF9-46B9-8C21-1B59D5273D3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07F6CB10-C405-4264-83A1-FD1092DAF030}"/>
  </w:font>
  <w:font w:name="Georgia">
    <w:panose1 w:val="02040502050405020303"/>
    <w:charset w:val="00"/>
    <w:family w:val="roman"/>
    <w:pitch w:val="variable"/>
    <w:sig w:usb0="00000287" w:usb1="00000000" w:usb2="00000000" w:usb3="00000000" w:csb0="0000009F" w:csb1="00000000"/>
    <w:embedRegular r:id="rId5" w:fontKey="{7FE083F9-075E-4DD9-B04C-8A005787A9F2}"/>
    <w:embedItalic r:id="rId6" w:fontKey="{BBAD6C15-3FC8-45F8-B9C4-EFE5C367BA28}"/>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1755FA1E-83C6-49E7-8314-3951E98B5DC4}"/>
    <w:embedItalic r:id="rId8" w:fontKey="{78C8495E-74AF-4FAD-98E5-CD2AB0C1D24A}"/>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1BD68722-FB8F-4F8D-A820-BF2ABE3DDF8A}"/>
  </w:font>
  <w:font w:name="Calibri">
    <w:panose1 w:val="020F0502020204030204"/>
    <w:charset w:val="00"/>
    <w:family w:val="swiss"/>
    <w:pitch w:val="variable"/>
    <w:sig w:usb0="E4002EFF" w:usb1="C000247B" w:usb2="00000009" w:usb3="00000000" w:csb0="000001FF" w:csb1="00000000"/>
    <w:embedRegular r:id="rId10" w:fontKey="{59000687-C7A8-401C-AB23-CE49394EC3A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86430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864305" w14:paraId="7955069F" w14:textId="77777777">
      <w:trPr>
        <w:trHeight w:val="300"/>
      </w:trPr>
      <w:tc>
        <w:tcPr>
          <w:tcW w:w="3120" w:type="dxa"/>
          <w:tcMar>
            <w:top w:w="0" w:type="dxa"/>
            <w:left w:w="108" w:type="dxa"/>
            <w:bottom w:w="0" w:type="dxa"/>
            <w:right w:w="108" w:type="dxa"/>
          </w:tcMar>
        </w:tcPr>
        <w:p w14:paraId="7955069C"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864305" w:rsidRDefault="00FF2214">
          <w:pPr>
            <w:tabs>
              <w:tab w:val="center" w:pos="4320"/>
              <w:tab w:val="right" w:pos="8640"/>
            </w:tabs>
            <w:ind w:right="-115"/>
            <w:jc w:val="right"/>
            <w:rPr>
              <w:color w:val="000000"/>
            </w:rPr>
          </w:pPr>
        </w:p>
      </w:tc>
    </w:tr>
  </w:tbl>
  <w:p w14:paraId="795506A0" w14:textId="77777777" w:rsidR="00FF2214" w:rsidRPr="0086430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86430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864305" w14:paraId="795506A7" w14:textId="77777777">
      <w:trPr>
        <w:trHeight w:val="300"/>
      </w:trPr>
      <w:tc>
        <w:tcPr>
          <w:tcW w:w="3120" w:type="dxa"/>
          <w:tcMar>
            <w:top w:w="0" w:type="dxa"/>
            <w:left w:w="108" w:type="dxa"/>
            <w:bottom w:w="0" w:type="dxa"/>
            <w:right w:w="108" w:type="dxa"/>
          </w:tcMar>
        </w:tcPr>
        <w:p w14:paraId="795506A4"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864305" w:rsidRDefault="00FF2214">
          <w:pPr>
            <w:tabs>
              <w:tab w:val="center" w:pos="4320"/>
              <w:tab w:val="right" w:pos="8640"/>
            </w:tabs>
            <w:ind w:right="-115"/>
            <w:jc w:val="right"/>
            <w:rPr>
              <w:color w:val="000000"/>
            </w:rPr>
          </w:pPr>
        </w:p>
      </w:tc>
    </w:tr>
  </w:tbl>
  <w:p w14:paraId="795506A8" w14:textId="77777777" w:rsidR="00FF2214" w:rsidRPr="0086430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Pr="00864305"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rsidRPr="00864305" w14:paraId="5F10AA53" w14:textId="77777777">
      <w:trPr>
        <w:trHeight w:val="300"/>
      </w:trPr>
      <w:tc>
        <w:tcPr>
          <w:tcW w:w="3120" w:type="dxa"/>
          <w:tcMar>
            <w:top w:w="0" w:type="dxa"/>
            <w:left w:w="108" w:type="dxa"/>
            <w:bottom w:w="0" w:type="dxa"/>
            <w:right w:w="108" w:type="dxa"/>
          </w:tcMar>
        </w:tcPr>
        <w:p w14:paraId="2A399F4B"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Pr="00864305" w:rsidRDefault="00FF2214">
          <w:pPr>
            <w:tabs>
              <w:tab w:val="center" w:pos="4320"/>
              <w:tab w:val="right" w:pos="8640"/>
            </w:tabs>
            <w:ind w:right="-115"/>
            <w:jc w:val="right"/>
            <w:rPr>
              <w:color w:val="000000"/>
            </w:rPr>
          </w:pPr>
        </w:p>
      </w:tc>
    </w:tr>
  </w:tbl>
  <w:p w14:paraId="1D6323BF" w14:textId="77777777" w:rsidR="00FF2214" w:rsidRPr="00864305"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Pr="00864305"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rsidRPr="00864305" w14:paraId="04C48F77" w14:textId="77777777">
      <w:trPr>
        <w:trHeight w:val="300"/>
      </w:trPr>
      <w:tc>
        <w:tcPr>
          <w:tcW w:w="3120" w:type="dxa"/>
          <w:tcMar>
            <w:top w:w="0" w:type="dxa"/>
            <w:left w:w="108" w:type="dxa"/>
            <w:bottom w:w="0" w:type="dxa"/>
            <w:right w:w="108" w:type="dxa"/>
          </w:tcMar>
        </w:tcPr>
        <w:p w14:paraId="2A5437FD"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Pr="00864305" w:rsidRDefault="00FF2214">
          <w:pPr>
            <w:tabs>
              <w:tab w:val="center" w:pos="4320"/>
              <w:tab w:val="right" w:pos="8640"/>
            </w:tabs>
            <w:ind w:right="-115"/>
            <w:jc w:val="right"/>
            <w:rPr>
              <w:color w:val="000000"/>
            </w:rPr>
          </w:pPr>
        </w:p>
      </w:tc>
    </w:tr>
  </w:tbl>
  <w:p w14:paraId="03C06AA0" w14:textId="77777777" w:rsidR="00FF2214" w:rsidRPr="0086430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003A5" w14:textId="77777777" w:rsidR="003223D4" w:rsidRPr="00864305" w:rsidRDefault="003223D4">
      <w:r w:rsidRPr="00864305">
        <w:separator/>
      </w:r>
    </w:p>
  </w:footnote>
  <w:footnote w:type="continuationSeparator" w:id="0">
    <w:p w14:paraId="1DE799D6" w14:textId="77777777" w:rsidR="003223D4" w:rsidRPr="00864305" w:rsidRDefault="003223D4">
      <w:r w:rsidRPr="00864305">
        <w:continuationSeparator/>
      </w:r>
    </w:p>
  </w:footnote>
  <w:footnote w:type="continuationNotice" w:id="1">
    <w:p w14:paraId="40FD9E81" w14:textId="77777777" w:rsidR="003223D4" w:rsidRPr="00864305" w:rsidRDefault="003223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864305" w:rsidRDefault="00850770">
    <w:pPr>
      <w:tabs>
        <w:tab w:val="center" w:pos="4320"/>
        <w:tab w:val="right" w:pos="8640"/>
      </w:tabs>
      <w:jc w:val="center"/>
      <w:rPr>
        <w:color w:val="000000"/>
      </w:rPr>
    </w:pPr>
    <w:r w:rsidRPr="00864305">
      <w:rPr>
        <w:color w:val="000000"/>
      </w:rPr>
      <w:fldChar w:fldCharType="begin"/>
    </w:r>
    <w:r w:rsidRPr="00864305">
      <w:rPr>
        <w:color w:val="000000"/>
      </w:rPr>
      <w:instrText>PAGE</w:instrText>
    </w:r>
    <w:r w:rsidRPr="00864305">
      <w:rPr>
        <w:color w:val="000000"/>
      </w:rPr>
      <w:fldChar w:fldCharType="separate"/>
    </w:r>
    <w:r w:rsidRPr="00864305">
      <w:rPr>
        <w:color w:val="000000"/>
      </w:rPr>
      <w:t>2</w:t>
    </w:r>
    <w:r w:rsidRPr="0086430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0E141" w14:textId="502C364F" w:rsidR="00440E5C" w:rsidRPr="005E3750" w:rsidRDefault="00F83F2E" w:rsidP="005652A6">
    <w:pPr>
      <w:tabs>
        <w:tab w:val="center" w:pos="4320"/>
        <w:tab w:val="right" w:pos="8640"/>
      </w:tabs>
      <w:jc w:val="center"/>
      <w:rPr>
        <w:rFonts w:ascii="Book Antiqua" w:hAnsi="Book Antiqua"/>
        <w:color w:val="000000"/>
        <w:lang w:val="en-US"/>
      </w:rPr>
    </w:pPr>
    <w:r>
      <w:rPr>
        <w:color w:val="000000"/>
        <w:lang w:val="en-US"/>
      </w:rPr>
      <w:t xml:space="preserve">                                                                                                                                                 </w:t>
    </w:r>
    <w:r w:rsidRPr="005E3750">
      <w:rPr>
        <w:rFonts w:ascii="Book Antiqua" w:hAnsi="Book Antiqua"/>
        <w:color w:val="000000"/>
        <w:lang w:val="en-US"/>
      </w:rPr>
      <w:t>A-042</w:t>
    </w:r>
    <w:r w:rsidR="005652A6" w:rsidRPr="005E3750">
      <w:rPr>
        <w:rFonts w:ascii="Book Antiqua" w:hAnsi="Book Antiqua"/>
        <w:color w:val="000000"/>
        <w:lang w:val="en-US"/>
      </w:rPr>
      <w:t xml:space="preserve">                                                </w:t>
    </w:r>
  </w:p>
  <w:p w14:paraId="795506A1" w14:textId="099830BE" w:rsidR="00FF2214" w:rsidRPr="005E3750" w:rsidRDefault="00F83F2E" w:rsidP="00F83F2E">
    <w:pPr>
      <w:tabs>
        <w:tab w:val="center" w:pos="4320"/>
        <w:tab w:val="right" w:pos="8640"/>
      </w:tabs>
      <w:jc w:val="center"/>
      <w:rPr>
        <w:rFonts w:ascii="Book Antiqua" w:hAnsi="Book Antiqua"/>
        <w:color w:val="000000"/>
      </w:rPr>
    </w:pPr>
    <w:r w:rsidRPr="005E3750">
      <w:rPr>
        <w:rFonts w:ascii="Book Antiqua" w:hAnsi="Book Antiqua"/>
        <w:color w:val="000000"/>
        <w:lang w:val="en-US"/>
      </w:rPr>
      <w:t>ENTIRILLADO ELECTR</w:t>
    </w:r>
    <w:proofErr w:type="spellStart"/>
    <w:r w:rsidR="005E3750" w:rsidRPr="005E3750">
      <w:rPr>
        <w:rFonts w:ascii="Book Antiqua" w:hAnsi="Book Antiqua"/>
        <w:color w:val="000000"/>
      </w:rPr>
      <w:t>Ó</w:t>
    </w:r>
    <w:proofErr w:type="spellEnd"/>
    <w:r w:rsidRPr="005E3750">
      <w:rPr>
        <w:rFonts w:ascii="Book Antiqua" w:hAnsi="Book Antiqua"/>
        <w:color w:val="000000"/>
        <w:lang w:val="en-US"/>
      </w:rPr>
      <w:t>NICO</w:t>
    </w:r>
  </w:p>
  <w:p w14:paraId="795506A2" w14:textId="77777777" w:rsidR="00FF2214" w:rsidRPr="00864305" w:rsidRDefault="00850770">
    <w:pPr>
      <w:tabs>
        <w:tab w:val="center" w:pos="4320"/>
        <w:tab w:val="right" w:pos="8640"/>
      </w:tabs>
      <w:rPr>
        <w:color w:val="000000"/>
      </w:rPr>
    </w:pPr>
    <w:r w:rsidRPr="00864305">
      <w:rPr>
        <w:color w:val="000000"/>
      </w:rPr>
      <w:tab/>
    </w:r>
    <w:r w:rsidRPr="0086430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0E1CA3"/>
    <w:multiLevelType w:val="multilevel"/>
    <w:tmpl w:val="5770CDD8"/>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rPr>
        <w:u w:val="single"/>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CD6F35"/>
    <w:multiLevelType w:val="hybridMultilevel"/>
    <w:tmpl w:val="A836B2FE"/>
    <w:lvl w:ilvl="0" w:tplc="636A7878">
      <w:start w:val="1"/>
      <w:numFmt w:val="lowerLetter"/>
      <w:lvlText w:val="(%1)"/>
      <w:lvlJc w:val="left"/>
      <w:pPr>
        <w:ind w:left="1080" w:hanging="360"/>
      </w:pPr>
      <w:rPr>
        <w:rFonts w:hint="default"/>
        <w:u w:val="singl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3DF27CA"/>
    <w:multiLevelType w:val="hybridMultilevel"/>
    <w:tmpl w:val="BD3AF156"/>
    <w:lvl w:ilvl="0" w:tplc="EEEA4566">
      <w:start w:val="1"/>
      <w:numFmt w:val="decimal"/>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EBE0166"/>
    <w:multiLevelType w:val="multilevel"/>
    <w:tmpl w:val="7EBE0166"/>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07051407">
    <w:abstractNumId w:val="11"/>
  </w:num>
  <w:num w:numId="2" w16cid:durableId="1011832284">
    <w:abstractNumId w:val="4"/>
  </w:num>
  <w:num w:numId="3" w16cid:durableId="1943102285">
    <w:abstractNumId w:val="22"/>
  </w:num>
  <w:num w:numId="4" w16cid:durableId="1106316835">
    <w:abstractNumId w:val="17"/>
  </w:num>
  <w:num w:numId="5" w16cid:durableId="455106598">
    <w:abstractNumId w:val="15"/>
  </w:num>
  <w:num w:numId="6" w16cid:durableId="175340939">
    <w:abstractNumId w:val="1"/>
  </w:num>
  <w:num w:numId="7" w16cid:durableId="1854225982">
    <w:abstractNumId w:val="18"/>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3"/>
  </w:num>
  <w:num w:numId="13" w16cid:durableId="216819222">
    <w:abstractNumId w:val="10"/>
  </w:num>
  <w:num w:numId="14" w16cid:durableId="517544549">
    <w:abstractNumId w:val="19"/>
  </w:num>
  <w:num w:numId="15" w16cid:durableId="478498451">
    <w:abstractNumId w:val="9"/>
  </w:num>
  <w:num w:numId="16" w16cid:durableId="46998239">
    <w:abstractNumId w:val="21"/>
  </w:num>
  <w:num w:numId="17" w16cid:durableId="275597364">
    <w:abstractNumId w:val="2"/>
  </w:num>
  <w:num w:numId="18" w16cid:durableId="1162702400">
    <w:abstractNumId w:val="6"/>
  </w:num>
  <w:num w:numId="19" w16cid:durableId="2055156664">
    <w:abstractNumId w:val="14"/>
  </w:num>
  <w:num w:numId="20" w16cid:durableId="1121461949">
    <w:abstractNumId w:val="16"/>
  </w:num>
  <w:num w:numId="21" w16cid:durableId="819270812">
    <w:abstractNumId w:val="5"/>
  </w:num>
  <w:num w:numId="22" w16cid:durableId="38476566">
    <w:abstractNumId w:val="23"/>
  </w:num>
  <w:num w:numId="23" w16cid:durableId="1511991565">
    <w:abstractNumId w:val="12"/>
  </w:num>
  <w:num w:numId="24" w16cid:durableId="7761429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966"/>
    <w:rsid w:val="00040CAA"/>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2A0B"/>
    <w:rsid w:val="000C5223"/>
    <w:rsid w:val="000C58FF"/>
    <w:rsid w:val="000C68E5"/>
    <w:rsid w:val="000D2EB5"/>
    <w:rsid w:val="000D30A4"/>
    <w:rsid w:val="000E515E"/>
    <w:rsid w:val="000E6633"/>
    <w:rsid w:val="000F222B"/>
    <w:rsid w:val="00113415"/>
    <w:rsid w:val="001150B3"/>
    <w:rsid w:val="00115129"/>
    <w:rsid w:val="001216F2"/>
    <w:rsid w:val="001227A1"/>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87232"/>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7EB3"/>
    <w:rsid w:val="00230215"/>
    <w:rsid w:val="002304C5"/>
    <w:rsid w:val="002318F0"/>
    <w:rsid w:val="00231C2C"/>
    <w:rsid w:val="0023393F"/>
    <w:rsid w:val="002429DB"/>
    <w:rsid w:val="002435A4"/>
    <w:rsid w:val="0024422E"/>
    <w:rsid w:val="00251AFB"/>
    <w:rsid w:val="00252646"/>
    <w:rsid w:val="00254DCC"/>
    <w:rsid w:val="002600AE"/>
    <w:rsid w:val="00260FC0"/>
    <w:rsid w:val="0026457F"/>
    <w:rsid w:val="002646F8"/>
    <w:rsid w:val="00266688"/>
    <w:rsid w:val="00273031"/>
    <w:rsid w:val="00285A15"/>
    <w:rsid w:val="0028794F"/>
    <w:rsid w:val="00287E3E"/>
    <w:rsid w:val="00291A4F"/>
    <w:rsid w:val="002A1D65"/>
    <w:rsid w:val="002A23EE"/>
    <w:rsid w:val="002A4F4F"/>
    <w:rsid w:val="002B2FBB"/>
    <w:rsid w:val="002B5618"/>
    <w:rsid w:val="002B62EE"/>
    <w:rsid w:val="002B7906"/>
    <w:rsid w:val="002C1726"/>
    <w:rsid w:val="002C779B"/>
    <w:rsid w:val="002D6159"/>
    <w:rsid w:val="002E3995"/>
    <w:rsid w:val="002F21CF"/>
    <w:rsid w:val="002F48BA"/>
    <w:rsid w:val="002F5B16"/>
    <w:rsid w:val="00302F90"/>
    <w:rsid w:val="0030308D"/>
    <w:rsid w:val="00310FDD"/>
    <w:rsid w:val="0031323F"/>
    <w:rsid w:val="00313C97"/>
    <w:rsid w:val="00314E6B"/>
    <w:rsid w:val="00321AB7"/>
    <w:rsid w:val="003223D4"/>
    <w:rsid w:val="0032794E"/>
    <w:rsid w:val="00332E7A"/>
    <w:rsid w:val="003357C4"/>
    <w:rsid w:val="00343CBC"/>
    <w:rsid w:val="0034626A"/>
    <w:rsid w:val="00346582"/>
    <w:rsid w:val="00350AF5"/>
    <w:rsid w:val="003524D5"/>
    <w:rsid w:val="00356264"/>
    <w:rsid w:val="00356E97"/>
    <w:rsid w:val="00365FFA"/>
    <w:rsid w:val="00371D68"/>
    <w:rsid w:val="00372E7F"/>
    <w:rsid w:val="0037751A"/>
    <w:rsid w:val="00381E1D"/>
    <w:rsid w:val="00391B13"/>
    <w:rsid w:val="00396AC8"/>
    <w:rsid w:val="003A2100"/>
    <w:rsid w:val="003B17EE"/>
    <w:rsid w:val="003B2357"/>
    <w:rsid w:val="003B6F6C"/>
    <w:rsid w:val="003C79D6"/>
    <w:rsid w:val="003D3B08"/>
    <w:rsid w:val="003D42BF"/>
    <w:rsid w:val="003D4499"/>
    <w:rsid w:val="003E0CF2"/>
    <w:rsid w:val="003E2D11"/>
    <w:rsid w:val="003E30F3"/>
    <w:rsid w:val="003E6BAF"/>
    <w:rsid w:val="003E7234"/>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E5C"/>
    <w:rsid w:val="00442F65"/>
    <w:rsid w:val="00444257"/>
    <w:rsid w:val="00452649"/>
    <w:rsid w:val="00461FBD"/>
    <w:rsid w:val="00462353"/>
    <w:rsid w:val="00462BEA"/>
    <w:rsid w:val="00465256"/>
    <w:rsid w:val="004674AD"/>
    <w:rsid w:val="00481E60"/>
    <w:rsid w:val="0048210C"/>
    <w:rsid w:val="0049425A"/>
    <w:rsid w:val="004A0EAF"/>
    <w:rsid w:val="004A34ED"/>
    <w:rsid w:val="004A4DB3"/>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2A6"/>
    <w:rsid w:val="0056577A"/>
    <w:rsid w:val="005666B8"/>
    <w:rsid w:val="00567D10"/>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375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67C7"/>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03048"/>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82572"/>
    <w:rsid w:val="00791FA9"/>
    <w:rsid w:val="00795BD6"/>
    <w:rsid w:val="007A346E"/>
    <w:rsid w:val="007A4745"/>
    <w:rsid w:val="007A5875"/>
    <w:rsid w:val="007B090C"/>
    <w:rsid w:val="007C7157"/>
    <w:rsid w:val="007D76E0"/>
    <w:rsid w:val="007E368D"/>
    <w:rsid w:val="00804D98"/>
    <w:rsid w:val="00805B64"/>
    <w:rsid w:val="00807CED"/>
    <w:rsid w:val="00812840"/>
    <w:rsid w:val="00822A92"/>
    <w:rsid w:val="008316F2"/>
    <w:rsid w:val="00831773"/>
    <w:rsid w:val="008337A4"/>
    <w:rsid w:val="00834801"/>
    <w:rsid w:val="00836115"/>
    <w:rsid w:val="00836710"/>
    <w:rsid w:val="008402C1"/>
    <w:rsid w:val="008450D8"/>
    <w:rsid w:val="00850770"/>
    <w:rsid w:val="008574AE"/>
    <w:rsid w:val="00864305"/>
    <w:rsid w:val="008670BC"/>
    <w:rsid w:val="00881D48"/>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4FC7"/>
    <w:rsid w:val="008E5542"/>
    <w:rsid w:val="008E5DA2"/>
    <w:rsid w:val="008F27E4"/>
    <w:rsid w:val="008F7FC7"/>
    <w:rsid w:val="0090179D"/>
    <w:rsid w:val="009061B2"/>
    <w:rsid w:val="009063F6"/>
    <w:rsid w:val="00910CF1"/>
    <w:rsid w:val="00916051"/>
    <w:rsid w:val="0091725F"/>
    <w:rsid w:val="00922818"/>
    <w:rsid w:val="00927794"/>
    <w:rsid w:val="00930E48"/>
    <w:rsid w:val="0093314A"/>
    <w:rsid w:val="0093744C"/>
    <w:rsid w:val="00942E06"/>
    <w:rsid w:val="00950505"/>
    <w:rsid w:val="00950A46"/>
    <w:rsid w:val="00952875"/>
    <w:rsid w:val="00954675"/>
    <w:rsid w:val="00962C3E"/>
    <w:rsid w:val="00963E17"/>
    <w:rsid w:val="00965195"/>
    <w:rsid w:val="00970540"/>
    <w:rsid w:val="009712E9"/>
    <w:rsid w:val="00971D18"/>
    <w:rsid w:val="009833D3"/>
    <w:rsid w:val="009927E5"/>
    <w:rsid w:val="009A0ED5"/>
    <w:rsid w:val="009B47BF"/>
    <w:rsid w:val="009D1C75"/>
    <w:rsid w:val="009D5726"/>
    <w:rsid w:val="009D61E3"/>
    <w:rsid w:val="009D7450"/>
    <w:rsid w:val="009D79EC"/>
    <w:rsid w:val="009E36AA"/>
    <w:rsid w:val="009F15AE"/>
    <w:rsid w:val="009F3C51"/>
    <w:rsid w:val="009F56FD"/>
    <w:rsid w:val="00A02203"/>
    <w:rsid w:val="00A04522"/>
    <w:rsid w:val="00A04577"/>
    <w:rsid w:val="00A11BAB"/>
    <w:rsid w:val="00A134AB"/>
    <w:rsid w:val="00A1720E"/>
    <w:rsid w:val="00A22039"/>
    <w:rsid w:val="00A23051"/>
    <w:rsid w:val="00A23CBE"/>
    <w:rsid w:val="00A26252"/>
    <w:rsid w:val="00A26489"/>
    <w:rsid w:val="00A30925"/>
    <w:rsid w:val="00A332FC"/>
    <w:rsid w:val="00A3392B"/>
    <w:rsid w:val="00A41F69"/>
    <w:rsid w:val="00A44362"/>
    <w:rsid w:val="00A47378"/>
    <w:rsid w:val="00A47BDC"/>
    <w:rsid w:val="00A52322"/>
    <w:rsid w:val="00A52F9B"/>
    <w:rsid w:val="00A5416B"/>
    <w:rsid w:val="00A62528"/>
    <w:rsid w:val="00A67A3A"/>
    <w:rsid w:val="00A770A7"/>
    <w:rsid w:val="00A7759E"/>
    <w:rsid w:val="00A804F8"/>
    <w:rsid w:val="00A8093F"/>
    <w:rsid w:val="00A860DC"/>
    <w:rsid w:val="00A92D34"/>
    <w:rsid w:val="00A94A37"/>
    <w:rsid w:val="00A9567F"/>
    <w:rsid w:val="00A971E3"/>
    <w:rsid w:val="00AA1BAB"/>
    <w:rsid w:val="00AB417C"/>
    <w:rsid w:val="00AB6B2F"/>
    <w:rsid w:val="00AC7A4D"/>
    <w:rsid w:val="00AD173C"/>
    <w:rsid w:val="00AD1CE3"/>
    <w:rsid w:val="00AD2586"/>
    <w:rsid w:val="00AD3CF8"/>
    <w:rsid w:val="00AD473B"/>
    <w:rsid w:val="00AD4C7D"/>
    <w:rsid w:val="00AE1FE1"/>
    <w:rsid w:val="00AE6E43"/>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0673"/>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25EA"/>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131D"/>
    <w:rsid w:val="00CD7B56"/>
    <w:rsid w:val="00CE36C8"/>
    <w:rsid w:val="00CE47A1"/>
    <w:rsid w:val="00CF3010"/>
    <w:rsid w:val="00CF4242"/>
    <w:rsid w:val="00CF70FE"/>
    <w:rsid w:val="00D00EE1"/>
    <w:rsid w:val="00D00FA7"/>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0C8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117D"/>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1C22"/>
    <w:rsid w:val="00F3308A"/>
    <w:rsid w:val="00F36138"/>
    <w:rsid w:val="00F42967"/>
    <w:rsid w:val="00F519A3"/>
    <w:rsid w:val="00F55BC6"/>
    <w:rsid w:val="00F571EB"/>
    <w:rsid w:val="00F65464"/>
    <w:rsid w:val="00F70223"/>
    <w:rsid w:val="00F70BEF"/>
    <w:rsid w:val="00F70D38"/>
    <w:rsid w:val="00F739FE"/>
    <w:rsid w:val="00F83F2E"/>
    <w:rsid w:val="00F858BD"/>
    <w:rsid w:val="00FA0CB1"/>
    <w:rsid w:val="00FA11F4"/>
    <w:rsid w:val="00FB470E"/>
    <w:rsid w:val="00FB77D5"/>
    <w:rsid w:val="00FD065B"/>
    <w:rsid w:val="00FD093E"/>
    <w:rsid w:val="00FD51AC"/>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qForma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1374</Words>
  <Characters>7837</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Kristal Rivera Sanchez</cp:lastModifiedBy>
  <cp:revision>2</cp:revision>
  <cp:lastPrinted>2025-06-10T15:44:00Z</cp:lastPrinted>
  <dcterms:created xsi:type="dcterms:W3CDTF">2025-06-10T16:13:00Z</dcterms:created>
  <dcterms:modified xsi:type="dcterms:W3CDTF">2025-06-10T16:13:00Z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