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822A92" w:rsidRDefault="00850770">
      <w:pPr>
        <w:jc w:val="center"/>
        <w:rPr>
          <w:rFonts w:ascii="Book Antiqua" w:eastAsia="Book Antiqua" w:hAnsi="Book Antiqua" w:cs="Book Antiqua"/>
          <w:bCs/>
          <w:color w:val="000000" w:themeColor="text1"/>
          <w:sz w:val="28"/>
          <w:szCs w:val="28"/>
        </w:rPr>
      </w:pPr>
      <w:r w:rsidRPr="00822A92">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822A92">
        <w:rPr>
          <w:rFonts w:ascii="Book Antiqua" w:eastAsia="Book Antiqua" w:hAnsi="Book Antiqua" w:cs="Book Antiqua"/>
          <w:bCs/>
          <w:color w:val="000000" w:themeColor="text1"/>
          <w:sz w:val="28"/>
          <w:szCs w:val="28"/>
        </w:rPr>
        <w:t>PUERTO RICO</w:t>
      </w:r>
    </w:p>
    <w:p w14:paraId="79550657" w14:textId="77777777" w:rsidR="00FF2214" w:rsidRPr="00864305" w:rsidRDefault="00FF2214">
      <w:pPr>
        <w:jc w:val="center"/>
        <w:rPr>
          <w:rFonts w:ascii="Book Antiqua" w:eastAsia="Book Antiqua" w:hAnsi="Book Antiqua" w:cs="Book Antiqua"/>
          <w:color w:val="000000" w:themeColor="text1"/>
        </w:rPr>
      </w:pPr>
    </w:p>
    <w:p w14:paraId="79550658" w14:textId="77777777" w:rsidR="00FF2214" w:rsidRPr="00864305" w:rsidRDefault="00850770">
      <w:pPr>
        <w:tabs>
          <w:tab w:val="left" w:pos="648"/>
          <w:tab w:val="right" w:pos="7776"/>
          <w:tab w:val="left" w:pos="7848"/>
        </w:tabs>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 xml:space="preserve">20 </w:t>
      </w:r>
      <w:r w:rsidRPr="00864305">
        <w:rPr>
          <w:rFonts w:ascii="Book Antiqua" w:eastAsia="Book Antiqua" w:hAnsi="Book Antiqua" w:cs="Book Antiqua"/>
          <w:color w:val="000000" w:themeColor="text1"/>
          <w:vertAlign w:val="superscript"/>
        </w:rPr>
        <w:t>ma.</w:t>
      </w:r>
      <w:r w:rsidRPr="00864305">
        <w:rPr>
          <w:rFonts w:ascii="Book Antiqua" w:eastAsia="Book Antiqua" w:hAnsi="Book Antiqua" w:cs="Book Antiqua"/>
          <w:color w:val="000000" w:themeColor="text1"/>
        </w:rPr>
        <w:tab/>
        <w:t>Asamblea</w:t>
      </w:r>
      <w:r w:rsidRPr="00864305">
        <w:rPr>
          <w:rFonts w:ascii="Book Antiqua" w:eastAsia="Book Antiqua" w:hAnsi="Book Antiqua" w:cs="Book Antiqua"/>
          <w:color w:val="000000" w:themeColor="text1"/>
        </w:rPr>
        <w:tab/>
        <w:t>1</w:t>
      </w:r>
      <w:r w:rsidRPr="00864305">
        <w:rPr>
          <w:rFonts w:ascii="Book Antiqua" w:eastAsia="Book Antiqua" w:hAnsi="Book Antiqua" w:cs="Book Antiqua"/>
          <w:color w:val="000000" w:themeColor="text1"/>
          <w:vertAlign w:val="superscript"/>
        </w:rPr>
        <w:t>ra.</w:t>
      </w:r>
      <w:r w:rsidRPr="00864305">
        <w:rPr>
          <w:rFonts w:ascii="Book Antiqua" w:eastAsia="Book Antiqua" w:hAnsi="Book Antiqua" w:cs="Book Antiqua"/>
          <w:color w:val="000000" w:themeColor="text1"/>
          <w:vertAlign w:val="superscript"/>
        </w:rPr>
        <w:tab/>
      </w:r>
      <w:r w:rsidRPr="00864305">
        <w:rPr>
          <w:rFonts w:ascii="Book Antiqua" w:eastAsia="Book Antiqua" w:hAnsi="Book Antiqua" w:cs="Book Antiqua"/>
          <w:color w:val="000000" w:themeColor="text1"/>
        </w:rPr>
        <w:t>Sesión</w:t>
      </w:r>
    </w:p>
    <w:p w14:paraId="79550659" w14:textId="77777777" w:rsidR="00FF2214" w:rsidRPr="00864305" w:rsidRDefault="00850770">
      <w:pPr>
        <w:tabs>
          <w:tab w:val="left" w:pos="648"/>
          <w:tab w:val="right" w:pos="7776"/>
          <w:tab w:val="left" w:pos="7848"/>
        </w:tabs>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ab/>
        <w:t>Legislativa</w:t>
      </w:r>
      <w:r w:rsidRPr="00864305">
        <w:rPr>
          <w:rFonts w:ascii="Book Antiqua" w:eastAsia="Book Antiqua" w:hAnsi="Book Antiqua" w:cs="Book Antiqua"/>
          <w:color w:val="000000" w:themeColor="text1"/>
        </w:rPr>
        <w:tab/>
      </w:r>
      <w:r w:rsidRPr="00864305">
        <w:rPr>
          <w:rFonts w:ascii="Book Antiqua" w:eastAsia="Book Antiqua" w:hAnsi="Book Antiqua" w:cs="Book Antiqua"/>
          <w:color w:val="000000" w:themeColor="text1"/>
        </w:rPr>
        <w:tab/>
        <w:t>Ordinaria</w:t>
      </w:r>
    </w:p>
    <w:p w14:paraId="7955065A" w14:textId="77777777" w:rsidR="00FF2214" w:rsidRPr="00864305" w:rsidRDefault="00FF2214">
      <w:pPr>
        <w:rPr>
          <w:rFonts w:ascii="Book Antiqua" w:eastAsia="Book Antiqua" w:hAnsi="Book Antiqua" w:cs="Book Antiqua"/>
          <w:color w:val="000000" w:themeColor="text1"/>
        </w:rPr>
      </w:pPr>
    </w:p>
    <w:p w14:paraId="32A931BE" w14:textId="77777777" w:rsidR="00950505" w:rsidRPr="00864305" w:rsidRDefault="00950505" w:rsidP="00950505">
      <w:pPr>
        <w:jc w:val="center"/>
        <w:rPr>
          <w:rFonts w:ascii="Book Antiqua" w:hAnsi="Book Antiqua"/>
          <w:b/>
          <w:color w:val="000000" w:themeColor="text1"/>
          <w:sz w:val="36"/>
          <w:szCs w:val="36"/>
        </w:rPr>
      </w:pPr>
      <w:r w:rsidRPr="00864305">
        <w:rPr>
          <w:rFonts w:ascii="Book Antiqua" w:hAnsi="Book Antiqua"/>
          <w:b/>
          <w:color w:val="000000" w:themeColor="text1"/>
          <w:sz w:val="36"/>
          <w:szCs w:val="36"/>
        </w:rPr>
        <w:t>CÁMARA DE REPRESENTANTES</w:t>
      </w:r>
    </w:p>
    <w:p w14:paraId="1FE61380" w14:textId="77777777" w:rsidR="00950505" w:rsidRPr="00864305" w:rsidRDefault="00950505" w:rsidP="00950505">
      <w:pPr>
        <w:jc w:val="center"/>
        <w:rPr>
          <w:rFonts w:ascii="Book Antiqua" w:hAnsi="Book Antiqua"/>
          <w:color w:val="000000" w:themeColor="text1"/>
        </w:rPr>
      </w:pPr>
    </w:p>
    <w:p w14:paraId="5886E84B" w14:textId="76980D18" w:rsidR="00950505" w:rsidRPr="00864305" w:rsidRDefault="00950505" w:rsidP="00950505">
      <w:pPr>
        <w:jc w:val="center"/>
        <w:rPr>
          <w:rFonts w:ascii="Book Antiqua" w:hAnsi="Book Antiqua"/>
          <w:b/>
          <w:color w:val="000000" w:themeColor="text1"/>
          <w:sz w:val="52"/>
          <w:szCs w:val="52"/>
        </w:rPr>
      </w:pPr>
      <w:r w:rsidRPr="00864305">
        <w:rPr>
          <w:rFonts w:ascii="Book Antiqua" w:hAnsi="Book Antiqua"/>
          <w:b/>
          <w:color w:val="000000" w:themeColor="text1"/>
          <w:sz w:val="52"/>
          <w:szCs w:val="52"/>
        </w:rPr>
        <w:t>P. de la C.</w:t>
      </w:r>
      <w:r w:rsidR="00782572">
        <w:rPr>
          <w:rFonts w:ascii="Book Antiqua" w:hAnsi="Book Antiqua"/>
          <w:b/>
          <w:color w:val="000000" w:themeColor="text1"/>
          <w:sz w:val="52"/>
          <w:szCs w:val="52"/>
        </w:rPr>
        <w:t xml:space="preserve"> 487</w:t>
      </w:r>
    </w:p>
    <w:p w14:paraId="4A8A7A6F" w14:textId="77777777" w:rsidR="00950505" w:rsidRPr="00864305" w:rsidRDefault="00950505" w:rsidP="00950505">
      <w:pPr>
        <w:jc w:val="center"/>
        <w:rPr>
          <w:rFonts w:ascii="Book Antiqua" w:hAnsi="Book Antiqua"/>
          <w:color w:val="000000" w:themeColor="text1"/>
        </w:rPr>
      </w:pPr>
    </w:p>
    <w:p w14:paraId="3D87D176" w14:textId="3558E38B" w:rsidR="00950505" w:rsidRPr="00864305" w:rsidRDefault="00782572" w:rsidP="00950505">
      <w:pPr>
        <w:jc w:val="center"/>
        <w:rPr>
          <w:rFonts w:ascii="Book Antiqua" w:hAnsi="Book Antiqua"/>
          <w:b/>
          <w:color w:val="000000" w:themeColor="text1"/>
          <w:sz w:val="48"/>
        </w:rPr>
      </w:pPr>
      <w:r>
        <w:rPr>
          <w:rFonts w:ascii="Book Antiqua" w:hAnsi="Book Antiqua"/>
          <w:color w:val="000000" w:themeColor="text1"/>
        </w:rPr>
        <w:t xml:space="preserve">3 </w:t>
      </w:r>
      <w:r w:rsidR="00822A92">
        <w:rPr>
          <w:rFonts w:ascii="Book Antiqua" w:hAnsi="Book Antiqua"/>
          <w:color w:val="000000" w:themeColor="text1"/>
        </w:rPr>
        <w:t>DE ABRIL DE</w:t>
      </w:r>
      <w:r w:rsidR="00950505" w:rsidRPr="00864305">
        <w:rPr>
          <w:rFonts w:ascii="Book Antiqua" w:hAnsi="Book Antiqua"/>
          <w:color w:val="000000" w:themeColor="text1"/>
        </w:rPr>
        <w:t xml:space="preserve"> 2025</w:t>
      </w:r>
    </w:p>
    <w:p w14:paraId="1E7B6D3E" w14:textId="77777777" w:rsidR="00950505" w:rsidRPr="00864305" w:rsidRDefault="00950505" w:rsidP="00950505">
      <w:pPr>
        <w:jc w:val="center"/>
        <w:rPr>
          <w:rFonts w:ascii="Book Antiqua" w:hAnsi="Book Antiqua"/>
          <w:color w:val="000000" w:themeColor="text1"/>
        </w:rPr>
      </w:pPr>
    </w:p>
    <w:p w14:paraId="001AA10B" w14:textId="2748EA1A" w:rsidR="00950505" w:rsidRPr="00864305" w:rsidRDefault="00950505" w:rsidP="00B00227">
      <w:pPr>
        <w:ind w:left="810" w:hanging="810"/>
        <w:jc w:val="both"/>
        <w:rPr>
          <w:rFonts w:ascii="Book Antiqua" w:eastAsia="Aptos" w:hAnsi="Book Antiqua"/>
          <w:i/>
          <w:iCs/>
          <w:kern w:val="2"/>
          <w14:ligatures w14:val="standardContextual"/>
        </w:rPr>
      </w:pPr>
      <w:r w:rsidRPr="00864305">
        <w:rPr>
          <w:rFonts w:ascii="Book Antiqua" w:hAnsi="Book Antiqua"/>
          <w:color w:val="000000" w:themeColor="text1"/>
        </w:rPr>
        <w:t xml:space="preserve">Presentado </w:t>
      </w:r>
      <w:r w:rsidR="00B02CD9" w:rsidRPr="00864305">
        <w:rPr>
          <w:rFonts w:ascii="Book Antiqua" w:eastAsia="Book Antiqua" w:hAnsi="Book Antiqua" w:cs="Book Antiqua"/>
          <w:color w:val="000000" w:themeColor="text1"/>
        </w:rPr>
        <w:t xml:space="preserve">por </w:t>
      </w:r>
      <w:r w:rsidR="00B02CD9" w:rsidRPr="00864305">
        <w:rPr>
          <w:rFonts w:ascii="Book Antiqua" w:hAnsi="Book Antiqua"/>
        </w:rPr>
        <w:t xml:space="preserve">el representante </w:t>
      </w:r>
      <w:r w:rsidR="00B02CD9" w:rsidRPr="00864305">
        <w:rPr>
          <w:rFonts w:ascii="Book Antiqua" w:hAnsi="Book Antiqua"/>
          <w:i/>
          <w:iCs/>
        </w:rPr>
        <w:t xml:space="preserve">Méndez Núñez;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Lebrón Rodríguez;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Peña Ramírez, Torres Zamora, Román López, Aponte Hernández, Carlo Acosta, </w:t>
      </w:r>
      <w:proofErr w:type="spellStart"/>
      <w:r w:rsidR="00B02CD9" w:rsidRPr="00864305">
        <w:rPr>
          <w:rFonts w:ascii="Book Antiqua" w:eastAsia="Aptos" w:hAnsi="Book Antiqua"/>
          <w:i/>
          <w:iCs/>
          <w:kern w:val="2"/>
          <w14:ligatures w14:val="standardContextual"/>
        </w:rPr>
        <w:t>Charbonier</w:t>
      </w:r>
      <w:proofErr w:type="spellEnd"/>
      <w:r w:rsidR="00B02CD9" w:rsidRPr="00864305">
        <w:rPr>
          <w:rFonts w:ascii="Book Antiqua" w:eastAsia="Aptos" w:hAnsi="Book Antiqua"/>
          <w:i/>
          <w:iCs/>
          <w:kern w:val="2"/>
          <w14:ligatures w14:val="standardContextual"/>
        </w:rPr>
        <w:t xml:space="preserve"> Chinea, Colón Rodríguez;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del Valle Correa;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Estévez Vélez, </w:t>
      </w:r>
      <w:proofErr w:type="spellStart"/>
      <w:r w:rsidR="00B02CD9" w:rsidRPr="00864305">
        <w:rPr>
          <w:rFonts w:ascii="Book Antiqua" w:eastAsia="Aptos" w:hAnsi="Book Antiqua"/>
          <w:i/>
          <w:iCs/>
          <w:kern w:val="2"/>
          <w14:ligatures w14:val="standardContextual"/>
        </w:rPr>
        <w:t>Franqui</w:t>
      </w:r>
      <w:proofErr w:type="spellEnd"/>
      <w:r w:rsidR="00B02CD9" w:rsidRPr="00864305">
        <w:rPr>
          <w:rFonts w:ascii="Book Antiqua" w:eastAsia="Aptos" w:hAnsi="Book Antiqua"/>
          <w:i/>
          <w:iCs/>
          <w:kern w:val="2"/>
          <w14:ligatures w14:val="standardContextual"/>
        </w:rPr>
        <w:t xml:space="preserve"> </w:t>
      </w:r>
      <w:proofErr w:type="spellStart"/>
      <w:r w:rsidR="00B02CD9" w:rsidRPr="00864305">
        <w:rPr>
          <w:rFonts w:ascii="Book Antiqua" w:eastAsia="Aptos" w:hAnsi="Book Antiqua"/>
          <w:i/>
          <w:iCs/>
          <w:kern w:val="2"/>
          <w14:ligatures w14:val="standardContextual"/>
        </w:rPr>
        <w:t>Atiles</w:t>
      </w:r>
      <w:proofErr w:type="spellEnd"/>
      <w:r w:rsidR="00B02CD9" w:rsidRPr="00864305">
        <w:rPr>
          <w:rFonts w:ascii="Book Antiqua" w:eastAsia="Aptos" w:hAnsi="Book Antiqua"/>
          <w:i/>
          <w:iCs/>
          <w:kern w:val="2"/>
          <w14:ligatures w14:val="standardContextual"/>
        </w:rPr>
        <w:t xml:space="preserve">;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González Aguayo, González </w:t>
      </w:r>
      <w:proofErr w:type="spellStart"/>
      <w:r w:rsidR="00B02CD9" w:rsidRPr="00864305">
        <w:rPr>
          <w:rFonts w:ascii="Book Antiqua" w:eastAsia="Aptos" w:hAnsi="Book Antiqua"/>
          <w:i/>
          <w:iCs/>
          <w:kern w:val="2"/>
          <w14:ligatures w14:val="standardContextual"/>
        </w:rPr>
        <w:t>González</w:t>
      </w:r>
      <w:proofErr w:type="spellEnd"/>
      <w:r w:rsidR="00B02CD9" w:rsidRPr="00864305">
        <w:rPr>
          <w:rFonts w:ascii="Book Antiqua" w:eastAsia="Aptos" w:hAnsi="Book Antiqua"/>
          <w:i/>
          <w:iCs/>
          <w:kern w:val="2"/>
          <w14:ligatures w14:val="standardContextual"/>
        </w:rPr>
        <w:t xml:space="preserve">;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Hernández Concepción, Jiménez Torres;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Martínez Vázquez, Medina Calderón;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w:t>
      </w:r>
      <w:proofErr w:type="spellStart"/>
      <w:r w:rsidR="00B02CD9" w:rsidRPr="00864305">
        <w:rPr>
          <w:rFonts w:ascii="Book Antiqua" w:eastAsia="Aptos" w:hAnsi="Book Antiqua"/>
          <w:i/>
          <w:iCs/>
          <w:kern w:val="2"/>
          <w14:ligatures w14:val="standardContextual"/>
        </w:rPr>
        <w:t>Morey</w:t>
      </w:r>
      <w:proofErr w:type="spellEnd"/>
      <w:r w:rsidR="00B02CD9" w:rsidRPr="00864305">
        <w:rPr>
          <w:rFonts w:ascii="Book Antiqua" w:eastAsia="Aptos" w:hAnsi="Book Antiqua"/>
          <w:i/>
          <w:iCs/>
          <w:kern w:val="2"/>
          <w14:ligatures w14:val="standardContextual"/>
        </w:rPr>
        <w:t xml:space="preserve"> Noble, Muriel Sánchez, Navarro Suárez, Nieves, Rosario, Ocasio Ramos, Pacheco Burgos, Parés Otero;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Peña Dávila;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Pérez Cordero, Pérez Ortiz;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Pérez Ramírez, Ramos Rivera;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Robles Rivera, Rodríguez Aguiló, Rodríguez Torres, Roque Gracia, Sanabria Colón </w:t>
      </w:r>
      <w:r w:rsidR="00B02CD9" w:rsidRPr="00822A92">
        <w:rPr>
          <w:rFonts w:ascii="Book Antiqua" w:eastAsia="Aptos" w:hAnsi="Book Antiqua"/>
          <w:kern w:val="2"/>
          <w14:ligatures w14:val="standardContextual"/>
        </w:rPr>
        <w:t>y</w:t>
      </w:r>
      <w:r w:rsidR="00B02CD9" w:rsidRPr="00864305">
        <w:rPr>
          <w:rFonts w:ascii="Book Antiqua" w:eastAsia="Aptos" w:hAnsi="Book Antiqua"/>
          <w:i/>
          <w:iCs/>
          <w:kern w:val="2"/>
          <w14:ligatures w14:val="standardContextual"/>
        </w:rPr>
        <w:t xml:space="preserve"> Santiago Guzmán</w:t>
      </w:r>
    </w:p>
    <w:p w14:paraId="18A0DB58" w14:textId="77777777" w:rsidR="00950505" w:rsidRPr="00864305" w:rsidRDefault="00950505" w:rsidP="00950505">
      <w:pPr>
        <w:jc w:val="center"/>
        <w:rPr>
          <w:rFonts w:ascii="Book Antiqua" w:hAnsi="Book Antiqua"/>
          <w:color w:val="000000" w:themeColor="text1"/>
        </w:rPr>
      </w:pPr>
    </w:p>
    <w:p w14:paraId="6E0B8939" w14:textId="02972EFC" w:rsidR="00950505" w:rsidRPr="00864305" w:rsidRDefault="00950505" w:rsidP="00950505">
      <w:pPr>
        <w:jc w:val="center"/>
        <w:rPr>
          <w:rFonts w:ascii="Book Antiqua" w:hAnsi="Book Antiqua"/>
          <w:color w:val="000000" w:themeColor="text1"/>
        </w:rPr>
      </w:pPr>
      <w:r w:rsidRPr="00864305">
        <w:rPr>
          <w:rFonts w:ascii="Book Antiqua" w:hAnsi="Book Antiqua"/>
          <w:color w:val="000000" w:themeColor="text1"/>
        </w:rPr>
        <w:t>Referido a</w:t>
      </w:r>
      <w:r w:rsidR="00481E60">
        <w:rPr>
          <w:rFonts w:ascii="Book Antiqua" w:hAnsi="Book Antiqua"/>
          <w:color w:val="000000" w:themeColor="text1"/>
        </w:rPr>
        <w:t xml:space="preserve"> la Comisión de Seguridad Pública</w:t>
      </w:r>
    </w:p>
    <w:p w14:paraId="4B9C3823" w14:textId="77777777" w:rsidR="00950505" w:rsidRPr="00864305" w:rsidRDefault="00950505" w:rsidP="00950505">
      <w:pPr>
        <w:jc w:val="both"/>
        <w:rPr>
          <w:rFonts w:ascii="Book Antiqua" w:hAnsi="Book Antiqua"/>
          <w:color w:val="000000" w:themeColor="text1"/>
        </w:rPr>
      </w:pPr>
    </w:p>
    <w:p w14:paraId="43228070" w14:textId="77777777" w:rsidR="00950505" w:rsidRPr="00864305" w:rsidRDefault="00950505" w:rsidP="00950505">
      <w:pPr>
        <w:jc w:val="center"/>
        <w:rPr>
          <w:rFonts w:ascii="Book Antiqua" w:hAnsi="Book Antiqua"/>
          <w:b/>
          <w:color w:val="000000" w:themeColor="text1"/>
          <w:sz w:val="28"/>
        </w:rPr>
      </w:pPr>
      <w:r w:rsidRPr="00864305">
        <w:rPr>
          <w:rFonts w:ascii="Book Antiqua" w:hAnsi="Book Antiqua"/>
          <w:b/>
          <w:color w:val="000000" w:themeColor="text1"/>
          <w:sz w:val="28"/>
        </w:rPr>
        <w:t>LEY</w:t>
      </w:r>
    </w:p>
    <w:p w14:paraId="79550663" w14:textId="77777777" w:rsidR="00FF2214" w:rsidRPr="00864305" w:rsidRDefault="00FF2214">
      <w:pPr>
        <w:jc w:val="both"/>
        <w:rPr>
          <w:rFonts w:ascii="Book Antiqua" w:eastAsia="Book Antiqua" w:hAnsi="Book Antiqua" w:cs="Book Antiqua"/>
          <w:color w:val="000000" w:themeColor="text1"/>
        </w:rPr>
      </w:pPr>
    </w:p>
    <w:p w14:paraId="6F84EFB6" w14:textId="11202DF7" w:rsidR="00864305" w:rsidRPr="00864305" w:rsidRDefault="00850770" w:rsidP="00864305">
      <w:pPr>
        <w:ind w:left="540" w:hanging="540"/>
        <w:jc w:val="both"/>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Para</w:t>
      </w:r>
      <w:r w:rsidR="00E45E9B" w:rsidRPr="00864305">
        <w:rPr>
          <w:rFonts w:ascii="Book Antiqua" w:eastAsia="Book Antiqua" w:hAnsi="Book Antiqua" w:cs="Book Antiqua"/>
          <w:color w:val="000000" w:themeColor="text1"/>
        </w:rPr>
        <w:t xml:space="preserve"> </w:t>
      </w:r>
      <w:r w:rsidR="00927794">
        <w:rPr>
          <w:rFonts w:ascii="Book Antiqua" w:eastAsia="Book Antiqua" w:hAnsi="Book Antiqua" w:cs="Book Antiqua"/>
          <w:color w:val="000000"/>
        </w:rPr>
        <w:t xml:space="preserve">enmendar el Artículo 7.04(a) de la Ley Núm. 20 </w:t>
      </w:r>
      <w:r w:rsidR="002C779B">
        <w:rPr>
          <w:rFonts w:ascii="Book Antiqua" w:eastAsia="Book Antiqua" w:hAnsi="Book Antiqua" w:cs="Book Antiqua"/>
          <w:color w:val="000000"/>
        </w:rPr>
        <w:t>-</w:t>
      </w:r>
      <w:r w:rsidR="00927794">
        <w:rPr>
          <w:rFonts w:ascii="Book Antiqua" w:eastAsia="Book Antiqua" w:hAnsi="Book Antiqua" w:cs="Book Antiqua"/>
          <w:color w:val="000000"/>
        </w:rPr>
        <w:t xml:space="preserve"> 2017, según enmendada, conocida como “Ley del Departamento de Seguridad Pública de Puerto Rico”, para añadir un nuevo inciso 20 a los fines de disponer que el Negociado de Investigaciones Especiales, tendrá jurisdicción concurrente para investigar casos de explotación financiera de adultos mayores en los que estén involucrados personal de un establecimiento residencial, hogar sustituto o institución dedicada al cuido de adultos mayores durante las veinticuatro (24) horas del día o parte de éstas; y para otros fines relacionados.</w:t>
      </w:r>
    </w:p>
    <w:p w14:paraId="726F9974" w14:textId="59ED1D97" w:rsidR="000B77A8" w:rsidRPr="00864305" w:rsidRDefault="000B77A8" w:rsidP="00864305">
      <w:pPr>
        <w:ind w:left="540" w:hanging="540"/>
        <w:jc w:val="both"/>
        <w:rPr>
          <w:rFonts w:ascii="Book Antiqua" w:eastAsia="Aptos" w:hAnsi="Book Antiqua"/>
          <w:color w:val="000000" w:themeColor="text1"/>
          <w:kern w:val="2"/>
          <w14:ligatures w14:val="standardContextual"/>
        </w:rPr>
      </w:pPr>
    </w:p>
    <w:p w14:paraId="249D67DE" w14:textId="7B01ACF9" w:rsidR="005A5C2E" w:rsidRDefault="00850770" w:rsidP="00864305">
      <w:pPr>
        <w:ind w:left="540" w:hanging="540"/>
        <w:jc w:val="center"/>
        <w:rPr>
          <w:rFonts w:ascii="Book Antiqua" w:eastAsia="Book Antiqua" w:hAnsi="Book Antiqua" w:cs="Book Antiqua"/>
          <w:bCs/>
          <w:color w:val="000000" w:themeColor="text1"/>
        </w:rPr>
      </w:pPr>
      <w:r w:rsidRPr="00864305">
        <w:rPr>
          <w:rFonts w:ascii="Book Antiqua" w:eastAsia="Book Antiqua" w:hAnsi="Book Antiqua" w:cs="Book Antiqua"/>
          <w:bCs/>
          <w:color w:val="000000" w:themeColor="text1"/>
        </w:rPr>
        <w:t>EXPOSICIÓN DE MOTIVOS</w:t>
      </w:r>
    </w:p>
    <w:p w14:paraId="794DD707" w14:textId="77777777" w:rsidR="00864305" w:rsidRPr="00864305" w:rsidRDefault="00864305" w:rsidP="00864305">
      <w:pPr>
        <w:ind w:left="540" w:hanging="540"/>
        <w:jc w:val="center"/>
        <w:rPr>
          <w:rFonts w:ascii="Book Antiqua" w:eastAsia="Book Antiqua" w:hAnsi="Book Antiqua" w:cs="Book Antiqua"/>
          <w:bCs/>
          <w:color w:val="000000" w:themeColor="text1"/>
        </w:rPr>
      </w:pPr>
    </w:p>
    <w:p w14:paraId="737EC285" w14:textId="77777777" w:rsidR="00927794" w:rsidRDefault="00927794" w:rsidP="00927794">
      <w:pPr>
        <w:jc w:val="both"/>
        <w:rPr>
          <w:rFonts w:ascii="Book Antiqua" w:hAnsi="Book Antiqua" w:cs="Poppins"/>
        </w:rPr>
      </w:pPr>
      <w:r>
        <w:rPr>
          <w:rFonts w:ascii="Book Antiqua" w:hAnsi="Book Antiqua" w:cs="Poppins"/>
        </w:rPr>
        <w:t xml:space="preserve">La promulgación de políticas públicas, deben estar acompañadas de un alto grado de sensibilidad y empatía, especialmente cuando se trata de sectores vulnerables como lo son nuestros adultos mayores. Nuestro gobierno, tiene un compromiso programático con </w:t>
      </w:r>
      <w:r>
        <w:rPr>
          <w:rFonts w:ascii="Book Antiqua" w:hAnsi="Book Antiqua" w:cs="Poppins"/>
        </w:rPr>
        <w:lastRenderedPageBreak/>
        <w:t xml:space="preserve">proteger a esta población, más aún cuando hemos sido testigos del aumento en casos de explotación financiera hacia ellos. </w:t>
      </w:r>
    </w:p>
    <w:p w14:paraId="60F961EC" w14:textId="77777777" w:rsidR="00927794" w:rsidRDefault="00927794" w:rsidP="00927794">
      <w:pPr>
        <w:jc w:val="both"/>
        <w:rPr>
          <w:rFonts w:ascii="Book Antiqua" w:hAnsi="Book Antiqua" w:cs="Poppins"/>
        </w:rPr>
      </w:pPr>
    </w:p>
    <w:p w14:paraId="5A2E9371" w14:textId="77777777" w:rsidR="00927794" w:rsidRDefault="00927794" w:rsidP="00927794">
      <w:pPr>
        <w:jc w:val="both"/>
        <w:rPr>
          <w:rFonts w:ascii="Book Antiqua" w:hAnsi="Book Antiqua" w:cs="Poppins"/>
        </w:rPr>
      </w:pPr>
      <w:r>
        <w:rPr>
          <w:rFonts w:ascii="Book Antiqua" w:hAnsi="Book Antiqua" w:cs="Poppins"/>
        </w:rPr>
        <w:t xml:space="preserve">La Ley 121-2019, según enmendada, conocida como “Carta de Derechos y la Política Pública del Gobierno a Favor de los Adultos Mayores”, define “explotación financiera” como “el uso impropio de los fondos, de la propiedad, o de los recursos de un adulto mayor por otra persona, incluyendo, pero no limitándose a, fraude, falsas pretensiones, malversaciones de fondos, conspiración, falsificación de documentos, falsificación de expedientes o récords, coerción, transferencia de propiedad, o negación de acceso a bienes”. </w:t>
      </w:r>
    </w:p>
    <w:p w14:paraId="47DB47CB" w14:textId="77777777" w:rsidR="00927794" w:rsidRDefault="00927794" w:rsidP="00927794">
      <w:pPr>
        <w:jc w:val="both"/>
        <w:rPr>
          <w:rFonts w:ascii="Book Antiqua" w:hAnsi="Book Antiqua" w:cs="Poppins"/>
        </w:rPr>
      </w:pPr>
    </w:p>
    <w:p w14:paraId="425E063F" w14:textId="77777777" w:rsidR="00927794" w:rsidRDefault="00927794" w:rsidP="00927794">
      <w:pPr>
        <w:jc w:val="both"/>
        <w:rPr>
          <w:rFonts w:ascii="Book Antiqua" w:hAnsi="Book Antiqua" w:cs="Poppins"/>
        </w:rPr>
      </w:pPr>
      <w:r>
        <w:rPr>
          <w:rFonts w:ascii="Book Antiqua" w:hAnsi="Book Antiqua" w:cs="Poppins"/>
        </w:rPr>
        <w:t>Actualmente han aumentado los números de querellas de maltrato a adultos mayores donde se destacan la negligencia y la explotación financiera, y los delitos de apropiación ilegal y el fraude. En el 2019, el Departamento de la Familia recibió cerca de 8,500 referidos de maltrato de adultos mayores; el año pasado, sobrepasaron los 13,200 referidos. Desafortunadamente, los hijos y miembros de la familia son los responsables más comunes en este tipo de casos.</w:t>
      </w:r>
    </w:p>
    <w:p w14:paraId="2C226E03" w14:textId="77777777" w:rsidR="00927794" w:rsidRDefault="00927794" w:rsidP="00927794">
      <w:pPr>
        <w:ind w:left="21" w:right="35"/>
        <w:jc w:val="both"/>
        <w:rPr>
          <w:rFonts w:ascii="Book Antiqua" w:eastAsia="Book Antiqua" w:hAnsi="Book Antiqua" w:cs="Book Antiqua"/>
          <w:color w:val="000000"/>
        </w:rPr>
      </w:pPr>
    </w:p>
    <w:p w14:paraId="3FE33BBC" w14:textId="77777777" w:rsidR="00927794" w:rsidRDefault="00927794" w:rsidP="00927794">
      <w:pPr>
        <w:ind w:left="21" w:right="35"/>
        <w:jc w:val="both"/>
        <w:rPr>
          <w:rFonts w:ascii="Book Antiqua" w:eastAsia="Book Antiqua" w:hAnsi="Book Antiqua" w:cs="Book Antiqua"/>
          <w:color w:val="000000"/>
        </w:rPr>
      </w:pPr>
      <w:r>
        <w:rPr>
          <w:rFonts w:ascii="Book Antiqua" w:eastAsia="Book Antiqua" w:hAnsi="Book Antiqua" w:cs="Book Antiqua"/>
          <w:color w:val="000000"/>
        </w:rPr>
        <w:t>Ante esta problemática, resulta necesario tomar acciones concretas con miras a la prevención e implementación de la legislación vigente. Esta Asamblea Legislativa reconoce la importancia que tiene la población de adultos mayores, y el asegurarle la tranquilidad en esta etapa de su vida. Por ello, considera meritorio aprobar toda legislación necesaria, que redunde en fortalecer las entidades del estado que puedan sumarse en los procesos investigativos, en aquellos casos de explotación financiera de adultos mayores.</w:t>
      </w:r>
    </w:p>
    <w:p w14:paraId="0B77828D" w14:textId="77777777" w:rsidR="00927794" w:rsidRDefault="00927794" w:rsidP="00927794">
      <w:pPr>
        <w:ind w:left="21" w:right="35" w:firstLine="699"/>
        <w:jc w:val="both"/>
        <w:rPr>
          <w:rFonts w:ascii="Book Antiqua" w:eastAsia="Book Antiqua" w:hAnsi="Book Antiqua" w:cs="Book Antiqua"/>
          <w:color w:val="000000"/>
        </w:rPr>
      </w:pPr>
    </w:p>
    <w:p w14:paraId="7955066D" w14:textId="77777777" w:rsidR="00FF2214" w:rsidRPr="00864305" w:rsidRDefault="00850770">
      <w:pPr>
        <w:spacing w:line="480" w:lineRule="auto"/>
        <w:jc w:val="both"/>
        <w:rPr>
          <w:rFonts w:ascii="Book Antiqua" w:eastAsia="Book Antiqua" w:hAnsi="Book Antiqua" w:cs="Book Antiqua"/>
          <w:i/>
          <w:color w:val="000000" w:themeColor="text1"/>
        </w:rPr>
        <w:sectPr w:rsidR="00FF2214" w:rsidRPr="0086430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864305">
        <w:rPr>
          <w:rFonts w:ascii="Book Antiqua" w:eastAsia="Book Antiqua" w:hAnsi="Book Antiqua" w:cs="Book Antiqua"/>
          <w:i/>
          <w:color w:val="000000" w:themeColor="text1"/>
        </w:rPr>
        <w:t>DECRÉTASE POR LA ASAMBLEA LEGISLATIVA DE PUERTO RICO:</w:t>
      </w:r>
    </w:p>
    <w:p w14:paraId="0A259F98" w14:textId="0B47F6F7" w:rsidR="00927794" w:rsidRDefault="00927794" w:rsidP="00927794">
      <w:pPr>
        <w:pStyle w:val="Textoindependiente"/>
        <w:spacing w:line="480" w:lineRule="auto"/>
        <w:ind w:firstLine="720"/>
        <w:rPr>
          <w:rFonts w:ascii="Book Antiqua" w:hAnsi="Book Antiqua"/>
        </w:rPr>
      </w:pPr>
      <w:bookmarkStart w:id="0" w:name="_Hlk189832381"/>
      <w:bookmarkStart w:id="1" w:name="{20D8}"/>
      <w:r>
        <w:rPr>
          <w:rFonts w:ascii="Book Antiqua" w:hAnsi="Book Antiqua"/>
        </w:rPr>
        <w:t>Sección 1.- Se enmienda el Artículo 7.04 de la Ley Núm. 20</w:t>
      </w:r>
      <w:r w:rsidR="002C779B">
        <w:rPr>
          <w:rFonts w:ascii="Book Antiqua" w:hAnsi="Book Antiqua"/>
        </w:rPr>
        <w:t>-</w:t>
      </w:r>
      <w:r>
        <w:rPr>
          <w:rFonts w:ascii="Book Antiqua" w:hAnsi="Book Antiqua"/>
        </w:rPr>
        <w:t>2017, según enmendada, para que se lea como sigue:</w:t>
      </w:r>
    </w:p>
    <w:p w14:paraId="606849FB" w14:textId="77777777" w:rsidR="00927794" w:rsidRDefault="00927794" w:rsidP="00927794">
      <w:pPr>
        <w:pStyle w:val="Textoindependiente"/>
        <w:spacing w:line="480" w:lineRule="auto"/>
        <w:ind w:firstLine="720"/>
        <w:rPr>
          <w:rFonts w:ascii="Book Antiqua" w:hAnsi="Book Antiqua"/>
        </w:rPr>
      </w:pPr>
      <w:r>
        <w:rPr>
          <w:rFonts w:ascii="Book Antiqua" w:hAnsi="Book Antiqua"/>
        </w:rPr>
        <w:t>“</w:t>
      </w:r>
      <w:bookmarkEnd w:id="0"/>
      <w:bookmarkEnd w:id="1"/>
      <w:r>
        <w:rPr>
          <w:rFonts w:ascii="Book Antiqua" w:hAnsi="Book Antiqua"/>
        </w:rPr>
        <w:t>Artículo 7.04. — Negociado de Investigaciones Especiales; Jurisdicción.</w:t>
      </w:r>
    </w:p>
    <w:p w14:paraId="1BEB1221" w14:textId="77777777" w:rsidR="00927794" w:rsidRDefault="00927794" w:rsidP="00927794">
      <w:pPr>
        <w:pStyle w:val="Textoindependiente"/>
        <w:numPr>
          <w:ilvl w:val="0"/>
          <w:numId w:val="21"/>
        </w:numPr>
        <w:spacing w:line="480" w:lineRule="auto"/>
        <w:rPr>
          <w:rFonts w:ascii="Book Antiqua" w:hAnsi="Book Antiqua"/>
        </w:rPr>
      </w:pPr>
      <w:r>
        <w:rPr>
          <w:rFonts w:ascii="Book Antiqua" w:hAnsi="Book Antiqua"/>
        </w:rPr>
        <w:t>El Negociado de Investigaciones Especiales tendrá jurisdicción concurrente sobre los siguientes asuntos:</w:t>
      </w:r>
    </w:p>
    <w:p w14:paraId="24233DB4" w14:textId="77777777" w:rsidR="00927794" w:rsidRDefault="00927794" w:rsidP="00927794">
      <w:pPr>
        <w:pStyle w:val="Textoindependiente"/>
        <w:numPr>
          <w:ilvl w:val="0"/>
          <w:numId w:val="22"/>
        </w:numPr>
        <w:spacing w:line="480" w:lineRule="auto"/>
        <w:rPr>
          <w:rFonts w:ascii="Book Antiqua" w:hAnsi="Book Antiqua"/>
        </w:rPr>
      </w:pPr>
      <w:r>
        <w:rPr>
          <w:rFonts w:ascii="Book Antiqua" w:hAnsi="Book Antiqua"/>
        </w:rPr>
        <w:t>Actividad criminal continúa relacionada al narcotráfico, incluyendo el tráfico ilegal de medicamentos controlados y el tráfico de armas;</w:t>
      </w:r>
    </w:p>
    <w:p w14:paraId="7702E154" w14:textId="77777777" w:rsidR="00927794" w:rsidRDefault="00927794" w:rsidP="00927794">
      <w:pPr>
        <w:pStyle w:val="Textoindependiente"/>
        <w:spacing w:line="480" w:lineRule="auto"/>
        <w:ind w:firstLine="720"/>
        <w:rPr>
          <w:rFonts w:ascii="Book Antiqua" w:hAnsi="Book Antiqua"/>
        </w:rPr>
      </w:pPr>
      <w:r>
        <w:rPr>
          <w:rFonts w:ascii="Book Antiqua" w:hAnsi="Book Antiqua"/>
        </w:rPr>
        <w:lastRenderedPageBreak/>
        <w:t xml:space="preserve"> </w:t>
      </w:r>
      <w:r>
        <w:rPr>
          <w:rFonts w:ascii="Book Antiqua" w:hAnsi="Book Antiqua"/>
        </w:rPr>
        <w:tab/>
        <w:t>…</w:t>
      </w:r>
    </w:p>
    <w:p w14:paraId="448B4389" w14:textId="77777777" w:rsidR="00927794" w:rsidRDefault="00927794" w:rsidP="00927794">
      <w:pPr>
        <w:pStyle w:val="Textoindependiente"/>
        <w:spacing w:line="480" w:lineRule="auto"/>
        <w:ind w:firstLine="720"/>
        <w:rPr>
          <w:rFonts w:ascii="Book Antiqua" w:hAnsi="Book Antiqua"/>
        </w:rPr>
      </w:pPr>
      <w:r>
        <w:rPr>
          <w:rFonts w:ascii="Book Antiqua" w:hAnsi="Book Antiqua"/>
        </w:rPr>
        <w:tab/>
        <w:t>…</w:t>
      </w:r>
    </w:p>
    <w:p w14:paraId="2DAAA787" w14:textId="77777777" w:rsidR="00927794" w:rsidRDefault="00927794" w:rsidP="00927794">
      <w:pPr>
        <w:pStyle w:val="Textoindependiente"/>
        <w:spacing w:line="480" w:lineRule="auto"/>
        <w:ind w:firstLine="720"/>
        <w:rPr>
          <w:rFonts w:ascii="Book Antiqua" w:hAnsi="Book Antiqua"/>
        </w:rPr>
      </w:pPr>
      <w:r>
        <w:rPr>
          <w:rFonts w:ascii="Book Antiqua" w:hAnsi="Book Antiqua"/>
        </w:rPr>
        <w:tab/>
        <w:t>…</w:t>
      </w:r>
    </w:p>
    <w:p w14:paraId="06E9A7D5" w14:textId="77777777" w:rsidR="00927794" w:rsidRDefault="00927794" w:rsidP="00927794">
      <w:pPr>
        <w:pStyle w:val="Textoindependiente"/>
        <w:spacing w:line="480" w:lineRule="auto"/>
        <w:ind w:left="1440"/>
        <w:rPr>
          <w:rFonts w:ascii="Book Antiqua" w:hAnsi="Book Antiqua"/>
          <w:i/>
          <w:iCs/>
        </w:rPr>
      </w:pPr>
      <w:r>
        <w:rPr>
          <w:rFonts w:ascii="Book Antiqua" w:hAnsi="Book Antiqua"/>
          <w:i/>
          <w:iCs/>
        </w:rPr>
        <w:t>20.  Casos de explotación financiera de adultos mayores en los que estén involucrados personal de un establecimiento residencial, hogar sustituto, o instituciones dedicadas al cuido de adultos mayores durante las veinticuatro (24) horas del día o parte de éstas.</w:t>
      </w:r>
    </w:p>
    <w:p w14:paraId="4CD85C49" w14:textId="77777777" w:rsidR="00927794" w:rsidRDefault="00927794" w:rsidP="00927794">
      <w:pPr>
        <w:pStyle w:val="Textoindependiente"/>
        <w:numPr>
          <w:ilvl w:val="0"/>
          <w:numId w:val="21"/>
        </w:numPr>
        <w:spacing w:line="480" w:lineRule="auto"/>
        <w:rPr>
          <w:rFonts w:ascii="Book Antiqua" w:hAnsi="Book Antiqua"/>
        </w:rPr>
      </w:pPr>
      <w:r>
        <w:rPr>
          <w:rFonts w:ascii="Book Antiqua" w:hAnsi="Book Antiqua"/>
        </w:rPr>
        <w:t>El Negociado de Investigaciones Especiales tendrá jurisdicción exclusiva para investigar los siguientes casos:</w:t>
      </w:r>
    </w:p>
    <w:p w14:paraId="2359486B" w14:textId="77777777" w:rsidR="00927794" w:rsidRDefault="00927794" w:rsidP="00927794">
      <w:pPr>
        <w:pStyle w:val="Textoindependiente"/>
        <w:spacing w:line="480" w:lineRule="auto"/>
        <w:ind w:left="720"/>
        <w:rPr>
          <w:rFonts w:ascii="Book Antiqua" w:hAnsi="Book Antiqua"/>
        </w:rPr>
      </w:pPr>
      <w:r>
        <w:rPr>
          <w:rFonts w:ascii="Book Antiqua" w:hAnsi="Book Antiqua"/>
        </w:rPr>
        <w:t>…</w:t>
      </w:r>
    </w:p>
    <w:p w14:paraId="333BF9ED" w14:textId="77777777" w:rsidR="00927794" w:rsidRDefault="00927794" w:rsidP="00927794">
      <w:pPr>
        <w:pStyle w:val="Textoindependiente"/>
        <w:spacing w:line="480" w:lineRule="auto"/>
        <w:ind w:left="720"/>
        <w:rPr>
          <w:rFonts w:ascii="Book Antiqua" w:hAnsi="Book Antiqua"/>
          <w:i/>
          <w:iCs/>
        </w:rPr>
      </w:pPr>
      <w:r>
        <w:rPr>
          <w:rFonts w:ascii="Book Antiqua" w:hAnsi="Book Antiqua"/>
        </w:rPr>
        <w:t>…”</w:t>
      </w:r>
    </w:p>
    <w:p w14:paraId="1EEFD6C3" w14:textId="3A8BC780" w:rsidR="00927794" w:rsidRDefault="00927794" w:rsidP="00927794">
      <w:pPr>
        <w:pStyle w:val="Textoindependiente"/>
        <w:spacing w:line="480" w:lineRule="auto"/>
        <w:ind w:firstLine="720"/>
        <w:rPr>
          <w:rFonts w:ascii="Book Antiqua" w:hAnsi="Book Antiqua"/>
        </w:rPr>
      </w:pPr>
      <w:r>
        <w:rPr>
          <w:rFonts w:ascii="Book Antiqua" w:hAnsi="Book Antiqua"/>
        </w:rPr>
        <w:t>Artículo 2. - Supremacía.</w:t>
      </w:r>
    </w:p>
    <w:p w14:paraId="720EAC43" w14:textId="77777777" w:rsidR="00927794" w:rsidRDefault="00927794" w:rsidP="00927794">
      <w:pPr>
        <w:pStyle w:val="Textoindependiente"/>
        <w:spacing w:line="480" w:lineRule="auto"/>
        <w:ind w:firstLine="720"/>
        <w:rPr>
          <w:rFonts w:ascii="Book Antiqua" w:hAnsi="Book Antiqua"/>
        </w:rPr>
      </w:pPr>
      <w:r>
        <w:rPr>
          <w:rFonts w:ascii="Book Antiqua" w:hAnsi="Book Antiqua"/>
        </w:rPr>
        <w:t>Las disposiciones de esta Ley prevalecerán sobre cualquier otra disposición de ley o reglamento que no estuviere en armonía con lo aquí establecido.</w:t>
      </w:r>
    </w:p>
    <w:p w14:paraId="37F373BC" w14:textId="5F3FB182" w:rsidR="00927794" w:rsidRDefault="00927794" w:rsidP="00927794">
      <w:pPr>
        <w:pStyle w:val="Textoindependiente"/>
        <w:spacing w:line="480" w:lineRule="auto"/>
        <w:ind w:firstLine="720"/>
        <w:rPr>
          <w:rFonts w:ascii="Book Antiqua" w:hAnsi="Book Antiqua"/>
        </w:rPr>
      </w:pPr>
      <w:r>
        <w:rPr>
          <w:rFonts w:ascii="Book Antiqua" w:hAnsi="Book Antiqua"/>
        </w:rPr>
        <w:t>Artículo 3. - Separabilidad.</w:t>
      </w:r>
    </w:p>
    <w:p w14:paraId="11ABD4A2" w14:textId="77777777" w:rsidR="00927794" w:rsidRDefault="00927794" w:rsidP="00927794">
      <w:pPr>
        <w:pStyle w:val="Textoindependiente"/>
        <w:spacing w:line="480" w:lineRule="auto"/>
        <w:ind w:firstLine="720"/>
        <w:rPr>
          <w:rFonts w:ascii="Book Antiqua" w:hAnsi="Book Antiqua"/>
        </w:rPr>
      </w:pPr>
      <w:r>
        <w:rPr>
          <w:rFonts w:ascii="Book Antiqua" w:hAnsi="Book Antiqua"/>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w:t>
      </w:r>
      <w:r>
        <w:rPr>
          <w:rFonts w:ascii="Book Antiqua" w:hAnsi="Book Antiqua"/>
        </w:rPr>
        <w:lastRenderedPageBreak/>
        <w:t>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0808FC75" w14:textId="60191B4F" w:rsidR="00927794" w:rsidRDefault="00927794" w:rsidP="00927794">
      <w:pPr>
        <w:pStyle w:val="Textoindependiente"/>
        <w:spacing w:line="480" w:lineRule="auto"/>
        <w:ind w:firstLine="720"/>
        <w:rPr>
          <w:rFonts w:ascii="Book Antiqua" w:hAnsi="Book Antiqua"/>
        </w:rPr>
      </w:pPr>
      <w:r>
        <w:rPr>
          <w:rFonts w:ascii="Book Antiqua" w:hAnsi="Book Antiqua"/>
        </w:rPr>
        <w:t>Artículo 4. -Vigencia.</w:t>
      </w:r>
    </w:p>
    <w:p w14:paraId="79550695" w14:textId="59B17620" w:rsidR="00FF2214" w:rsidRPr="00927794" w:rsidRDefault="00927794" w:rsidP="00927794">
      <w:pPr>
        <w:pStyle w:val="Textoindependiente"/>
        <w:spacing w:line="480" w:lineRule="auto"/>
        <w:rPr>
          <w:rFonts w:ascii="Book Antiqua" w:hAnsi="Book Antiqua"/>
        </w:rPr>
      </w:pPr>
      <w:r>
        <w:rPr>
          <w:rFonts w:ascii="Book Antiqua" w:hAnsi="Book Antiqua"/>
        </w:rPr>
        <w:tab/>
        <w:t>Esta Ley entrará en vigor inmediatamente después de su aprobación.</w:t>
      </w:r>
    </w:p>
    <w:sectPr w:rsidR="00FF2214" w:rsidRPr="00927794"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Pr="00864305" w:rsidRDefault="00425710">
      <w:r w:rsidRPr="00864305">
        <w:separator/>
      </w:r>
    </w:p>
  </w:endnote>
  <w:endnote w:type="continuationSeparator" w:id="0">
    <w:p w14:paraId="79F099AB" w14:textId="77777777" w:rsidR="00425710" w:rsidRPr="00864305" w:rsidRDefault="00425710">
      <w:r w:rsidRPr="00864305">
        <w:continuationSeparator/>
      </w:r>
    </w:p>
  </w:endnote>
  <w:endnote w:type="continuationNotice" w:id="1">
    <w:p w14:paraId="3B1D331F" w14:textId="77777777" w:rsidR="00425710" w:rsidRPr="00864305"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0F943ED6-E14E-4DC8-9252-2FF3F2FF3BF6}"/>
    <w:embedBold r:id="rId2" w:fontKey="{656A9FF0-B812-4265-A221-8DB988838EE3}"/>
    <w:embedItalic r:id="rId3" w:fontKey="{52629B50-605B-4E31-9915-84F2E04899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FF7A9C19-92D3-4C38-9755-ECEE346AF7E7}"/>
  </w:font>
  <w:font w:name="Georgia">
    <w:panose1 w:val="02040502050405020303"/>
    <w:charset w:val="00"/>
    <w:family w:val="roman"/>
    <w:pitch w:val="variable"/>
    <w:sig w:usb0="00000287" w:usb1="00000000" w:usb2="00000000" w:usb3="00000000" w:csb0="0000009F" w:csb1="00000000"/>
    <w:embedRegular r:id="rId5" w:fontKey="{6A19DC66-2EB4-4581-9AF0-F070E9EC8C16}"/>
    <w:embedItalic r:id="rId6" w:fontKey="{83BB5EC2-4ED0-4BA8-89D2-8247D645345E}"/>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6E289802-172F-436C-A683-9675863F2D1D}"/>
    <w:embedItalic r:id="rId8" w:fontKey="{77ECED15-769E-47B6-A90D-52E4D8BAB6C7}"/>
  </w:font>
  <w:font w:name="Poppins">
    <w:charset w:val="00"/>
    <w:family w:val="auto"/>
    <w:pitch w:val="variable"/>
    <w:sig w:usb0="00008007" w:usb1="00000000" w:usb2="00000000" w:usb3="00000000" w:csb0="00000093" w:csb1="00000000"/>
    <w:embedRegular r:id="rId9" w:fontKey="{6E151869-133B-487D-9AD3-627C1729B6E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A7D6115B-B26D-4C82-8A28-5527E215BDCA}"/>
  </w:font>
  <w:font w:name="Calibri">
    <w:panose1 w:val="020F0502020204030204"/>
    <w:charset w:val="00"/>
    <w:family w:val="swiss"/>
    <w:pitch w:val="variable"/>
    <w:sig w:usb0="E4002EFF" w:usb1="C200247B" w:usb2="00000009" w:usb3="00000000" w:csb0="000001FF" w:csb1="00000000"/>
    <w:embedRegular r:id="rId11" w:fontKey="{B9562239-E6A3-42F7-99B0-49E733CD339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86430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864305" w14:paraId="7955069F" w14:textId="77777777">
      <w:trPr>
        <w:trHeight w:val="300"/>
      </w:trPr>
      <w:tc>
        <w:tcPr>
          <w:tcW w:w="3120" w:type="dxa"/>
          <w:tcMar>
            <w:top w:w="0" w:type="dxa"/>
            <w:left w:w="108" w:type="dxa"/>
            <w:bottom w:w="0" w:type="dxa"/>
            <w:right w:w="108" w:type="dxa"/>
          </w:tcMar>
        </w:tcPr>
        <w:p w14:paraId="7955069C"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864305" w:rsidRDefault="00FF2214">
          <w:pPr>
            <w:tabs>
              <w:tab w:val="center" w:pos="4320"/>
              <w:tab w:val="right" w:pos="8640"/>
            </w:tabs>
            <w:ind w:right="-115"/>
            <w:jc w:val="right"/>
            <w:rPr>
              <w:color w:val="000000"/>
            </w:rPr>
          </w:pPr>
        </w:p>
      </w:tc>
    </w:tr>
  </w:tbl>
  <w:p w14:paraId="795506A0" w14:textId="77777777" w:rsidR="00FF2214" w:rsidRPr="0086430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86430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864305" w14:paraId="795506A7" w14:textId="77777777">
      <w:trPr>
        <w:trHeight w:val="300"/>
      </w:trPr>
      <w:tc>
        <w:tcPr>
          <w:tcW w:w="3120" w:type="dxa"/>
          <w:tcMar>
            <w:top w:w="0" w:type="dxa"/>
            <w:left w:w="108" w:type="dxa"/>
            <w:bottom w:w="0" w:type="dxa"/>
            <w:right w:w="108" w:type="dxa"/>
          </w:tcMar>
        </w:tcPr>
        <w:p w14:paraId="795506A4"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864305" w:rsidRDefault="00FF2214">
          <w:pPr>
            <w:tabs>
              <w:tab w:val="center" w:pos="4320"/>
              <w:tab w:val="right" w:pos="8640"/>
            </w:tabs>
            <w:ind w:right="-115"/>
            <w:jc w:val="right"/>
            <w:rPr>
              <w:color w:val="000000"/>
            </w:rPr>
          </w:pPr>
        </w:p>
      </w:tc>
    </w:tr>
  </w:tbl>
  <w:p w14:paraId="795506A8" w14:textId="77777777" w:rsidR="00FF2214" w:rsidRPr="0086430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Pr="00864305"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rsidRPr="00864305" w14:paraId="5F10AA53" w14:textId="77777777">
      <w:trPr>
        <w:trHeight w:val="300"/>
      </w:trPr>
      <w:tc>
        <w:tcPr>
          <w:tcW w:w="3120" w:type="dxa"/>
          <w:tcMar>
            <w:top w:w="0" w:type="dxa"/>
            <w:left w:w="108" w:type="dxa"/>
            <w:bottom w:w="0" w:type="dxa"/>
            <w:right w:w="108" w:type="dxa"/>
          </w:tcMar>
        </w:tcPr>
        <w:p w14:paraId="2A399F4B"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Pr="00864305" w:rsidRDefault="00FF2214">
          <w:pPr>
            <w:tabs>
              <w:tab w:val="center" w:pos="4320"/>
              <w:tab w:val="right" w:pos="8640"/>
            </w:tabs>
            <w:ind w:right="-115"/>
            <w:jc w:val="right"/>
            <w:rPr>
              <w:color w:val="000000"/>
            </w:rPr>
          </w:pPr>
        </w:p>
      </w:tc>
    </w:tr>
  </w:tbl>
  <w:p w14:paraId="1D6323BF" w14:textId="77777777" w:rsidR="00FF2214" w:rsidRPr="00864305"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Pr="00864305"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rsidRPr="00864305" w14:paraId="04C48F77" w14:textId="77777777">
      <w:trPr>
        <w:trHeight w:val="300"/>
      </w:trPr>
      <w:tc>
        <w:tcPr>
          <w:tcW w:w="3120" w:type="dxa"/>
          <w:tcMar>
            <w:top w:w="0" w:type="dxa"/>
            <w:left w:w="108" w:type="dxa"/>
            <w:bottom w:w="0" w:type="dxa"/>
            <w:right w:w="108" w:type="dxa"/>
          </w:tcMar>
        </w:tcPr>
        <w:p w14:paraId="2A5437FD"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Pr="00864305" w:rsidRDefault="00FF2214">
          <w:pPr>
            <w:tabs>
              <w:tab w:val="center" w:pos="4320"/>
              <w:tab w:val="right" w:pos="8640"/>
            </w:tabs>
            <w:ind w:right="-115"/>
            <w:jc w:val="right"/>
            <w:rPr>
              <w:color w:val="000000"/>
            </w:rPr>
          </w:pPr>
        </w:p>
      </w:tc>
    </w:tr>
  </w:tbl>
  <w:p w14:paraId="03C06AA0" w14:textId="77777777" w:rsidR="00FF2214" w:rsidRPr="0086430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Pr="00864305" w:rsidRDefault="00425710">
      <w:r w:rsidRPr="00864305">
        <w:separator/>
      </w:r>
    </w:p>
  </w:footnote>
  <w:footnote w:type="continuationSeparator" w:id="0">
    <w:p w14:paraId="167421D6" w14:textId="77777777" w:rsidR="00425710" w:rsidRPr="00864305" w:rsidRDefault="00425710">
      <w:r w:rsidRPr="00864305">
        <w:continuationSeparator/>
      </w:r>
    </w:p>
  </w:footnote>
  <w:footnote w:type="continuationNotice" w:id="1">
    <w:p w14:paraId="1AD15F26" w14:textId="77777777" w:rsidR="00425710" w:rsidRPr="00864305"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864305" w:rsidRDefault="00850770">
    <w:pPr>
      <w:tabs>
        <w:tab w:val="center" w:pos="4320"/>
        <w:tab w:val="right" w:pos="8640"/>
      </w:tabs>
      <w:jc w:val="center"/>
      <w:rPr>
        <w:color w:val="000000"/>
      </w:rPr>
    </w:pPr>
    <w:r w:rsidRPr="00864305">
      <w:rPr>
        <w:color w:val="000000"/>
      </w:rPr>
      <w:fldChar w:fldCharType="begin"/>
    </w:r>
    <w:r w:rsidRPr="00864305">
      <w:rPr>
        <w:color w:val="000000"/>
      </w:rPr>
      <w:instrText>PAGE</w:instrText>
    </w:r>
    <w:r w:rsidRPr="00864305">
      <w:rPr>
        <w:color w:val="000000"/>
      </w:rPr>
      <w:fldChar w:fldCharType="separate"/>
    </w:r>
    <w:r w:rsidRPr="00864305">
      <w:rPr>
        <w:color w:val="000000"/>
      </w:rPr>
      <w:t>2</w:t>
    </w:r>
    <w:r w:rsidRPr="0086430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1306FA1C" w:rsidR="00FF2214" w:rsidRPr="00864305" w:rsidRDefault="00850770">
    <w:pPr>
      <w:tabs>
        <w:tab w:val="center" w:pos="4320"/>
        <w:tab w:val="right" w:pos="8640"/>
      </w:tabs>
      <w:jc w:val="right"/>
      <w:rPr>
        <w:color w:val="000000"/>
      </w:rPr>
    </w:pPr>
    <w:r w:rsidRPr="00864305">
      <w:rPr>
        <w:color w:val="000000"/>
      </w:rPr>
      <w:t>A-0</w:t>
    </w:r>
    <w:r w:rsidR="00864305" w:rsidRPr="00864305">
      <w:rPr>
        <w:color w:val="000000"/>
      </w:rPr>
      <w:t>4</w:t>
    </w:r>
    <w:r w:rsidR="00927794">
      <w:rPr>
        <w:color w:val="000000"/>
      </w:rPr>
      <w:t>2</w:t>
    </w:r>
  </w:p>
  <w:p w14:paraId="795506A2" w14:textId="77777777" w:rsidR="00FF2214" w:rsidRPr="00864305" w:rsidRDefault="00850770">
    <w:pPr>
      <w:tabs>
        <w:tab w:val="center" w:pos="4320"/>
        <w:tab w:val="right" w:pos="8640"/>
      </w:tabs>
      <w:rPr>
        <w:color w:val="000000"/>
      </w:rPr>
    </w:pPr>
    <w:r w:rsidRPr="00864305">
      <w:rPr>
        <w:color w:val="000000"/>
      </w:rPr>
      <w:tab/>
    </w:r>
    <w:r w:rsidRPr="0086430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0E1CA3"/>
    <w:multiLevelType w:val="multilevel"/>
    <w:tmpl w:val="1B0E1CA3"/>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EBE0166"/>
    <w:multiLevelType w:val="multilevel"/>
    <w:tmpl w:val="7EBE0166"/>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07051407">
    <w:abstractNumId w:val="11"/>
  </w:num>
  <w:num w:numId="2" w16cid:durableId="1011832284">
    <w:abstractNumId w:val="4"/>
  </w:num>
  <w:num w:numId="3" w16cid:durableId="1943102285">
    <w:abstractNumId w:val="20"/>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8"/>
  </w:num>
  <w:num w:numId="15" w16cid:durableId="478498451">
    <w:abstractNumId w:val="9"/>
  </w:num>
  <w:num w:numId="16" w16cid:durableId="46998239">
    <w:abstractNumId w:val="19"/>
  </w:num>
  <w:num w:numId="17" w16cid:durableId="275597364">
    <w:abstractNumId w:val="2"/>
  </w:num>
  <w:num w:numId="18" w16cid:durableId="1162702400">
    <w:abstractNumId w:val="6"/>
  </w:num>
  <w:num w:numId="19" w16cid:durableId="2055156664">
    <w:abstractNumId w:val="13"/>
  </w:num>
  <w:num w:numId="20" w16cid:durableId="1121461949">
    <w:abstractNumId w:val="15"/>
  </w:num>
  <w:num w:numId="21" w16cid:durableId="819270812">
    <w:abstractNumId w:val="5"/>
  </w:num>
  <w:num w:numId="22" w16cid:durableId="3847656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2A0B"/>
    <w:rsid w:val="000C5223"/>
    <w:rsid w:val="000C58FF"/>
    <w:rsid w:val="000C68E5"/>
    <w:rsid w:val="000D2EB5"/>
    <w:rsid w:val="000D30A4"/>
    <w:rsid w:val="000E515E"/>
    <w:rsid w:val="000E6633"/>
    <w:rsid w:val="000F222B"/>
    <w:rsid w:val="00113415"/>
    <w:rsid w:val="001150B3"/>
    <w:rsid w:val="00115129"/>
    <w:rsid w:val="001216F2"/>
    <w:rsid w:val="001227A1"/>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87232"/>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C779B"/>
    <w:rsid w:val="002D6159"/>
    <w:rsid w:val="002F21CF"/>
    <w:rsid w:val="002F48B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E6BAF"/>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2F65"/>
    <w:rsid w:val="00444257"/>
    <w:rsid w:val="00452649"/>
    <w:rsid w:val="00461FBD"/>
    <w:rsid w:val="00462353"/>
    <w:rsid w:val="00462BEA"/>
    <w:rsid w:val="00465256"/>
    <w:rsid w:val="004674AD"/>
    <w:rsid w:val="00481E60"/>
    <w:rsid w:val="0048210C"/>
    <w:rsid w:val="0049425A"/>
    <w:rsid w:val="004A0EAF"/>
    <w:rsid w:val="004A4DB3"/>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666B8"/>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82572"/>
    <w:rsid w:val="00791FA9"/>
    <w:rsid w:val="00795BD6"/>
    <w:rsid w:val="007A346E"/>
    <w:rsid w:val="007A4745"/>
    <w:rsid w:val="007A5875"/>
    <w:rsid w:val="007B090C"/>
    <w:rsid w:val="007C7157"/>
    <w:rsid w:val="007D76E0"/>
    <w:rsid w:val="007E368D"/>
    <w:rsid w:val="00804D98"/>
    <w:rsid w:val="00805B64"/>
    <w:rsid w:val="00807CED"/>
    <w:rsid w:val="00812840"/>
    <w:rsid w:val="00822A92"/>
    <w:rsid w:val="008316F2"/>
    <w:rsid w:val="00831773"/>
    <w:rsid w:val="008337A4"/>
    <w:rsid w:val="00834801"/>
    <w:rsid w:val="00836115"/>
    <w:rsid w:val="00836710"/>
    <w:rsid w:val="008402C1"/>
    <w:rsid w:val="008450D8"/>
    <w:rsid w:val="00850770"/>
    <w:rsid w:val="008574AE"/>
    <w:rsid w:val="00864305"/>
    <w:rsid w:val="008670BC"/>
    <w:rsid w:val="00881D48"/>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27794"/>
    <w:rsid w:val="00930E48"/>
    <w:rsid w:val="0093314A"/>
    <w:rsid w:val="0093744C"/>
    <w:rsid w:val="00942E06"/>
    <w:rsid w:val="00950505"/>
    <w:rsid w:val="00950A46"/>
    <w:rsid w:val="00952875"/>
    <w:rsid w:val="00954675"/>
    <w:rsid w:val="00962C3E"/>
    <w:rsid w:val="00963E17"/>
    <w:rsid w:val="00965195"/>
    <w:rsid w:val="00970540"/>
    <w:rsid w:val="00971D18"/>
    <w:rsid w:val="009833D3"/>
    <w:rsid w:val="009927E5"/>
    <w:rsid w:val="009A0ED5"/>
    <w:rsid w:val="009B47BF"/>
    <w:rsid w:val="009D1C75"/>
    <w:rsid w:val="009D5726"/>
    <w:rsid w:val="009D61E3"/>
    <w:rsid w:val="009D7450"/>
    <w:rsid w:val="009D79EC"/>
    <w:rsid w:val="009E36AA"/>
    <w:rsid w:val="009F15AE"/>
    <w:rsid w:val="009F3C51"/>
    <w:rsid w:val="009F56FD"/>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2528"/>
    <w:rsid w:val="00A67A3A"/>
    <w:rsid w:val="00A770A7"/>
    <w:rsid w:val="00A7759E"/>
    <w:rsid w:val="00A804F8"/>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25EA"/>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131D"/>
    <w:rsid w:val="00CD7B56"/>
    <w:rsid w:val="00CE36C8"/>
    <w:rsid w:val="00CE47A1"/>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qFormat/>
    <w:pPr>
      <w:tabs>
        <w:tab w:val="center" w:pos="4320"/>
        <w:tab w:val="right" w:pos="8640"/>
      </w:tabs>
    </w:pPr>
  </w:style>
  <w:style w:type="character" w:styleId="Hipervnculo">
    <w:name w:val="Hyperlink"/>
    <w:basedOn w:val="Fuentedeprrafopredeter"/>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n">
    <w:name w:val="Revision"/>
    <w:hidden/>
    <w:uiPriority w:val="99"/>
    <w:semiHidden/>
    <w:rsid w:val="00891773"/>
    <w:rPr>
      <w:sz w:val="24"/>
      <w:szCs w:val="24"/>
    </w:rPr>
  </w:style>
  <w:style w:type="paragraph" w:styleId="Textoindependiente">
    <w:name w:val="Body Text"/>
    <w:basedOn w:val="Normal"/>
    <w:link w:val="TextoindependienteCar"/>
    <w:qFormat/>
    <w:rsid w:val="009061B2"/>
    <w:pPr>
      <w:jc w:val="both"/>
    </w:pPr>
  </w:style>
  <w:style w:type="character" w:customStyle="1" w:styleId="TextoindependienteCar">
    <w:name w:val="Texto independiente Car"/>
    <w:basedOn w:val="Fuentedeprrafopredeter"/>
    <w:link w:val="Textoindependiente"/>
    <w:qForma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Rocío Alayón Morell</cp:lastModifiedBy>
  <cp:revision>6</cp:revision>
  <cp:lastPrinted>2025-04-04T14:26:00Z</cp:lastPrinted>
  <dcterms:created xsi:type="dcterms:W3CDTF">2025-04-03T18:12:00Z</dcterms:created>
  <dcterms:modified xsi:type="dcterms:W3CDTF">2025-04-04T14:28:00Z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