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2A3490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2A3490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2A3490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2A3490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2A3490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2A3490">
        <w:rPr>
          <w:rFonts w:ascii="Book Antiqua" w:hAnsi="Book Antiqua"/>
          <w:szCs w:val="24"/>
          <w:lang w:val="es-ES_tradnl"/>
        </w:rPr>
        <w:t>20m</w:t>
      </w:r>
      <w:r w:rsidR="002670C1" w:rsidRPr="002A3490">
        <w:rPr>
          <w:rFonts w:ascii="Book Antiqua" w:hAnsi="Book Antiqua"/>
          <w:szCs w:val="24"/>
          <w:lang w:val="es-ES_tradnl"/>
        </w:rPr>
        <w:t>a. Asamblea</w:t>
      </w:r>
      <w:r w:rsidR="002670C1" w:rsidRPr="002A3490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2A3490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2A3490">
        <w:rPr>
          <w:rFonts w:ascii="Book Antiqua" w:hAnsi="Book Antiqua"/>
          <w:szCs w:val="24"/>
          <w:lang w:val="es-ES_tradnl"/>
        </w:rPr>
        <w:t xml:space="preserve">  </w:t>
      </w:r>
      <w:r w:rsidR="003D1498" w:rsidRPr="002A3490">
        <w:rPr>
          <w:rFonts w:ascii="Book Antiqua" w:hAnsi="Book Antiqua"/>
          <w:szCs w:val="24"/>
          <w:lang w:val="es-ES_tradnl"/>
        </w:rPr>
        <w:t>2d</w:t>
      </w:r>
      <w:r w:rsidR="002670C1" w:rsidRPr="002A3490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2A3490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2A3490">
        <w:rPr>
          <w:rFonts w:ascii="Book Antiqua" w:hAnsi="Book Antiqua"/>
          <w:szCs w:val="24"/>
          <w:lang w:val="es-ES_tradnl"/>
        </w:rPr>
        <w:tab/>
        <w:t>Legislativa</w:t>
      </w:r>
      <w:r w:rsidRPr="002A3490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2A3490">
        <w:rPr>
          <w:rFonts w:ascii="Book Antiqua" w:hAnsi="Book Antiqua"/>
          <w:szCs w:val="24"/>
          <w:lang w:val="es-ES_tradnl"/>
        </w:rPr>
        <w:t xml:space="preserve">       </w:t>
      </w:r>
      <w:r w:rsidRPr="002A3490">
        <w:rPr>
          <w:rFonts w:ascii="Book Antiqua" w:hAnsi="Book Antiqua"/>
          <w:szCs w:val="24"/>
          <w:lang w:val="es-ES_tradnl"/>
        </w:rPr>
        <w:t xml:space="preserve"> </w:t>
      </w:r>
      <w:r w:rsidR="00632DBA" w:rsidRPr="002A3490">
        <w:rPr>
          <w:rFonts w:ascii="Book Antiqua" w:hAnsi="Book Antiqua"/>
          <w:szCs w:val="24"/>
          <w:lang w:val="es-ES_tradnl"/>
        </w:rPr>
        <w:t xml:space="preserve"> </w:t>
      </w:r>
      <w:r w:rsidRPr="002A3490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2A3490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2A3490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2A3490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2A349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2A349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8D07C28" w:rsidR="002670C1" w:rsidRPr="002A3490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2A3490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A3490" w:rsidRPr="002A3490">
        <w:rPr>
          <w:rFonts w:ascii="Book Antiqua" w:hAnsi="Book Antiqua" w:cs="Tahoma"/>
          <w:b/>
          <w:sz w:val="52"/>
          <w:szCs w:val="52"/>
          <w:lang w:val="es-ES_tradnl"/>
        </w:rPr>
        <w:t>248</w:t>
      </w:r>
    </w:p>
    <w:p w14:paraId="2AB71EBC" w14:textId="77777777" w:rsidR="001A14B6" w:rsidRPr="002A3490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2A3490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2A3490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2A3490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2A349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62A8232" w:rsidR="002670C1" w:rsidRPr="002A3490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2A3490">
        <w:rPr>
          <w:rFonts w:ascii="Book Antiqua" w:hAnsi="Book Antiqua" w:cs="Tahoma"/>
          <w:lang w:val="es-ES_tradnl"/>
        </w:rPr>
        <w:t xml:space="preserve"> </w:t>
      </w:r>
      <w:r w:rsidR="002A3490" w:rsidRPr="002A3490">
        <w:rPr>
          <w:rFonts w:ascii="Book Antiqua" w:hAnsi="Book Antiqua" w:cs="Tahoma"/>
          <w:lang w:val="es-ES_tradnl"/>
        </w:rPr>
        <w:t>1</w:t>
      </w:r>
      <w:r w:rsidR="00DE2275">
        <w:rPr>
          <w:rFonts w:ascii="Book Antiqua" w:hAnsi="Book Antiqua" w:cs="Tahoma"/>
          <w:lang w:val="es-ES_tradnl"/>
        </w:rPr>
        <w:t>9</w:t>
      </w:r>
      <w:r w:rsidRPr="002A3490">
        <w:rPr>
          <w:rFonts w:ascii="Book Antiqua" w:hAnsi="Book Antiqua" w:cs="Tahoma"/>
          <w:lang w:val="es-ES_tradnl"/>
        </w:rPr>
        <w:t xml:space="preserve"> de </w:t>
      </w:r>
      <w:r w:rsidR="0029076F" w:rsidRPr="002A3490">
        <w:rPr>
          <w:rFonts w:ascii="Book Antiqua" w:hAnsi="Book Antiqua" w:cs="Tahoma"/>
          <w:lang w:val="es-ES_tradnl"/>
        </w:rPr>
        <w:t>agosto</w:t>
      </w:r>
      <w:r w:rsidRPr="002A3490">
        <w:rPr>
          <w:rFonts w:ascii="Book Antiqua" w:hAnsi="Book Antiqua" w:cs="Tahoma"/>
          <w:lang w:val="es-ES_tradnl"/>
        </w:rPr>
        <w:t xml:space="preserve"> de </w:t>
      </w:r>
      <w:r w:rsidR="00333864" w:rsidRPr="002A3490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2A3490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2A3490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2A3490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2A3490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2A3490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AF3A49E" w:rsidR="00682883" w:rsidRPr="002A3490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2A3490">
        <w:rPr>
          <w:rFonts w:ascii="Book Antiqua" w:hAnsi="Book Antiqua" w:cs="Tahoma"/>
          <w:lang w:val="es-ES_tradnl"/>
        </w:rPr>
        <w:tab/>
      </w:r>
      <w:r w:rsidR="008A4022" w:rsidRPr="002A3490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2A3490">
        <w:rPr>
          <w:rFonts w:ascii="Book Antiqua" w:hAnsi="Book Antiqua" w:cs="Tahoma"/>
          <w:lang w:val="es-ES_tradnl"/>
        </w:rPr>
        <w:t>sideración de la R. de la C.</w:t>
      </w:r>
      <w:r w:rsidR="002A3490" w:rsidRPr="002A3490">
        <w:rPr>
          <w:rFonts w:ascii="Book Antiqua" w:hAnsi="Book Antiqua" w:cs="Tahoma"/>
          <w:lang w:val="es-ES_tradnl"/>
        </w:rPr>
        <w:t xml:space="preserve"> 248</w:t>
      </w:r>
      <w:r w:rsidR="00FA5F29" w:rsidRPr="002A3490">
        <w:rPr>
          <w:rFonts w:ascii="Book Antiqua" w:hAnsi="Book Antiqua" w:cs="Tahoma"/>
          <w:lang w:val="es-ES_tradnl"/>
        </w:rPr>
        <w:t xml:space="preserve">, </w:t>
      </w:r>
      <w:r w:rsidR="00682883" w:rsidRPr="002A3490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D644E8">
        <w:rPr>
          <w:rFonts w:ascii="Book Antiqua" w:hAnsi="Book Antiqua" w:cs="Tahoma"/>
          <w:lang w:val="es-ES_tradnl"/>
        </w:rPr>
        <w:t>,</w:t>
      </w:r>
      <w:r w:rsidR="00682883" w:rsidRPr="002A3490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2A3490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2A3490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2A3490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FFEF3AD" w:rsidR="008D4A0A" w:rsidRPr="002A3490" w:rsidRDefault="00BC1CB2" w:rsidP="002A3490">
      <w:pPr>
        <w:ind w:left="567" w:hanging="567"/>
        <w:jc w:val="both"/>
        <w:rPr>
          <w:rFonts w:ascii="Book Antiqua" w:hAnsi="Book Antiqua"/>
          <w:lang w:val="es-ES_tradnl"/>
        </w:rPr>
      </w:pPr>
      <w:r w:rsidRPr="002A3490">
        <w:rPr>
          <w:rFonts w:ascii="Book Antiqua" w:hAnsi="Book Antiqua" w:cs="Tahoma"/>
          <w:lang w:val="es-ES_tradnl"/>
        </w:rPr>
        <w:t xml:space="preserve"> </w:t>
      </w:r>
      <w:r w:rsidR="00E86FF9" w:rsidRPr="002A3490">
        <w:rPr>
          <w:rFonts w:ascii="Book Antiqua" w:hAnsi="Book Antiqua" w:cs="Tahoma"/>
          <w:lang w:val="es-ES_tradnl"/>
        </w:rPr>
        <w:t>“</w:t>
      </w:r>
      <w:r w:rsidR="00E86FF9" w:rsidRPr="002A3490">
        <w:rPr>
          <w:rFonts w:ascii="Book Antiqua" w:hAnsi="Book Antiqua"/>
          <w:lang w:val="es-ES_tradnl"/>
        </w:rPr>
        <w:t>Para</w:t>
      </w:r>
      <w:r w:rsidR="00E86FF9" w:rsidRPr="002A3490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2A3490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2A3490">
        <w:rPr>
          <w:rFonts w:ascii="Book Antiqua" w:hAnsi="Book Antiqua"/>
          <w:lang w:val="es-ES_tradnl"/>
        </w:rPr>
        <w:t xml:space="preserve">a la Comisión </w:t>
      </w:r>
      <w:r w:rsidR="00C321E8" w:rsidRPr="002A3490">
        <w:rPr>
          <w:rFonts w:ascii="Book Antiqua" w:hAnsi="Book Antiqua"/>
          <w:lang w:val="es-ES_tradnl"/>
        </w:rPr>
        <w:t>de</w:t>
      </w:r>
      <w:r w:rsidR="00DF3E6F" w:rsidRPr="002A3490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2A3490" w:rsidRPr="002A3490">
        <w:rPr>
          <w:rFonts w:ascii="Book Antiqua" w:hAnsi="Book Antiqua"/>
          <w:lang w:val="es-ES_tradnl"/>
        </w:rPr>
        <w:t>Transportación e Infraestructura de la Cámara de Representantes de Puerto Rico realizar una investigación sobre la implementación y resultados del Incentivo de Responsabilidad Vial, el cual otorga un descuento de treinta por ciento (30%) en el pago total del cargo base de derechos anuales por concepto de renovación de licencia vehicular a todo ciudadano que así lo solicite y que, al momento de realizar el pago, cumpla con los requisitos establecidos en la Ley 22-2000</w:t>
      </w:r>
      <w:r w:rsidR="00D644E8">
        <w:rPr>
          <w:rFonts w:ascii="Book Antiqua" w:hAnsi="Book Antiqua"/>
          <w:lang w:val="es-ES_tradnl"/>
        </w:rPr>
        <w:t>,</w:t>
      </w:r>
      <w:r w:rsidR="002A3490" w:rsidRPr="002A3490">
        <w:rPr>
          <w:rFonts w:ascii="Book Antiqua" w:hAnsi="Book Antiqua"/>
          <w:lang w:val="es-ES_tradnl"/>
        </w:rPr>
        <w:t xml:space="preserve"> según enmendada; y para otros fines relacionados.</w:t>
      </w:r>
      <w:r w:rsidR="00FA5F29" w:rsidRPr="002A3490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2A3490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2A3490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2A3490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2A3490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C9AF58E" w14:textId="3427D95A" w:rsidR="002A3490" w:rsidRPr="002A3490" w:rsidRDefault="00CC4336" w:rsidP="002A3490">
      <w:pPr>
        <w:jc w:val="both"/>
        <w:rPr>
          <w:rFonts w:ascii="Book Antiqua" w:hAnsi="Book Antiqua"/>
          <w:lang w:val="es-ES_tradnl"/>
        </w:rPr>
      </w:pPr>
      <w:r w:rsidRPr="002A3490">
        <w:rPr>
          <w:rFonts w:ascii="Book Antiqua" w:eastAsiaTheme="minorHAnsi" w:hAnsi="Book Antiqua"/>
          <w:lang w:val="es-ES_tradnl"/>
        </w:rPr>
        <w:t xml:space="preserve">     </w:t>
      </w:r>
      <w:r w:rsidR="00DE02EB" w:rsidRPr="002A3490">
        <w:rPr>
          <w:rFonts w:ascii="Book Antiqua" w:hAnsi="Book Antiqua"/>
          <w:lang w:val="es-ES_tradnl"/>
        </w:rPr>
        <w:t>La</w:t>
      </w:r>
      <w:r w:rsidR="00194744" w:rsidRPr="002A3490">
        <w:rPr>
          <w:rFonts w:ascii="Book Antiqua" w:hAnsi="Book Antiqua"/>
          <w:lang w:val="es-ES_tradnl"/>
        </w:rPr>
        <w:t xml:space="preserve"> Resolución de la Cámara Núm.</w:t>
      </w:r>
      <w:r w:rsidR="002A3490" w:rsidRPr="002A3490">
        <w:rPr>
          <w:rFonts w:ascii="Book Antiqua" w:hAnsi="Book Antiqua"/>
          <w:lang w:val="es-ES_tradnl"/>
        </w:rPr>
        <w:t xml:space="preserve"> 248 </w:t>
      </w:r>
      <w:r w:rsidR="00DF3E6F" w:rsidRPr="002A3490">
        <w:rPr>
          <w:rFonts w:ascii="Book Antiqua" w:hAnsi="Book Antiqua"/>
          <w:lang w:val="es-ES_tradnl"/>
        </w:rPr>
        <w:t>tiene el propósito de realizar una investigación exhaustiva sobre</w:t>
      </w:r>
      <w:r w:rsidR="002A3490" w:rsidRPr="002A3490">
        <w:rPr>
          <w:rFonts w:ascii="Book Antiqua" w:hAnsi="Book Antiqua"/>
          <w:lang w:val="es-ES_tradnl"/>
        </w:rPr>
        <w:t xml:space="preserve"> la implementación y los resultados del Incentivo de Responsabilidad Vial, creado por la Ley 22-2000, según enmendada, conocida como la “Ley de Vehículos y Tránsito de Puerto Rico”. Este incentivo consiste en un descuento de treinta por ciento (30%) en el pago total del cargo base de derechos anuales por concepto de renovación de licencia vehicular para todo ciudadano que así lo solicite y cumpla con los requisitos establecidos en ley.</w:t>
      </w:r>
    </w:p>
    <w:p w14:paraId="2109430C" w14:textId="77777777" w:rsidR="002A3490" w:rsidRPr="002A3490" w:rsidRDefault="002A3490" w:rsidP="002A3490">
      <w:pPr>
        <w:jc w:val="both"/>
        <w:rPr>
          <w:rFonts w:ascii="Book Antiqua" w:hAnsi="Book Antiqua"/>
          <w:lang w:val="es-ES_tradnl"/>
        </w:rPr>
      </w:pPr>
    </w:p>
    <w:p w14:paraId="0FCB3409" w14:textId="6E47CD16" w:rsidR="002A3490" w:rsidRPr="002A3490" w:rsidRDefault="002A3490" w:rsidP="002A3490">
      <w:pPr>
        <w:jc w:val="both"/>
        <w:rPr>
          <w:rFonts w:ascii="Book Antiqua" w:hAnsi="Book Antiqua"/>
          <w:lang w:val="es-ES_tradnl"/>
        </w:rPr>
      </w:pPr>
      <w:r w:rsidRPr="002A3490">
        <w:rPr>
          <w:rFonts w:ascii="Book Antiqua" w:hAnsi="Book Antiqua"/>
          <w:lang w:val="es-ES_tradnl"/>
        </w:rPr>
        <w:lastRenderedPageBreak/>
        <w:t xml:space="preserve">     En la Exposición de Motivos se señala que este incentivo tiene como objetivo fomentar la responsabilidad vial, recompensando a los conductores que no han cometido infracciones en los doce (12) meses previos a la renovación de su licencia vehicular. Asimismo, se expone que la medida busca examinar si esta política pública ha resultado efectiva en reducir las infracciones, promover la seguridad en las carreteras y beneficiar económicamente a los conductores elegibles.</w:t>
      </w:r>
    </w:p>
    <w:p w14:paraId="62609631" w14:textId="77777777" w:rsidR="002A3490" w:rsidRPr="002A3490" w:rsidRDefault="002A3490" w:rsidP="002A3490">
      <w:pPr>
        <w:jc w:val="both"/>
        <w:rPr>
          <w:rFonts w:ascii="Book Antiqua" w:hAnsi="Book Antiqua"/>
          <w:lang w:val="es-ES_tradnl"/>
        </w:rPr>
      </w:pPr>
    </w:p>
    <w:p w14:paraId="05E78832" w14:textId="6374ED66" w:rsidR="00DF3E6F" w:rsidRPr="002A3490" w:rsidRDefault="002A3490" w:rsidP="00DF3E6F">
      <w:pPr>
        <w:jc w:val="both"/>
        <w:rPr>
          <w:rFonts w:ascii="Book Antiqua" w:hAnsi="Book Antiqua"/>
          <w:lang w:val="es-ES_tradnl"/>
        </w:rPr>
      </w:pPr>
      <w:r w:rsidRPr="002A3490">
        <w:rPr>
          <w:rFonts w:ascii="Book Antiqua" w:hAnsi="Book Antiqua"/>
          <w:lang w:val="es-ES_tradnl"/>
        </w:rPr>
        <w:t xml:space="preserve">     Esta Comisión entiende que la investigación permitirá recopilar información objetiva y actualizada sobre el alcance real de este incentivo, su impacto en la seguridad vial y su efectividad como herramienta para fomentar la educación y disciplina de los conductores en Puerto Rico. </w:t>
      </w:r>
    </w:p>
    <w:p w14:paraId="3E07A231" w14:textId="7A2DF3CC" w:rsidR="008B1E7C" w:rsidRPr="002A3490" w:rsidRDefault="006150BB" w:rsidP="002A3490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2A3490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17C9129C" w:rsidR="001A02E8" w:rsidRPr="002A3490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2A3490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2A3490" w:rsidRPr="002A3490">
        <w:rPr>
          <w:rFonts w:ascii="Book Antiqua" w:hAnsi="Book Antiqua"/>
          <w:sz w:val="24"/>
          <w:szCs w:val="24"/>
          <w:lang w:val="es-ES_tradnl"/>
        </w:rPr>
        <w:t>a Resolución de la Cámara 248</w:t>
      </w:r>
      <w:r w:rsidRPr="002A3490">
        <w:rPr>
          <w:rFonts w:ascii="Book Antiqua" w:hAnsi="Book Antiqua"/>
          <w:sz w:val="24"/>
          <w:szCs w:val="24"/>
          <w:lang w:val="es-ES_tradnl"/>
        </w:rPr>
        <w:t xml:space="preserve">, con las enmiendas que obran en el </w:t>
      </w:r>
      <w:proofErr w:type="spellStart"/>
      <w:r w:rsidRPr="002A3490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2A3490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D644E8" w:rsidRDefault="00DF3E6F" w:rsidP="00DF3E6F">
      <w:pPr>
        <w:jc w:val="both"/>
        <w:rPr>
          <w:rFonts w:ascii="Book Antiqua" w:hAnsi="Book Antiqua"/>
          <w:lang w:val="es-ES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644E8">
        <w:rPr>
          <w:rFonts w:ascii="Book Antiqua" w:hAnsi="Book Antiqua"/>
          <w:lang w:val="es-ES"/>
        </w:rPr>
        <w:t xml:space="preserve">    </w:t>
      </w: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34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7143167">
    <w:abstractNumId w:val="6"/>
  </w:num>
  <w:num w:numId="2" w16cid:durableId="1563564063">
    <w:abstractNumId w:val="12"/>
  </w:num>
  <w:num w:numId="3" w16cid:durableId="637339011">
    <w:abstractNumId w:val="3"/>
  </w:num>
  <w:num w:numId="4" w16cid:durableId="60442412">
    <w:abstractNumId w:val="1"/>
  </w:num>
  <w:num w:numId="5" w16cid:durableId="1759671900">
    <w:abstractNumId w:val="7"/>
  </w:num>
  <w:num w:numId="6" w16cid:durableId="991102684">
    <w:abstractNumId w:val="4"/>
  </w:num>
  <w:num w:numId="7" w16cid:durableId="490491262">
    <w:abstractNumId w:val="5"/>
  </w:num>
  <w:num w:numId="8" w16cid:durableId="761990418">
    <w:abstractNumId w:val="8"/>
  </w:num>
  <w:num w:numId="9" w16cid:durableId="1884755480">
    <w:abstractNumId w:val="9"/>
  </w:num>
  <w:num w:numId="10" w16cid:durableId="308247052">
    <w:abstractNumId w:val="0"/>
  </w:num>
  <w:num w:numId="11" w16cid:durableId="1688755357">
    <w:abstractNumId w:val="2"/>
  </w:num>
  <w:num w:numId="12" w16cid:durableId="2100442909">
    <w:abstractNumId w:val="11"/>
  </w:num>
  <w:num w:numId="13" w16cid:durableId="16274666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11F37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D2E3A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3490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5DF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644E8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275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266C"/>
    <w:rsid w:val="00F533D4"/>
    <w:rsid w:val="00F62B28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EFB5D93-6540-460A-B06D-056C5C13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2457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2025-08-19T14:07:00Z</dcterms:created>
  <dcterms:modified xsi:type="dcterms:W3CDTF">2025-08-19T14:07:00Z</dcterms:modified>
</cp:coreProperties>
</file>