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F091F" w14:textId="1ADB00DD" w:rsidR="00F5095B" w:rsidRPr="00F5095B" w:rsidRDefault="00F5095B" w:rsidP="00F5095B">
      <w:pPr>
        <w:jc w:val="center"/>
        <w:outlineLvl w:val="0"/>
        <w:rPr>
          <w:b/>
          <w:sz w:val="28"/>
          <w:szCs w:val="28"/>
          <w:lang w:val="es-ES"/>
        </w:rPr>
      </w:pPr>
      <w:r>
        <w:rPr>
          <w:b/>
          <w:sz w:val="28"/>
          <w:szCs w:val="28"/>
          <w:lang w:val="es-ES"/>
        </w:rPr>
        <w:t>GOBIERNO DE PUERTO RICO</w:t>
      </w:r>
    </w:p>
    <w:p w14:paraId="187DAFA6" w14:textId="77777777" w:rsidR="00F5095B" w:rsidRPr="002A3A0F" w:rsidRDefault="00F5095B" w:rsidP="00F5095B">
      <w:pPr>
        <w:pStyle w:val="Title2"/>
        <w:tabs>
          <w:tab w:val="clear" w:pos="7776"/>
          <w:tab w:val="clear" w:pos="7848"/>
          <w:tab w:val="right" w:pos="8640"/>
          <w:tab w:val="left" w:pos="9180"/>
        </w:tabs>
        <w:rPr>
          <w:rFonts w:ascii="Book Antiqua" w:hAnsi="Book Antiqua"/>
          <w:szCs w:val="24"/>
          <w:lang w:val="es-ES"/>
        </w:rPr>
      </w:pPr>
      <w:r>
        <w:rPr>
          <w:rFonts w:ascii="Book Antiqua" w:hAnsi="Book Antiqua"/>
          <w:szCs w:val="24"/>
          <w:lang w:val="es-ES"/>
        </w:rPr>
        <w:t>20ma. Asamblea</w:t>
      </w:r>
      <w:r>
        <w:rPr>
          <w:rFonts w:ascii="Book Antiqua" w:hAnsi="Book Antiqua"/>
          <w:szCs w:val="24"/>
          <w:lang w:val="es-ES"/>
        </w:rPr>
        <w:tab/>
        <w:t xml:space="preserve">             3ra. Sesión</w:t>
      </w:r>
    </w:p>
    <w:p w14:paraId="28C82E6D" w14:textId="77777777" w:rsidR="00F5095B" w:rsidRPr="002A3A0F" w:rsidRDefault="00F5095B" w:rsidP="00F5095B">
      <w:pPr>
        <w:pStyle w:val="Title2"/>
        <w:tabs>
          <w:tab w:val="clear" w:pos="648"/>
          <w:tab w:val="left" w:pos="540"/>
          <w:tab w:val="left" w:pos="6930"/>
        </w:tabs>
        <w:rPr>
          <w:rFonts w:ascii="Book Antiqua" w:hAnsi="Book Antiqua"/>
          <w:szCs w:val="24"/>
          <w:lang w:val="es-ES"/>
        </w:rPr>
      </w:pPr>
      <w:r>
        <w:rPr>
          <w:rFonts w:ascii="Book Antiqua" w:hAnsi="Book Antiqua"/>
          <w:szCs w:val="24"/>
          <w:lang w:val="es-ES"/>
        </w:rPr>
        <w:tab/>
        <w:t>Legislativa</w:t>
      </w:r>
      <w:r>
        <w:rPr>
          <w:rFonts w:ascii="Book Antiqua" w:hAnsi="Book Antiqua"/>
          <w:szCs w:val="24"/>
          <w:lang w:val="es-ES"/>
        </w:rPr>
        <w:tab/>
        <w:t xml:space="preserve">            Ordinaria</w:t>
      </w:r>
    </w:p>
    <w:p w14:paraId="22A9CB24" w14:textId="77777777" w:rsidR="00F5095B" w:rsidRPr="002A3A0F" w:rsidRDefault="00F5095B" w:rsidP="00F5095B">
      <w:pPr>
        <w:rPr>
          <w:lang w:val="es-ES"/>
        </w:rPr>
      </w:pPr>
    </w:p>
    <w:p w14:paraId="146C3F9F" w14:textId="2DE3A096" w:rsidR="00F5095B" w:rsidRPr="00F5095B" w:rsidRDefault="00F5095B" w:rsidP="00F5095B">
      <w:pPr>
        <w:jc w:val="center"/>
        <w:outlineLvl w:val="0"/>
        <w:rPr>
          <w:smallCaps/>
          <w:sz w:val="36"/>
          <w:szCs w:val="36"/>
          <w:lang w:val="es-ES"/>
        </w:rPr>
      </w:pPr>
      <w:r>
        <w:rPr>
          <w:b/>
          <w:caps/>
          <w:sz w:val="36"/>
          <w:szCs w:val="36"/>
          <w:lang w:val="es-ES"/>
        </w:rPr>
        <w:t>CÁMARA DE REPRESENTANTES</w:t>
      </w:r>
    </w:p>
    <w:p w14:paraId="570DE188" w14:textId="77171787" w:rsidR="00F5095B" w:rsidRPr="002A3A0F" w:rsidRDefault="00F5095B" w:rsidP="00F5095B">
      <w:pPr>
        <w:jc w:val="center"/>
        <w:outlineLvl w:val="0"/>
        <w:rPr>
          <w:rFonts w:cs="Tahoma"/>
          <w:b/>
          <w:sz w:val="52"/>
          <w:szCs w:val="52"/>
          <w:lang w:val="es-ES"/>
        </w:rPr>
      </w:pPr>
      <w:r>
        <w:rPr>
          <w:rFonts w:cs="Tahoma"/>
          <w:b/>
          <w:sz w:val="52"/>
          <w:szCs w:val="52"/>
          <w:lang w:val="es-ES"/>
        </w:rPr>
        <w:t>R. de la C. 249</w:t>
      </w:r>
    </w:p>
    <w:p w14:paraId="4A91F9F8" w14:textId="77777777" w:rsidR="00F5095B" w:rsidRPr="002A3A0F" w:rsidRDefault="00F5095B" w:rsidP="00F5095B">
      <w:pPr>
        <w:jc w:val="center"/>
        <w:outlineLvl w:val="0"/>
        <w:rPr>
          <w:rFonts w:cs="Tahoma"/>
          <w:b/>
          <w:sz w:val="28"/>
          <w:szCs w:val="28"/>
          <w:lang w:val="es-ES"/>
        </w:rPr>
      </w:pPr>
      <w:r>
        <w:rPr>
          <w:rFonts w:cs="Tahoma"/>
          <w:b/>
          <w:sz w:val="28"/>
          <w:szCs w:val="28"/>
          <w:lang w:val="es-ES"/>
        </w:rPr>
        <w:t>INFORME FINAL</w:t>
      </w:r>
    </w:p>
    <w:p w14:paraId="54ABB674" w14:textId="77777777" w:rsidR="003C5FE1" w:rsidRPr="00F5095B" w:rsidRDefault="003C5FE1">
      <w:pPr>
        <w:spacing w:after="0"/>
        <w:rPr>
          <w:lang w:val="es-ES"/>
        </w:rPr>
      </w:pPr>
    </w:p>
    <w:p w14:paraId="7DA0F286" w14:textId="3BFD8961" w:rsidR="003C5FE1" w:rsidRPr="00F5095B" w:rsidRDefault="005022E6" w:rsidP="00F5095B">
      <w:pPr>
        <w:spacing w:after="0"/>
        <w:jc w:val="center"/>
        <w:rPr>
          <w:lang w:val="es-ES"/>
        </w:rPr>
      </w:pPr>
      <w:r>
        <w:rPr>
          <w:lang w:val="es-ES"/>
        </w:rPr>
        <w:t xml:space="preserve">4 </w:t>
      </w:r>
      <w:r w:rsidR="00F5095B">
        <w:rPr>
          <w:lang w:val="es-ES"/>
        </w:rPr>
        <w:t xml:space="preserve">DE </w:t>
      </w:r>
      <w:r w:rsidR="000E27F2">
        <w:rPr>
          <w:lang w:val="es-ES"/>
        </w:rPr>
        <w:t>MAYO</w:t>
      </w:r>
      <w:r w:rsidR="00F5095B">
        <w:rPr>
          <w:lang w:val="es-ES"/>
        </w:rPr>
        <w:t xml:space="preserve"> DE 2026</w:t>
      </w:r>
    </w:p>
    <w:p w14:paraId="2284EF4D" w14:textId="77777777" w:rsidR="003C5FE1" w:rsidRPr="00F5095B" w:rsidRDefault="003C5FE1">
      <w:pPr>
        <w:spacing w:after="0"/>
        <w:rPr>
          <w:lang w:val="es-ES"/>
        </w:rPr>
      </w:pPr>
    </w:p>
    <w:p w14:paraId="60DD10BF" w14:textId="77777777" w:rsidR="003C5FE1" w:rsidRPr="00F5095B" w:rsidRDefault="00F5095B">
      <w:pPr>
        <w:rPr>
          <w:lang w:val="es-ES"/>
        </w:rPr>
      </w:pPr>
      <w:r>
        <w:rPr>
          <w:b/>
          <w:bCs/>
          <w:lang w:val="es-ES"/>
        </w:rPr>
        <w:t>A LA CÁMARA DE REPRESENTANTES DE PUERTO RICO:</w:t>
      </w:r>
    </w:p>
    <w:p w14:paraId="09348A93" w14:textId="2F50E6E9" w:rsidR="000F78EE" w:rsidRDefault="008331C3" w:rsidP="000E27F2">
      <w:pPr>
        <w:ind w:firstLine="720"/>
        <w:jc w:val="both"/>
        <w:rPr>
          <w:lang w:val="es-ES"/>
        </w:rPr>
      </w:pPr>
      <w:r>
        <w:rPr>
          <w:lang w:val="es-ES"/>
        </w:rPr>
        <w:t>La Comisión de la Región Norte de la Cámara de Representantes, previo estudio y consideración de la R. de la C. 249, presentada por el representante Robles Rivera, tiene a bien someter el presente Informe Final con sus hallazgos, conclusiones y recomendaciones.</w:t>
      </w:r>
    </w:p>
    <w:p w14:paraId="1B113850" w14:textId="4DB73423" w:rsidR="000F78EE" w:rsidRDefault="008331C3" w:rsidP="000E27F2">
      <w:pPr>
        <w:spacing w:after="0"/>
        <w:ind w:left="720" w:right="720"/>
        <w:jc w:val="both"/>
        <w:rPr>
          <w:lang w:val="es-ES"/>
        </w:rPr>
      </w:pPr>
      <w:r>
        <w:rPr>
          <w:lang w:val="es-ES"/>
        </w:rPr>
        <w:t>Para ordenar a la Comisión de la Región Norte de la Cámara de Representantes realizar una investigación exhaustiva sobre las condiciones del sistema de iluminación pública en el Distrito Representativo Número 14 correspondiente a los municipios de Arecibo y Hatillo, incluyendo el análisis del plan vigente para la instalación o sustitución de luminarias, los criterios de priorización gubernamental y los mecanismos de supervisión y monitoreo establecidos.</w:t>
      </w:r>
    </w:p>
    <w:p w14:paraId="7EAA27EE" w14:textId="77777777" w:rsidR="000F78EE" w:rsidRDefault="008331C3">
      <w:pPr>
        <w:spacing w:before="240" w:after="240"/>
        <w:jc w:val="center"/>
        <w:rPr>
          <w:lang w:val="es-ES"/>
        </w:rPr>
      </w:pPr>
      <w:r>
        <w:rPr>
          <w:b/>
          <w:bCs/>
          <w:u w:val="single"/>
          <w:lang w:val="es-ES"/>
        </w:rPr>
        <w:t>ALCANCE Y ANÁLISIS DE LA MEDIDA</w:t>
      </w:r>
    </w:p>
    <w:p w14:paraId="60CAD19E" w14:textId="77777777" w:rsidR="000F78EE" w:rsidRDefault="008331C3">
      <w:pPr>
        <w:ind w:firstLine="720"/>
        <w:jc w:val="both"/>
        <w:rPr>
          <w:lang w:val="es-ES"/>
        </w:rPr>
      </w:pPr>
      <w:r>
        <w:rPr>
          <w:lang w:val="es-ES"/>
        </w:rPr>
        <w:t xml:space="preserve">La </w:t>
      </w:r>
      <w:r>
        <w:rPr>
          <w:b/>
          <w:bCs/>
          <w:lang w:val="es-ES"/>
        </w:rPr>
        <w:t>Resolución de la Cámara 249</w:t>
      </w:r>
      <w:r>
        <w:rPr>
          <w:lang w:val="es-ES"/>
        </w:rPr>
        <w:t xml:space="preserve"> ordenó a esta Comisión realizar una investigación exhaustiva sobre las condiciones del sistema de iluminación pública en el Distrito Representativo Número 14, correspondiente a los municipios de Arecibo y Hatillo, incluyendo el análisis del plan vigente para la instalación o sustitución de luminarias, los criterios de priorización gubernamental y los mecanismos de supervisión y monitoreo establecidos.</w:t>
      </w:r>
    </w:p>
    <w:p w14:paraId="5FD8737D" w14:textId="77777777" w:rsidR="000F78EE" w:rsidRDefault="008331C3">
      <w:pPr>
        <w:ind w:firstLine="720"/>
        <w:jc w:val="both"/>
        <w:rPr>
          <w:lang w:val="es-ES"/>
        </w:rPr>
      </w:pPr>
      <w:r>
        <w:rPr>
          <w:lang w:val="es-ES"/>
        </w:rPr>
        <w:lastRenderedPageBreak/>
        <w:t>La Exposición de Motivos de la Resolución reconoce la importancia del alumbrado público como un componente esencial para la seguridad ciudadana, la prevención del crimen y la calidad de vida de las comunidades. Tras los daños provocados por el huracán María en septiembre de 2017, miles de luminarias en todo Puerto Rico permanecieron inoperantes durante años, afectando significativamente al Distrito Representativo Número 14, que comprende los municipios de Arecibo y Hatillo. Aunque se han iniciado esfuerzos de modernización a través del Programa de Alumbrado Público Comunitario administrado por LUMA Energy, persisten interrogantes sobre el ritmo de ejecución, los criterios de priorización y los mecanismos de supervisión interagencial.</w:t>
      </w:r>
    </w:p>
    <w:p w14:paraId="0DD35B21" w14:textId="77777777" w:rsidR="000F78EE" w:rsidRDefault="008331C3">
      <w:pPr>
        <w:ind w:firstLine="720"/>
        <w:jc w:val="both"/>
        <w:rPr>
          <w:lang w:val="es-ES"/>
        </w:rPr>
      </w:pPr>
      <w:r>
        <w:rPr>
          <w:lang w:val="es-ES"/>
        </w:rPr>
        <w:t>Específicamente, la medida dispone que se debe:</w:t>
      </w:r>
    </w:p>
    <w:p w14:paraId="005BB6DE" w14:textId="77777777" w:rsidR="000F78EE" w:rsidRDefault="008331C3">
      <w:pPr>
        <w:pStyle w:val="ListParagraph"/>
        <w:numPr>
          <w:ilvl w:val="0"/>
          <w:numId w:val="2"/>
        </w:numPr>
        <w:spacing w:after="120"/>
        <w:jc w:val="both"/>
        <w:rPr>
          <w:lang w:val="es-ES"/>
        </w:rPr>
      </w:pPr>
      <w:r>
        <w:rPr>
          <w:lang w:val="es-ES"/>
        </w:rPr>
        <w:t>Investigar las condiciones del sistema de iluminación pública en los municipios de Arecibo y Hatillo, integrantes del Distrito Representativo Número 14.</w:t>
      </w:r>
    </w:p>
    <w:p w14:paraId="598306C3" w14:textId="77777777" w:rsidR="000F78EE" w:rsidRDefault="008331C3">
      <w:pPr>
        <w:pStyle w:val="ListParagraph"/>
        <w:numPr>
          <w:ilvl w:val="0"/>
          <w:numId w:val="2"/>
        </w:numPr>
        <w:spacing w:after="120"/>
        <w:jc w:val="both"/>
        <w:rPr>
          <w:lang w:val="es-ES"/>
        </w:rPr>
      </w:pPr>
      <w:r>
        <w:rPr>
          <w:lang w:val="es-ES"/>
        </w:rPr>
        <w:t>Analizar el plan vigente para la instalación o sustitución de luminarias en el referido Distrito.</w:t>
      </w:r>
    </w:p>
    <w:p w14:paraId="12A755D0" w14:textId="77777777" w:rsidR="000F78EE" w:rsidRDefault="008331C3">
      <w:pPr>
        <w:pStyle w:val="ListParagraph"/>
        <w:numPr>
          <w:ilvl w:val="0"/>
          <w:numId w:val="2"/>
        </w:numPr>
        <w:spacing w:after="120"/>
        <w:jc w:val="both"/>
        <w:rPr>
          <w:lang w:val="es-ES"/>
        </w:rPr>
      </w:pPr>
      <w:r>
        <w:rPr>
          <w:lang w:val="es-ES"/>
        </w:rPr>
        <w:t>Examinar los criterios de priorización gubernamental aplicables a la modernización del alumbrado público.</w:t>
      </w:r>
    </w:p>
    <w:p w14:paraId="3893CECD" w14:textId="77777777" w:rsidR="000F78EE" w:rsidRDefault="008331C3">
      <w:pPr>
        <w:pStyle w:val="ListParagraph"/>
        <w:numPr>
          <w:ilvl w:val="0"/>
          <w:numId w:val="2"/>
        </w:numPr>
        <w:spacing w:after="120"/>
        <w:jc w:val="both"/>
        <w:rPr>
          <w:lang w:val="es-ES"/>
        </w:rPr>
      </w:pPr>
      <w:r>
        <w:rPr>
          <w:lang w:val="es-ES"/>
        </w:rPr>
        <w:t>Evaluar los mecanismos de supervisión y monitoreo establecidos por las agencias concernidas.</w:t>
      </w:r>
    </w:p>
    <w:p w14:paraId="197157D5" w14:textId="77777777" w:rsidR="000F78EE" w:rsidRDefault="000F78EE">
      <w:pPr>
        <w:spacing w:after="0"/>
        <w:rPr>
          <w:lang w:val="es-ES"/>
        </w:rPr>
      </w:pPr>
    </w:p>
    <w:p w14:paraId="2C433330" w14:textId="77777777" w:rsidR="000F78EE" w:rsidRDefault="008331C3">
      <w:pPr>
        <w:ind w:firstLine="720"/>
        <w:jc w:val="both"/>
        <w:rPr>
          <w:lang w:val="es-ES"/>
        </w:rPr>
      </w:pPr>
      <w:r>
        <w:rPr>
          <w:lang w:val="es-ES"/>
        </w:rPr>
        <w:t>Para cumplir con el mandato de la medida, la Comisión solicitó memorial explicativo a LUMA Energy, entidad responsable contractualmente de la operación, mantenimiento y modernización del alumbrado público integrado a la red de distribución eléctrica de la Autoridad de Energía Eléctrica (AEE).</w:t>
      </w:r>
    </w:p>
    <w:p w14:paraId="290F83BE" w14:textId="77777777" w:rsidR="000F78EE" w:rsidRDefault="008331C3">
      <w:pPr>
        <w:spacing w:before="240" w:after="240"/>
        <w:jc w:val="center"/>
        <w:rPr>
          <w:lang w:val="es-ES"/>
        </w:rPr>
      </w:pPr>
      <w:r>
        <w:rPr>
          <w:b/>
          <w:bCs/>
          <w:u w:val="single"/>
          <w:lang w:val="es-ES"/>
        </w:rPr>
        <w:t>MEMORIAL EXPLICATIVO</w:t>
      </w:r>
    </w:p>
    <w:p w14:paraId="533DD88E" w14:textId="77777777" w:rsidR="000F78EE" w:rsidRDefault="008331C3">
      <w:pPr>
        <w:ind w:firstLine="720"/>
        <w:jc w:val="both"/>
        <w:rPr>
          <w:lang w:val="es-ES"/>
        </w:rPr>
      </w:pPr>
      <w:r>
        <w:rPr>
          <w:b/>
          <w:bCs/>
          <w:lang w:val="es-ES"/>
        </w:rPr>
        <w:t>A. LUMA Energy</w:t>
      </w:r>
    </w:p>
    <w:p w14:paraId="06A992D6" w14:textId="77777777" w:rsidR="000F78EE" w:rsidRDefault="008331C3" w:rsidP="000E27F2">
      <w:pPr>
        <w:ind w:firstLine="720"/>
        <w:jc w:val="both"/>
        <w:rPr>
          <w:lang w:val="es-ES"/>
        </w:rPr>
      </w:pPr>
      <w:r>
        <w:rPr>
          <w:lang w:val="es-ES"/>
        </w:rPr>
        <w:t>LUMA Energy presentó su Memorial Explicativo el 10 de marzo de 2026, suscrito por el Sr. Michael A. Juarbe Laffitte, Vicepresidente de Asuntos de Gobierno y Política Pública. El memorial fue acompañado de dos anejos: el Anejo A, que contiene el listado de proyectos de alumbrado público inactivados por la AEE; y el Anejo B, correspondiente al “PREB Project Activation List – Attachment A Projects (Revised Version)”.</w:t>
      </w:r>
    </w:p>
    <w:p w14:paraId="3272C7A7" w14:textId="467CCF06" w:rsidR="000F78EE" w:rsidRDefault="008331C3">
      <w:pPr>
        <w:ind w:firstLine="720"/>
        <w:jc w:val="both"/>
        <w:rPr>
          <w:lang w:val="es-ES"/>
        </w:rPr>
      </w:pPr>
      <w:r>
        <w:rPr>
          <w:b/>
          <w:bCs/>
          <w:lang w:val="es-ES"/>
        </w:rPr>
        <w:lastRenderedPageBreak/>
        <w:t>1. Marco contractual de LUMA relacionado con el alumbrado público</w:t>
      </w:r>
      <w:r w:rsidR="000E27F2">
        <w:rPr>
          <w:b/>
          <w:bCs/>
          <w:lang w:val="es-ES"/>
        </w:rPr>
        <w:t xml:space="preserve">: </w:t>
      </w:r>
      <w:r>
        <w:rPr>
          <w:lang w:val="es-ES"/>
        </w:rPr>
        <w:t>LUMA expuso que, conforme al Acuerdo de Operación y Mantenimiento del Sistema de Transmisión y Distribución (T&amp;D OMA), ostenta la responsabilidad exclusiva de la operación, mantenimiento y administración del Sistema T&amp;D, incluyendo planificación, ejecución de obras, mantenimiento y coordinación técnica. No obstante, LUMA es contractualmente responsable únicamente de aquellas luminarias que forman parte del sistema de distribución de la Autoridad de Energía Eléctrica (AEE). Aclaró que no tiene jurisdicción sobre luminarias pertenecientes a otras entidades, tales como la Autoridad de Carreteras y Transportación (ACT), adscrita al Departamento de Transportación y Obras Públicas (DTOP), la Autoridad de Acueductos y Alcantarillados (AAA), los municipios y empresas privadas, las cuales conservan la responsabilidad legal y operacional sobre sus propios activos de alumbrado.</w:t>
      </w:r>
    </w:p>
    <w:p w14:paraId="78621613" w14:textId="1F08307D" w:rsidR="000F78EE" w:rsidRDefault="008331C3">
      <w:pPr>
        <w:ind w:firstLine="720"/>
        <w:jc w:val="both"/>
        <w:rPr>
          <w:lang w:val="es-ES"/>
        </w:rPr>
      </w:pPr>
      <w:r>
        <w:rPr>
          <w:b/>
          <w:bCs/>
          <w:lang w:val="es-ES"/>
        </w:rPr>
        <w:t>2. Evaluación y progreso de LUMA en el alumbrado público</w:t>
      </w:r>
      <w:r w:rsidR="000E27F2">
        <w:rPr>
          <w:b/>
          <w:bCs/>
          <w:lang w:val="es-ES"/>
        </w:rPr>
        <w:t xml:space="preserve">: </w:t>
      </w:r>
      <w:r>
        <w:rPr>
          <w:lang w:val="es-ES"/>
        </w:rPr>
        <w:t>LUMA informó que está enfocada en la modernización y transformación del sistema eléctrico de Puerto Rico mediante la Iniciativa de Alumbrado Público Comunitario. Desde junio de 2021, ha sobrepasado las ciento ochenta y dos mil (182,000) luminarias modernizadas en toda la Isla. Esta iniciativa, respaldada por una significativa asignación de fondos federales, busca sustituir luminarias tradicionales (sodio de alta presión o HPS) por luces LED más eficientes y duraderas, con mayor vida útil, capaces de resistir vientos de hasta ciento sesenta y cinco (165) millas por hora. Adicionalmente, en zonas costeras se instalan luces de color ámbar o rojo para proteger especies en peligro de extinción.</w:t>
      </w:r>
    </w:p>
    <w:p w14:paraId="65F5D0E2" w14:textId="77777777" w:rsidR="000F78EE" w:rsidRDefault="008331C3">
      <w:pPr>
        <w:ind w:firstLine="720"/>
        <w:jc w:val="both"/>
        <w:rPr>
          <w:lang w:val="es-ES"/>
        </w:rPr>
      </w:pPr>
      <w:r>
        <w:rPr>
          <w:lang w:val="es-ES"/>
        </w:rPr>
        <w:t>El Programa contempla tres fases de ejecución por proyecto:</w:t>
      </w:r>
    </w:p>
    <w:p w14:paraId="225B6337" w14:textId="77777777" w:rsidR="000F78EE" w:rsidRDefault="008331C3">
      <w:pPr>
        <w:pStyle w:val="ListParagraph"/>
        <w:numPr>
          <w:ilvl w:val="0"/>
          <w:numId w:val="2"/>
        </w:numPr>
        <w:spacing w:after="120"/>
        <w:jc w:val="both"/>
        <w:rPr>
          <w:lang w:val="es-ES"/>
        </w:rPr>
      </w:pPr>
      <w:r>
        <w:rPr>
          <w:b/>
          <w:bCs/>
          <w:lang w:val="es-ES"/>
        </w:rPr>
        <w:t xml:space="preserve">Fase 1 – Reemplazo exclusivo de componentes: </w:t>
      </w:r>
      <w:r>
        <w:rPr>
          <w:lang w:val="es-ES"/>
        </w:rPr>
        <w:t>Incluye el reemplazo de luminarias, brazos, fotoceldas y todo el equipo pertinente.</w:t>
      </w:r>
    </w:p>
    <w:p w14:paraId="26FA0B26" w14:textId="77777777" w:rsidR="000F78EE" w:rsidRDefault="008331C3">
      <w:pPr>
        <w:pStyle w:val="ListParagraph"/>
        <w:numPr>
          <w:ilvl w:val="0"/>
          <w:numId w:val="2"/>
        </w:numPr>
        <w:spacing w:after="120"/>
        <w:jc w:val="both"/>
        <w:rPr>
          <w:lang w:val="es-ES"/>
        </w:rPr>
      </w:pPr>
      <w:r>
        <w:rPr>
          <w:b/>
          <w:bCs/>
          <w:lang w:val="es-ES"/>
        </w:rPr>
        <w:t xml:space="preserve">Fase 2 – Reemplazo de postes secundarios sin componentes de terceros (sin TPA): </w:t>
      </w:r>
      <w:r>
        <w:rPr>
          <w:lang w:val="es-ES"/>
        </w:rPr>
        <w:t>Incluye el reemplazo de postes secundarios de distribución, además de los componentes de alumbrado.</w:t>
      </w:r>
    </w:p>
    <w:p w14:paraId="1A4EF51E" w14:textId="25B0E781" w:rsidR="000F78EE" w:rsidRPr="000E27F2" w:rsidRDefault="008331C3" w:rsidP="000E27F2">
      <w:pPr>
        <w:pStyle w:val="ListParagraph"/>
        <w:numPr>
          <w:ilvl w:val="0"/>
          <w:numId w:val="2"/>
        </w:numPr>
        <w:spacing w:after="120"/>
        <w:jc w:val="both"/>
        <w:rPr>
          <w:lang w:val="es-ES"/>
        </w:rPr>
      </w:pPr>
      <w:r>
        <w:rPr>
          <w:b/>
          <w:bCs/>
          <w:lang w:val="es-ES"/>
        </w:rPr>
        <w:t xml:space="preserve">Fase 3 – Reemplazo de postes complejos con componentes de terceros (con TPA): </w:t>
      </w:r>
      <w:r>
        <w:rPr>
          <w:lang w:val="es-ES"/>
        </w:rPr>
        <w:t>Incluye el reemplazo de postes secundarios con instalaciones de terceros, así como los postes de alumbrado público (postes octagonales de hormigón o postes de aluminio) y los componentes de alumbrado correspondientes.</w:t>
      </w:r>
    </w:p>
    <w:p w14:paraId="621E3BC4" w14:textId="77777777" w:rsidR="000F78EE" w:rsidRDefault="008331C3">
      <w:pPr>
        <w:ind w:firstLine="720"/>
        <w:jc w:val="both"/>
        <w:rPr>
          <w:lang w:val="es-ES"/>
        </w:rPr>
      </w:pPr>
      <w:r>
        <w:rPr>
          <w:lang w:val="es-ES"/>
        </w:rPr>
        <w:t xml:space="preserve">LUMA precisó que el Programa fue estructurado bajo principios de objetividad técnica, equidad regional, seguridad pública y cumplimiento con los requisitos de FEMA. Las evaluaciones técnicas iniciales se integran a la base de datos geoespacial (GIS) de </w:t>
      </w:r>
      <w:r>
        <w:rPr>
          <w:lang w:val="es-ES"/>
        </w:rPr>
        <w:lastRenderedPageBreak/>
        <w:t>LUMA y sirven de base objetiva para la estructuración de los proyectos. Como resultado, se identificaron 18 municipios con un volumen significativo de luminarias (sobre 6,000), lo cual requirió subdividirlos en varios proyectos por municipio. De esta forma, el Programa quedó estructurado en 114 proyectos en lugar de uno por municipio.</w:t>
      </w:r>
    </w:p>
    <w:p w14:paraId="3CE7AD10" w14:textId="77777777" w:rsidR="000F78EE" w:rsidRDefault="008331C3">
      <w:pPr>
        <w:ind w:firstLine="720"/>
        <w:jc w:val="both"/>
        <w:rPr>
          <w:lang w:val="es-ES"/>
        </w:rPr>
      </w:pPr>
      <w:r>
        <w:rPr>
          <w:lang w:val="es-ES"/>
        </w:rPr>
        <w:t>Los criterios técnicos para clasificar las zonas de trabajo incluyen: clasificación de las carreteras (primaria, secundaria o terciaria); densidad poblacional; presencia de áreas turísticas; existencia de facilidades críticas (hospitales, salas de emergencia, escuelas, universidades y áreas de alto flujo público); e incidencia criminal reportada. Estos criterios permitieron clasificar las zonas en categorías de alta, mediana y baja prioridad, organizando la secuencia de ejecución dentro de cada municipio con enfoque en seguridad vial, acceso a servicios esenciales y protección de la ciudadanía.</w:t>
      </w:r>
    </w:p>
    <w:p w14:paraId="1EE71701" w14:textId="77777777" w:rsidR="000F78EE" w:rsidRDefault="008331C3">
      <w:pPr>
        <w:ind w:firstLine="720"/>
        <w:jc w:val="both"/>
        <w:rPr>
          <w:lang w:val="es-ES"/>
        </w:rPr>
      </w:pPr>
      <w:r>
        <w:rPr>
          <w:lang w:val="es-ES"/>
        </w:rPr>
        <w:t>Los primeros doce (12) municipios atendidos al inicio del Programa fueron: Maunabo, Lajas, Aguada, Guánica, Luquillo, Villalba, Aibonito, Cataño, Manatí, San Germán, Dorado y Hatillo, seleccionados con base en el escaso o nulo trabajo previo de la AEE en el sistema de alumbrado público luego del huracán María, según consta en la base de datos heredada.</w:t>
      </w:r>
    </w:p>
    <w:p w14:paraId="226A5330" w14:textId="5452F330" w:rsidR="000F78EE" w:rsidRDefault="008331C3">
      <w:pPr>
        <w:ind w:firstLine="720"/>
        <w:jc w:val="both"/>
        <w:rPr>
          <w:lang w:val="es-ES"/>
        </w:rPr>
      </w:pPr>
      <w:r>
        <w:rPr>
          <w:b/>
          <w:bCs/>
          <w:lang w:val="es-ES"/>
        </w:rPr>
        <w:t>3. Estado del Programa en los municipios de Arecibo y Hatillo</w:t>
      </w:r>
      <w:r w:rsidR="000E27F2">
        <w:rPr>
          <w:b/>
          <w:bCs/>
          <w:lang w:val="es-ES"/>
        </w:rPr>
        <w:t xml:space="preserve">: </w:t>
      </w:r>
      <w:r>
        <w:rPr>
          <w:lang w:val="es-ES"/>
        </w:rPr>
        <w:t>Conforme a la información provista por LUMA al 23 de febrero de 2026, el estado de los trabajos en el Distrito Representativo Número 14 es el siguiente:</w:t>
      </w:r>
    </w:p>
    <w:p w14:paraId="64061966" w14:textId="77777777" w:rsidR="000F78EE" w:rsidRDefault="008331C3">
      <w:pPr>
        <w:pStyle w:val="ListParagraph"/>
        <w:numPr>
          <w:ilvl w:val="0"/>
          <w:numId w:val="2"/>
        </w:numPr>
        <w:spacing w:after="120"/>
        <w:jc w:val="both"/>
        <w:rPr>
          <w:lang w:val="es-ES"/>
        </w:rPr>
      </w:pPr>
      <w:r>
        <w:rPr>
          <w:b/>
          <w:bCs/>
          <w:lang w:val="es-ES"/>
        </w:rPr>
        <w:t xml:space="preserve">Municipio de Arecibo: </w:t>
      </w:r>
      <w:r>
        <w:rPr>
          <w:lang w:val="es-ES"/>
        </w:rPr>
        <w:t>Se identificaron 15,470 postes con luminarias pertenecientes a la AEE, de los cuales 12,346 requerían trabajos correspondientes a las Fases 1, 2 y 3. A la fecha del memorial, se habían completado 2,451 de los 3,399 trabajos identificados para la Fase 1, equivalente al 72.11%.</w:t>
      </w:r>
    </w:p>
    <w:p w14:paraId="59094A66" w14:textId="77777777" w:rsidR="000F78EE" w:rsidRDefault="008331C3">
      <w:pPr>
        <w:pStyle w:val="ListParagraph"/>
        <w:numPr>
          <w:ilvl w:val="0"/>
          <w:numId w:val="2"/>
        </w:numPr>
        <w:spacing w:after="120"/>
        <w:jc w:val="both"/>
        <w:rPr>
          <w:lang w:val="es-ES"/>
        </w:rPr>
      </w:pPr>
      <w:r>
        <w:rPr>
          <w:b/>
          <w:bCs/>
          <w:lang w:val="es-ES"/>
        </w:rPr>
        <w:t xml:space="preserve">Municipio de Hatillo: </w:t>
      </w:r>
      <w:r>
        <w:rPr>
          <w:lang w:val="es-ES"/>
        </w:rPr>
        <w:t>Se identificaron 6,371 postes con luminarias pertenecientes a la AEE, de los cuales 5,129 requerían trabajos. A la fecha del memorial, se habían completado 4,446 de los 5,129 trabajos identificados, equivalente al 87%.</w:t>
      </w:r>
    </w:p>
    <w:p w14:paraId="54781DEB" w14:textId="77777777" w:rsidR="000F78EE" w:rsidRDefault="000F78EE">
      <w:pPr>
        <w:spacing w:after="0"/>
        <w:rPr>
          <w:lang w:val="es-ES"/>
        </w:rPr>
      </w:pPr>
    </w:p>
    <w:p w14:paraId="1F20ABAC" w14:textId="380A345B" w:rsidR="000F78EE" w:rsidRDefault="008331C3">
      <w:pPr>
        <w:ind w:firstLine="720"/>
        <w:jc w:val="both"/>
        <w:rPr>
          <w:lang w:val="es-ES"/>
        </w:rPr>
      </w:pPr>
      <w:r>
        <w:rPr>
          <w:b/>
          <w:bCs/>
          <w:lang w:val="es-ES"/>
        </w:rPr>
        <w:t>4. Cambios en la priorización de proyectos por la AEE</w:t>
      </w:r>
      <w:r w:rsidR="000E27F2">
        <w:rPr>
          <w:b/>
          <w:bCs/>
          <w:lang w:val="es-ES"/>
        </w:rPr>
        <w:t xml:space="preserve">: </w:t>
      </w:r>
      <w:r>
        <w:rPr>
          <w:lang w:val="es-ES"/>
        </w:rPr>
        <w:t xml:space="preserve">LUMA destacó que en agosto de 2025 la AEE reclasificó múltiples proyectos de alumbrado público al Nivel 2, lo que tuvo el efecto de inactivarlos en el portal de FEMA. Esta reclasificación afectó a setenta y un (71) proyectos de alumbrado público con un costo total estimado de $1,006,793,844.28, entre los cuales figuran tres (3) proyectos del municipio de Arecibo. </w:t>
      </w:r>
      <w:r>
        <w:rPr>
          <w:lang w:val="es-ES"/>
        </w:rPr>
        <w:lastRenderedPageBreak/>
        <w:t>Como consecuencia, dichos proyectos quedaron fuera del proceso activo de formulación, revisión y obligación de fondos, no obstante varios de ellos ya habían sido evaluados por el Negociado de Energía de Puerto Rico (NEPR) y requerían ejecución prioritaria.</w:t>
      </w:r>
    </w:p>
    <w:p w14:paraId="43669D28" w14:textId="77777777" w:rsidR="000F78EE" w:rsidRDefault="008331C3">
      <w:pPr>
        <w:ind w:firstLine="720"/>
        <w:jc w:val="both"/>
        <w:rPr>
          <w:lang w:val="es-ES"/>
        </w:rPr>
      </w:pPr>
      <w:r>
        <w:rPr>
          <w:lang w:val="es-ES"/>
        </w:rPr>
        <w:t>LUMA señaló además que, mediante comunicaciones del director de la Región II de FEMA emitidas en julio de 2025, dicha agencia federal informó que únicamente revisará y aceptará proyectos sometidos formalmente por la AEE, dejando de considerar los planes de noventa (90) días preparados por LUMA y basándose únicamente en los proyectos ingresados por la AEE en el portal de subvenciones. Este cambio plantea cuestionamientos sobre la consistencia con la Orden del 26 de marzo de 2021 emitida en el caso NEPR-MI-2021-0002, la cual exige aprobación previa del NEPR antes de cualquier presentación a FEMA o COR3.</w:t>
      </w:r>
    </w:p>
    <w:p w14:paraId="52A7DFCC" w14:textId="77777777" w:rsidR="000F78EE" w:rsidRDefault="008331C3">
      <w:pPr>
        <w:ind w:firstLine="720"/>
        <w:jc w:val="both"/>
        <w:rPr>
          <w:lang w:val="es-ES"/>
        </w:rPr>
      </w:pPr>
      <w:r>
        <w:rPr>
          <w:lang w:val="es-ES"/>
        </w:rPr>
        <w:t>LUMA informó que, mediante Resolución y Orden del 11 de febrero de 2026 en el caso NEPR-MI-2021-0002, el NEPR concedió a la AEE diez (10) días para incluir en el Listado Consolidado de Proyectos Prioritarios al menos treinta y cinco (35) proyectos de alumbrado público que deberán ser nuevamente sometidos ante FEMA para su reactivación. Uno de estos proyectos pertenece al municipio de Arecibo. La AEE solicitó reconsideración el 20 de febrero de 2026, la cual fue denegada por el NEPR mediante Resolución y Orden del 27 de febrero de 2026, otorgándole hasta el 3 de marzo de 2026 para cumplir con las directrices establecidas. No obstante, el 3 de marzo de 2026, la AEE sometió una moción ante el NEPR solicitando una reunión técnica informal para discutir las Resoluciones y Órdenes correspondientes a los días 5, 11 y 27 de febrero de 2026.</w:t>
      </w:r>
    </w:p>
    <w:p w14:paraId="0D416DE7" w14:textId="5B0A6245" w:rsidR="000F78EE" w:rsidRDefault="008331C3">
      <w:pPr>
        <w:ind w:firstLine="720"/>
        <w:jc w:val="both"/>
        <w:rPr>
          <w:lang w:val="es-ES"/>
        </w:rPr>
      </w:pPr>
      <w:r>
        <w:rPr>
          <w:b/>
          <w:bCs/>
          <w:lang w:val="es-ES"/>
        </w:rPr>
        <w:t>5. Conclusión del memorial</w:t>
      </w:r>
      <w:r w:rsidR="000E27F2">
        <w:rPr>
          <w:b/>
          <w:bCs/>
          <w:lang w:val="es-ES"/>
        </w:rPr>
        <w:t>:</w:t>
      </w:r>
      <w:r>
        <w:rPr>
          <w:lang w:val="es-ES"/>
        </w:rPr>
        <w:t xml:space="preserve"> LUMA reiteró su compromiso de continuar cumpliendo con sus obligaciones contractuales y regulatorias, conforme a las aprobaciones y fondos disponibles, para avanzar en la modernización y resiliencia del sistema de alumbrado público en beneficio de las comunidades del Distrito Representativo Número 14. Asimismo, expresó su disposición de colaboración con esta Honorable Comisión en aquellos asuntos comprendidos dentro de su ámbito de competencia.</w:t>
      </w:r>
    </w:p>
    <w:p w14:paraId="2221F3C3" w14:textId="77777777" w:rsidR="000F78EE" w:rsidRDefault="008331C3">
      <w:pPr>
        <w:spacing w:before="240" w:after="240"/>
        <w:jc w:val="center"/>
        <w:rPr>
          <w:lang w:val="es-ES"/>
        </w:rPr>
      </w:pPr>
      <w:r>
        <w:rPr>
          <w:b/>
          <w:bCs/>
          <w:u w:val="single"/>
          <w:lang w:val="es-ES"/>
        </w:rPr>
        <w:t>ANÁLISIS</w:t>
      </w:r>
    </w:p>
    <w:p w14:paraId="0B914633" w14:textId="77777777" w:rsidR="000F78EE" w:rsidRDefault="008331C3">
      <w:pPr>
        <w:ind w:firstLine="720"/>
        <w:jc w:val="both"/>
        <w:rPr>
          <w:lang w:val="es-ES"/>
        </w:rPr>
      </w:pPr>
      <w:r>
        <w:rPr>
          <w:lang w:val="es-ES"/>
        </w:rPr>
        <w:t>Del análisis del memorial explicativo y la documentación sometida, esta Comisión desprende lo siguiente:</w:t>
      </w:r>
    </w:p>
    <w:p w14:paraId="5F3EDB82" w14:textId="77777777" w:rsidR="000F78EE" w:rsidRDefault="008331C3">
      <w:pPr>
        <w:pStyle w:val="ListParagraph"/>
        <w:numPr>
          <w:ilvl w:val="0"/>
          <w:numId w:val="2"/>
        </w:numPr>
        <w:spacing w:after="120"/>
        <w:jc w:val="both"/>
        <w:rPr>
          <w:lang w:val="es-ES"/>
        </w:rPr>
      </w:pPr>
      <w:r>
        <w:rPr>
          <w:lang w:val="es-ES"/>
        </w:rPr>
        <w:t xml:space="preserve">El Programa de Alumbrado Público Comunitario presenta avances dispares entre los municipios del Distrito Representativo Número 14. Mientras Hatillo refleja un ochenta y siete por ciento (87%) de </w:t>
      </w:r>
      <w:r>
        <w:rPr>
          <w:lang w:val="es-ES"/>
        </w:rPr>
        <w:lastRenderedPageBreak/>
        <w:t>cumplimiento en los trabajos identificados, el municipio de Arecibo apenas alcanza un setenta y dos punto once por ciento (72.11%) de cumplimiento en la Fase 1, sin haber iniciado las Fases 2 y 3 del Programa. Este desfase amerita atención prioritaria, dada la mayor extensión territorial y población de Arecibo (15,470 postes con luminarias frente a 6,371 en Hatillo).</w:t>
      </w:r>
    </w:p>
    <w:p w14:paraId="0977E0EC" w14:textId="77777777" w:rsidR="000F78EE" w:rsidRDefault="008331C3">
      <w:pPr>
        <w:pStyle w:val="ListParagraph"/>
        <w:numPr>
          <w:ilvl w:val="0"/>
          <w:numId w:val="2"/>
        </w:numPr>
        <w:spacing w:after="120"/>
        <w:jc w:val="both"/>
        <w:rPr>
          <w:lang w:val="es-ES"/>
        </w:rPr>
      </w:pPr>
      <w:r>
        <w:rPr>
          <w:lang w:val="es-ES"/>
        </w:rPr>
        <w:t>La división contractual entre LUMA, la AEE y otras entidades gubernamentales (ACT-DTOP, AAA y municipios) genera una fragmentación de responsabilidades que dificulta una visión integral del sistema de alumbrado público. La ciudadanía no siempre puede identificar con precisión qué entidad es responsable de una luminaria específica, lo que afecta los procesos de querella, atención y reparación.</w:t>
      </w:r>
    </w:p>
    <w:p w14:paraId="56FC7747" w14:textId="77777777" w:rsidR="000F78EE" w:rsidRDefault="008331C3">
      <w:pPr>
        <w:pStyle w:val="ListParagraph"/>
        <w:numPr>
          <w:ilvl w:val="0"/>
          <w:numId w:val="2"/>
        </w:numPr>
        <w:spacing w:after="120"/>
        <w:jc w:val="both"/>
        <w:rPr>
          <w:lang w:val="es-ES"/>
        </w:rPr>
      </w:pPr>
      <w:r>
        <w:rPr>
          <w:lang w:val="es-ES"/>
        </w:rPr>
        <w:t>La reclasificación al Nivel 2 de setenta y un (71) proyectos de alumbrado público por parte de la AEE en agosto de 2025, que representan en conjunto un costo total estimado de $1,006,793,844.28 —incluyendo tres (3) proyectos del municipio de Arecibo— constituye un retroceso significativo en la modernización del sistema, al congelar la formulación, revisión y obligación de fondos federales para proyectos prioritarios.</w:t>
      </w:r>
    </w:p>
    <w:p w14:paraId="2E78CBD1" w14:textId="77777777" w:rsidR="000F78EE" w:rsidRDefault="008331C3">
      <w:pPr>
        <w:pStyle w:val="ListParagraph"/>
        <w:numPr>
          <w:ilvl w:val="0"/>
          <w:numId w:val="2"/>
        </w:numPr>
        <w:spacing w:after="120"/>
        <w:jc w:val="both"/>
        <w:rPr>
          <w:lang w:val="es-ES"/>
        </w:rPr>
      </w:pPr>
      <w:r>
        <w:rPr>
          <w:lang w:val="es-ES"/>
        </w:rPr>
        <w:t>El cambio de proceso anunciado por FEMA en julio de 2025, mediante el cual únicamente acepta proyectos formalmente sometidos por la AEE, introduce una capa adicional de revisión que puede retrasar la obligación de fondos, generar duplicidad de trámites y aumentar el riesgo de errores administrativos. Esta nueva dinámica también plantea cuestionamientos sobre la consistencia con la Orden del NEPR del 26 de marzo de 2021 en el caso NEPR-MI-2021-0002.</w:t>
      </w:r>
    </w:p>
    <w:p w14:paraId="6B2FCF6A" w14:textId="77777777" w:rsidR="000F78EE" w:rsidRDefault="008331C3">
      <w:pPr>
        <w:pStyle w:val="ListParagraph"/>
        <w:numPr>
          <w:ilvl w:val="0"/>
          <w:numId w:val="2"/>
        </w:numPr>
        <w:spacing w:after="120"/>
        <w:jc w:val="both"/>
        <w:rPr>
          <w:lang w:val="es-ES"/>
        </w:rPr>
      </w:pPr>
      <w:r>
        <w:rPr>
          <w:lang w:val="es-ES"/>
        </w:rPr>
        <w:t>La intervención del NEPR mediante sus Resoluciones y Órdenes del 5, 11 y 27 de febrero de 2026 ha sido determinante para procurar la reactivación de al menos treinta y cinco (35) proyectos de alumbrado público. No obstante, las gestiones procesales de la AEE —incluyendo solicitudes de reconsideración y de reuniones técnicas informales— han prolongado el proceso de cumplimiento, en perjuicio de la pronta ejecución de obras.</w:t>
      </w:r>
    </w:p>
    <w:p w14:paraId="24350215" w14:textId="77777777" w:rsidR="000F78EE" w:rsidRDefault="008331C3">
      <w:pPr>
        <w:spacing w:before="240" w:after="240"/>
        <w:jc w:val="center"/>
        <w:rPr>
          <w:lang w:val="es-ES"/>
        </w:rPr>
      </w:pPr>
      <w:r>
        <w:rPr>
          <w:b/>
          <w:bCs/>
          <w:u w:val="single"/>
          <w:lang w:val="es-ES"/>
        </w:rPr>
        <w:t>CONCLUSIÓN Y RECOMENDACIONES</w:t>
      </w:r>
    </w:p>
    <w:p w14:paraId="209D9AC0" w14:textId="77777777" w:rsidR="000F78EE" w:rsidRDefault="008331C3">
      <w:pPr>
        <w:ind w:firstLine="720"/>
        <w:jc w:val="both"/>
        <w:rPr>
          <w:lang w:val="es-ES"/>
        </w:rPr>
      </w:pPr>
      <w:r>
        <w:rPr>
          <w:lang w:val="es-ES"/>
        </w:rPr>
        <w:t xml:space="preserve">Esta Comisión concluye que, si bien LUMA Energy ha demostrado avances significativos en la modernización del sistema de alumbrado público a nivel isla —al superar la modernización de más de ciento ochenta y dos mil (182,000) luminarias—, el ritmo de ejecución en el Distrito Representativo Número 14, particularmente en el </w:t>
      </w:r>
      <w:r>
        <w:rPr>
          <w:lang w:val="es-ES"/>
        </w:rPr>
        <w:lastRenderedPageBreak/>
        <w:t>municipio de Arecibo, sigue siendo insuficiente ante las necesidades de seguridad pública y calidad de vida de los residentes. La fragmentación de responsabilidades entre LUMA, la AEE, FEMA, el NEPR y demás agencias concernidas, sumada a las reclasificaciones unilaterales de la AEE y al cambio de proceso de FEMA, ha generado dilaciones significativas en proyectos críticos de alumbrado público.</w:t>
      </w:r>
    </w:p>
    <w:p w14:paraId="5946774A" w14:textId="77777777" w:rsidR="000F78EE" w:rsidRDefault="008331C3">
      <w:pPr>
        <w:ind w:firstLine="720"/>
        <w:jc w:val="both"/>
        <w:rPr>
          <w:lang w:val="es-ES"/>
        </w:rPr>
      </w:pPr>
      <w:r>
        <w:rPr>
          <w:lang w:val="es-ES"/>
        </w:rPr>
        <w:t>Por todo lo anterior, la Comisión de la Región Norte recomienda:</w:t>
      </w:r>
    </w:p>
    <w:p w14:paraId="7F5B2CEB" w14:textId="77777777" w:rsidR="000F78EE" w:rsidRDefault="008331C3">
      <w:pPr>
        <w:pStyle w:val="ListParagraph"/>
        <w:numPr>
          <w:ilvl w:val="0"/>
          <w:numId w:val="2"/>
        </w:numPr>
        <w:spacing w:after="120"/>
        <w:jc w:val="both"/>
        <w:rPr>
          <w:lang w:val="es-ES"/>
        </w:rPr>
      </w:pPr>
      <w:r>
        <w:rPr>
          <w:lang w:val="es-ES"/>
        </w:rPr>
        <w:t>Requerir a la Autoridad de Energía Eléctrica un informe detallado sobre las razones que motivaron la reclasificación al Nivel 2 de los setenta y un (71) proyectos de alumbrado público en agosto de 2025, con énfasis en los tres (3) proyectos del municipio de Arecibo, y un cronograma vinculante para su reactivación y sometimiento ante FEMA.</w:t>
      </w:r>
    </w:p>
    <w:p w14:paraId="67D727CF" w14:textId="77777777" w:rsidR="000F78EE" w:rsidRDefault="008331C3">
      <w:pPr>
        <w:pStyle w:val="ListParagraph"/>
        <w:numPr>
          <w:ilvl w:val="0"/>
          <w:numId w:val="2"/>
        </w:numPr>
        <w:spacing w:after="120"/>
        <w:jc w:val="both"/>
        <w:rPr>
          <w:lang w:val="es-ES"/>
        </w:rPr>
      </w:pPr>
      <w:r>
        <w:rPr>
          <w:lang w:val="es-ES"/>
        </w:rPr>
        <w:t>Instar a la AEE a cumplir, sin más dilaciones, con las Resoluciones y Órdenes del Negociado de Energía de Puerto Rico del 5, 11 y 27 de febrero de 2026 emitidas en el caso NEPR-MI-2021-0002, en cuanto a la inclusión y reactivación de al menos treinta y cinco (35) proyectos de alumbrado público en el Listado Consolidado de Proyectos Prioritarios.</w:t>
      </w:r>
    </w:p>
    <w:p w14:paraId="441F1461" w14:textId="77777777" w:rsidR="000F78EE" w:rsidRDefault="008331C3">
      <w:pPr>
        <w:pStyle w:val="ListParagraph"/>
        <w:numPr>
          <w:ilvl w:val="0"/>
          <w:numId w:val="2"/>
        </w:numPr>
        <w:spacing w:after="120"/>
        <w:jc w:val="both"/>
        <w:rPr>
          <w:lang w:val="es-ES"/>
        </w:rPr>
      </w:pPr>
      <w:r>
        <w:rPr>
          <w:lang w:val="es-ES"/>
        </w:rPr>
        <w:t>Solicitar a LUMA Energy que continúe ejecutando, sin interrupciones, las Fases 1, 2 y 3 del Programa de Alumbrado Público Comunitario en el municipio de Arecibo y complete la fase pendiente en el municipio de Hatillo, presentando informes trimestrales de progreso a esta Comisión.</w:t>
      </w:r>
    </w:p>
    <w:p w14:paraId="775DA174" w14:textId="77777777" w:rsidR="000F78EE" w:rsidRDefault="008331C3">
      <w:pPr>
        <w:pStyle w:val="ListParagraph"/>
        <w:numPr>
          <w:ilvl w:val="0"/>
          <w:numId w:val="2"/>
        </w:numPr>
        <w:spacing w:after="120"/>
        <w:jc w:val="both"/>
        <w:rPr>
          <w:lang w:val="es-ES"/>
        </w:rPr>
      </w:pPr>
      <w:r>
        <w:rPr>
          <w:lang w:val="es-ES"/>
        </w:rPr>
        <w:t>Exhortar al Negociado de Energía de Puerto Rico a mantener una supervisión rigurosa del cumplimiento de la AEE con sus Resoluciones y Órdenes, y a fortalecer los mecanismos de fiscalización del Programa de Alumbrado Público Comunitario.</w:t>
      </w:r>
    </w:p>
    <w:p w14:paraId="5E07E5A3" w14:textId="77777777" w:rsidR="000F78EE" w:rsidRDefault="008331C3">
      <w:pPr>
        <w:pStyle w:val="ListParagraph"/>
        <w:numPr>
          <w:ilvl w:val="0"/>
          <w:numId w:val="2"/>
        </w:numPr>
        <w:spacing w:after="120"/>
        <w:jc w:val="both"/>
        <w:rPr>
          <w:lang w:val="es-ES"/>
        </w:rPr>
      </w:pPr>
      <w:r>
        <w:rPr>
          <w:lang w:val="es-ES"/>
        </w:rPr>
        <w:t>Promover una mesa de trabajo interagencial con representación de LUMA Energy, la AEE, el NEPR, FEMA, COR3, los municipios de Arecibo y Hatillo, y la ACT-DTOP, a los fines de coordinar de manera integral la modernización del sistema de alumbrado público en el Distrito Representativo Número 14, eliminando duplicidades de trámites y evitando dilaciones administrativas.</w:t>
      </w:r>
    </w:p>
    <w:p w14:paraId="700179D9" w14:textId="77777777" w:rsidR="000F78EE" w:rsidRDefault="008331C3">
      <w:pPr>
        <w:pStyle w:val="ListParagraph"/>
        <w:numPr>
          <w:ilvl w:val="0"/>
          <w:numId w:val="2"/>
        </w:numPr>
        <w:spacing w:after="120"/>
        <w:jc w:val="both"/>
        <w:rPr>
          <w:lang w:val="es-ES"/>
        </w:rPr>
      </w:pPr>
      <w:r>
        <w:rPr>
          <w:lang w:val="es-ES"/>
        </w:rPr>
        <w:t>Reconocer la disposición de colaboración expresada por LUMA Energy y reiterar a dicha entidad la responsabilidad continua de informar a esta Comisión sobre todo cambio sustancial en la ejecución del Programa, así como sobre cualquier obstáculo administrativo, regulatorio o financiero que afecte la atención prioritaria del Distrito 14.</w:t>
      </w:r>
    </w:p>
    <w:p w14:paraId="03AC7FA8" w14:textId="77777777" w:rsidR="000F78EE" w:rsidRDefault="008331C3">
      <w:pPr>
        <w:ind w:firstLine="720"/>
        <w:jc w:val="both"/>
        <w:rPr>
          <w:lang w:val="es-ES"/>
        </w:rPr>
      </w:pPr>
      <w:r>
        <w:rPr>
          <w:lang w:val="es-ES"/>
        </w:rPr>
        <w:lastRenderedPageBreak/>
        <w:t>Esta Comisión reconoce las gestiones realizadas por LUMA Energy y la voluntad de colaboración expresada en su memorial. No obstante, resulta imperativo que las agencias gubernamentales concernidas actúen con agilidad y compromiso institucional, a los fines de garantizar la pronta modernización del alumbrado público en los municipios de Arecibo y Hatillo, en beneficio directo de la seguridad ciudadana, la prevención del crimen y la calidad de vida de los residentes del Distrito Representativo Número 14.</w:t>
      </w:r>
    </w:p>
    <w:p w14:paraId="169E5B4F" w14:textId="54219BA6" w:rsidR="000E27F2" w:rsidRDefault="008331C3" w:rsidP="000E27F2">
      <w:pPr>
        <w:ind w:firstLine="720"/>
        <w:jc w:val="both"/>
        <w:rPr>
          <w:lang w:val="es-ES"/>
        </w:rPr>
      </w:pPr>
      <w:r>
        <w:rPr>
          <w:lang w:val="es-ES"/>
        </w:rPr>
        <w:t>En virtud de lo anterior, la Comisión de la Región Norte de la Cámara de Representantes, previo estudio y consideración, somete a este Alto Cuerpo el presente Informe Final sobre la R. de la C. 249</w:t>
      </w:r>
      <w:r w:rsidR="000E27F2">
        <w:rPr>
          <w:lang w:val="es-ES"/>
        </w:rPr>
        <w:t xml:space="preserve"> </w:t>
      </w:r>
      <w:r>
        <w:rPr>
          <w:lang w:val="es-ES"/>
        </w:rPr>
        <w:t>con los hallazgos, conclusiones y recomendaciones aquí consignadas.</w:t>
      </w:r>
    </w:p>
    <w:p w14:paraId="233F3A9D" w14:textId="578254B2" w:rsidR="000E27F2" w:rsidRDefault="000E27F2" w:rsidP="000E27F2">
      <w:pPr>
        <w:jc w:val="both"/>
        <w:rPr>
          <w:lang w:val="es-ES"/>
        </w:rPr>
      </w:pPr>
      <w:r>
        <w:rPr>
          <w:lang w:val="es-ES"/>
        </w:rPr>
        <w:t>Respetuosamente sometido,</w:t>
      </w:r>
    </w:p>
    <w:p w14:paraId="4802504F" w14:textId="77777777" w:rsidR="003C5FE1" w:rsidRPr="00F5095B" w:rsidRDefault="003C5FE1">
      <w:pPr>
        <w:spacing w:after="0"/>
        <w:rPr>
          <w:lang w:val="es-ES"/>
        </w:rPr>
      </w:pPr>
    </w:p>
    <w:p w14:paraId="1BCFC290" w14:textId="77777777" w:rsidR="003C5FE1" w:rsidRPr="00F5095B" w:rsidRDefault="003C5FE1">
      <w:pPr>
        <w:spacing w:after="0"/>
        <w:rPr>
          <w:lang w:val="es-ES"/>
        </w:rPr>
      </w:pPr>
    </w:p>
    <w:p w14:paraId="5F5FD3B3" w14:textId="77777777" w:rsidR="000E27F2" w:rsidRDefault="000E27F2" w:rsidP="000E27F2">
      <w:pPr>
        <w:spacing w:after="0"/>
        <w:rPr>
          <w:lang w:val="es-ES"/>
        </w:rPr>
      </w:pPr>
    </w:p>
    <w:p w14:paraId="077BC647" w14:textId="09CB82A6" w:rsidR="003C5FE1" w:rsidRPr="00F5095B" w:rsidRDefault="00F5095B" w:rsidP="000E27F2">
      <w:pPr>
        <w:spacing w:after="0"/>
        <w:rPr>
          <w:lang w:val="es-ES"/>
        </w:rPr>
      </w:pPr>
      <w:r>
        <w:rPr>
          <w:b/>
          <w:bCs/>
          <w:lang w:val="es-ES"/>
        </w:rPr>
        <w:t>JERRY Z. NIEVES ROSARIO</w:t>
      </w:r>
    </w:p>
    <w:p w14:paraId="327243C5" w14:textId="77777777" w:rsidR="003C5FE1" w:rsidRPr="00F5095B" w:rsidRDefault="00F5095B" w:rsidP="000E27F2">
      <w:pPr>
        <w:spacing w:after="0"/>
        <w:rPr>
          <w:lang w:val="es-ES"/>
        </w:rPr>
      </w:pPr>
      <w:r>
        <w:rPr>
          <w:lang w:val="es-ES"/>
        </w:rPr>
        <w:t>Presidente</w:t>
      </w:r>
    </w:p>
    <w:p w14:paraId="649EBC53" w14:textId="77777777" w:rsidR="003C5FE1" w:rsidRPr="00F5095B" w:rsidRDefault="00F5095B" w:rsidP="000E27F2">
      <w:pPr>
        <w:spacing w:after="0"/>
        <w:rPr>
          <w:lang w:val="es-ES"/>
        </w:rPr>
      </w:pPr>
      <w:r>
        <w:rPr>
          <w:lang w:val="es-ES"/>
        </w:rPr>
        <w:t>Comisión de la Región Norte</w:t>
      </w:r>
    </w:p>
    <w:sectPr w:rsidR="003C5FE1" w:rsidRPr="00F5095B" w:rsidSect="00F5095B">
      <w:headerReference w:type="even" r:id="rId7"/>
      <w:headerReference w:type="default" r:id="rId8"/>
      <w:pgSz w:w="12240" w:h="15840"/>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6E0648" w14:textId="77777777" w:rsidR="00A84C97" w:rsidRDefault="00A84C97" w:rsidP="00F5095B">
      <w:pPr>
        <w:spacing w:after="0" w:line="240" w:lineRule="auto"/>
      </w:pPr>
      <w:r>
        <w:separator/>
      </w:r>
    </w:p>
  </w:endnote>
  <w:endnote w:type="continuationSeparator" w:id="0">
    <w:p w14:paraId="42A4BC2E" w14:textId="77777777" w:rsidR="00A84C97" w:rsidRDefault="00A84C97" w:rsidP="00F50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25C65A" w14:textId="77777777" w:rsidR="00A84C97" w:rsidRDefault="00A84C97" w:rsidP="00F5095B">
      <w:pPr>
        <w:spacing w:after="0" w:line="240" w:lineRule="auto"/>
      </w:pPr>
      <w:r>
        <w:separator/>
      </w:r>
    </w:p>
  </w:footnote>
  <w:footnote w:type="continuationSeparator" w:id="0">
    <w:p w14:paraId="226AFCB9" w14:textId="77777777" w:rsidR="00A84C97" w:rsidRDefault="00A84C97" w:rsidP="00F509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33459745"/>
      <w:docPartObj>
        <w:docPartGallery w:val="Page Numbers (Top of Page)"/>
        <w:docPartUnique/>
      </w:docPartObj>
    </w:sdtPr>
    <w:sdtEndPr>
      <w:rPr>
        <w:rStyle w:val="PageNumber"/>
      </w:rPr>
    </w:sdtEndPr>
    <w:sdtContent>
      <w:p w14:paraId="6C88688F" w14:textId="129A1815" w:rsidR="00F5095B" w:rsidRDefault="00F5095B" w:rsidP="0089143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sdt>
    <w:sdtPr>
      <w:rPr>
        <w:rStyle w:val="PageNumber"/>
      </w:rPr>
      <w:id w:val="-1265840407"/>
      <w:docPartObj>
        <w:docPartGallery w:val="Page Numbers (Top of Page)"/>
        <w:docPartUnique/>
      </w:docPartObj>
    </w:sdtPr>
    <w:sdtEndPr>
      <w:rPr>
        <w:rStyle w:val="PageNumber"/>
      </w:rPr>
    </w:sdtEndPr>
    <w:sdtContent>
      <w:p w14:paraId="20CCEF38" w14:textId="765FF4FF" w:rsidR="00F5095B" w:rsidRDefault="00F5095B" w:rsidP="00F5095B">
        <w:pPr>
          <w:pStyle w:val="Head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624E75F" w14:textId="77777777" w:rsidR="00F5095B" w:rsidRDefault="00F5095B" w:rsidP="00F5095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i/>
        <w:iCs/>
        <w:sz w:val="22"/>
        <w:szCs w:val="22"/>
        <w:lang w:val="es-PR"/>
      </w:rPr>
      <w:id w:val="-1936967565"/>
      <w:docPartObj>
        <w:docPartGallery w:val="Page Numbers (Top of Page)"/>
        <w:docPartUnique/>
      </w:docPartObj>
    </w:sdtPr>
    <w:sdtEndPr/>
    <w:sdtContent>
      <w:p w14:paraId="3B59E247" w14:textId="458EB40B" w:rsidR="000E27F2" w:rsidRPr="000E27F2" w:rsidRDefault="000E27F2" w:rsidP="000E27F2">
        <w:pPr>
          <w:pStyle w:val="Header"/>
          <w:framePr w:wrap="none" w:vAnchor="text" w:hAnchor="margin" w:xAlign="right" w:y="1"/>
          <w:ind w:right="360"/>
          <w:rPr>
            <w:i/>
            <w:iCs/>
            <w:sz w:val="22"/>
            <w:szCs w:val="22"/>
            <w:lang w:val="es-PR"/>
          </w:rPr>
        </w:pPr>
        <w:r w:rsidRPr="000E27F2">
          <w:rPr>
            <w:i/>
            <w:iCs/>
            <w:sz w:val="22"/>
            <w:szCs w:val="22"/>
            <w:lang w:val="es-PR"/>
          </w:rPr>
          <w:fldChar w:fldCharType="begin"/>
        </w:r>
        <w:r w:rsidRPr="000E27F2">
          <w:rPr>
            <w:i/>
            <w:iCs/>
            <w:sz w:val="22"/>
            <w:szCs w:val="22"/>
            <w:lang w:val="es-PR"/>
          </w:rPr>
          <w:instrText xml:space="preserve"> PAGE   \* MERGEFORMAT </w:instrText>
        </w:r>
        <w:r w:rsidRPr="000E27F2">
          <w:rPr>
            <w:i/>
            <w:iCs/>
            <w:sz w:val="22"/>
            <w:szCs w:val="22"/>
            <w:lang w:val="es-PR"/>
          </w:rPr>
          <w:fldChar w:fldCharType="separate"/>
        </w:r>
        <w:r w:rsidRPr="000E27F2">
          <w:rPr>
            <w:i/>
            <w:iCs/>
            <w:sz w:val="22"/>
            <w:szCs w:val="22"/>
            <w:lang w:val="es-PR"/>
          </w:rPr>
          <w:t>2</w:t>
        </w:r>
        <w:r w:rsidRPr="000E27F2">
          <w:rPr>
            <w:sz w:val="22"/>
            <w:szCs w:val="22"/>
            <w:lang w:val="es-ES"/>
          </w:rPr>
          <w:fldChar w:fldCharType="end"/>
        </w:r>
        <w:r w:rsidRPr="000E27F2">
          <w:rPr>
            <w:b/>
            <w:bCs/>
            <w:i/>
            <w:iCs/>
            <w:sz w:val="22"/>
            <w:szCs w:val="22"/>
            <w:lang w:val="es-PR"/>
          </w:rPr>
          <w:t xml:space="preserve"> |</w:t>
        </w:r>
        <w:r>
          <w:rPr>
            <w:b/>
            <w:bCs/>
            <w:i/>
            <w:iCs/>
            <w:sz w:val="22"/>
            <w:szCs w:val="22"/>
            <w:lang w:val="es-PR"/>
          </w:rPr>
          <w:t xml:space="preserve"> </w:t>
        </w:r>
        <w:r w:rsidRPr="000E27F2">
          <w:rPr>
            <w:i/>
            <w:iCs/>
            <w:sz w:val="22"/>
            <w:szCs w:val="22"/>
            <w:lang w:val="es-PR"/>
          </w:rPr>
          <w:t xml:space="preserve">Informe </w:t>
        </w:r>
        <w:r>
          <w:rPr>
            <w:i/>
            <w:iCs/>
            <w:sz w:val="22"/>
            <w:szCs w:val="22"/>
            <w:lang w:val="es-PR"/>
          </w:rPr>
          <w:t xml:space="preserve">Final </w:t>
        </w:r>
        <w:r w:rsidRPr="000E27F2">
          <w:rPr>
            <w:i/>
            <w:iCs/>
            <w:sz w:val="22"/>
            <w:szCs w:val="22"/>
            <w:lang w:val="es-PR"/>
          </w:rPr>
          <w:t>R. de la C.</w:t>
        </w:r>
        <w:r>
          <w:rPr>
            <w:i/>
            <w:iCs/>
            <w:sz w:val="22"/>
            <w:szCs w:val="22"/>
            <w:lang w:val="es-PR"/>
          </w:rPr>
          <w:t xml:space="preserve"> 249</w:t>
        </w:r>
      </w:p>
      <w:p w14:paraId="024A97F0" w14:textId="77777777" w:rsidR="000E27F2" w:rsidRPr="000E27F2" w:rsidRDefault="000E27F2" w:rsidP="000E27F2">
        <w:pPr>
          <w:pStyle w:val="Header"/>
          <w:framePr w:wrap="none" w:vAnchor="text" w:hAnchor="margin" w:xAlign="right" w:y="1"/>
          <w:ind w:right="360"/>
          <w:rPr>
            <w:i/>
            <w:iCs/>
            <w:sz w:val="22"/>
            <w:szCs w:val="22"/>
            <w:lang w:val="es-PR"/>
          </w:rPr>
        </w:pPr>
        <w:r w:rsidRPr="000E27F2">
          <w:rPr>
            <w:i/>
            <w:iCs/>
            <w:sz w:val="22"/>
            <w:szCs w:val="22"/>
            <w:lang w:val="es-PR"/>
          </w:rPr>
          <w:t xml:space="preserve">   Comisión de la Región Norte</w:t>
        </w:r>
      </w:p>
      <w:p w14:paraId="02B37303" w14:textId="77777777" w:rsidR="000E27F2" w:rsidRPr="000E27F2" w:rsidRDefault="00A84C97" w:rsidP="000E27F2">
        <w:pPr>
          <w:pStyle w:val="Header"/>
          <w:framePr w:wrap="none" w:vAnchor="text" w:hAnchor="margin" w:xAlign="right" w:y="1"/>
          <w:ind w:right="360"/>
          <w:rPr>
            <w:b/>
            <w:bCs/>
            <w:i/>
            <w:iCs/>
            <w:sz w:val="22"/>
            <w:szCs w:val="22"/>
            <w:lang w:val="es-PR"/>
          </w:rPr>
        </w:pPr>
      </w:p>
    </w:sdtContent>
  </w:sdt>
  <w:p w14:paraId="394FDCA3" w14:textId="77777777" w:rsidR="000E27F2" w:rsidRPr="000E27F2" w:rsidRDefault="000E27F2" w:rsidP="000E27F2">
    <w:pPr>
      <w:pStyle w:val="Header"/>
      <w:framePr w:wrap="none" w:vAnchor="text" w:hAnchor="margin" w:xAlign="right" w:y="1"/>
      <w:ind w:right="360"/>
      <w:rPr>
        <w:sz w:val="22"/>
        <w:szCs w:val="22"/>
        <w:lang w:val="es-PR"/>
      </w:rPr>
    </w:pPr>
  </w:p>
  <w:p w14:paraId="74A85EBF" w14:textId="77777777" w:rsidR="00F5095B" w:rsidRPr="002A3282" w:rsidRDefault="00F5095B" w:rsidP="00F5095B">
    <w:pPr>
      <w:pStyle w:val="Header"/>
      <w:ind w:right="360"/>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C6443"/>
    <w:multiLevelType w:val="hybridMultilevel"/>
    <w:tmpl w:val="4BD00180"/>
    <w:lvl w:ilvl="0" w:tplc="CA90753C">
      <w:start w:val="1"/>
      <w:numFmt w:val="decimal"/>
      <w:lvlText w:val="%1."/>
      <w:lvlJc w:val="left"/>
      <w:pPr>
        <w:ind w:left="1080" w:hanging="360"/>
      </w:pPr>
    </w:lvl>
    <w:lvl w:ilvl="1" w:tplc="0BD2E314">
      <w:numFmt w:val="decimal"/>
      <w:lvlText w:val=""/>
      <w:lvlJc w:val="left"/>
    </w:lvl>
    <w:lvl w:ilvl="2" w:tplc="1E0026FA">
      <w:numFmt w:val="decimal"/>
      <w:lvlText w:val=""/>
      <w:lvlJc w:val="left"/>
    </w:lvl>
    <w:lvl w:ilvl="3" w:tplc="C8E8F0DC">
      <w:numFmt w:val="decimal"/>
      <w:lvlText w:val=""/>
      <w:lvlJc w:val="left"/>
    </w:lvl>
    <w:lvl w:ilvl="4" w:tplc="C49AD8BE">
      <w:numFmt w:val="decimal"/>
      <w:lvlText w:val=""/>
      <w:lvlJc w:val="left"/>
    </w:lvl>
    <w:lvl w:ilvl="5" w:tplc="90EA02C6">
      <w:numFmt w:val="decimal"/>
      <w:lvlText w:val=""/>
      <w:lvlJc w:val="left"/>
    </w:lvl>
    <w:lvl w:ilvl="6" w:tplc="B7E678C8">
      <w:numFmt w:val="decimal"/>
      <w:lvlText w:val=""/>
      <w:lvlJc w:val="left"/>
    </w:lvl>
    <w:lvl w:ilvl="7" w:tplc="04E87DD8">
      <w:numFmt w:val="decimal"/>
      <w:lvlText w:val=""/>
      <w:lvlJc w:val="left"/>
    </w:lvl>
    <w:lvl w:ilvl="8" w:tplc="5B5658F6">
      <w:numFmt w:val="decimal"/>
      <w:lvlText w:val=""/>
      <w:lvlJc w:val="left"/>
    </w:lvl>
  </w:abstractNum>
  <w:abstractNum w:abstractNumId="1" w15:restartNumberingAfterBreak="0">
    <w:nsid w:val="0F810594"/>
    <w:multiLevelType w:val="hybridMultilevel"/>
    <w:tmpl w:val="55749F2E"/>
    <w:lvl w:ilvl="0" w:tplc="3800DCCA">
      <w:start w:val="1"/>
      <w:numFmt w:val="lowerLetter"/>
      <w:lvlText w:val="%1."/>
      <w:lvlJc w:val="left"/>
      <w:pPr>
        <w:ind w:left="1800" w:hanging="360"/>
      </w:pPr>
    </w:lvl>
    <w:lvl w:ilvl="1" w:tplc="B0927026">
      <w:numFmt w:val="decimal"/>
      <w:lvlText w:val=""/>
      <w:lvlJc w:val="left"/>
    </w:lvl>
    <w:lvl w:ilvl="2" w:tplc="FCC246F6">
      <w:numFmt w:val="decimal"/>
      <w:lvlText w:val=""/>
      <w:lvlJc w:val="left"/>
    </w:lvl>
    <w:lvl w:ilvl="3" w:tplc="D1567AE0">
      <w:numFmt w:val="decimal"/>
      <w:lvlText w:val=""/>
      <w:lvlJc w:val="left"/>
    </w:lvl>
    <w:lvl w:ilvl="4" w:tplc="4AAC1324">
      <w:numFmt w:val="decimal"/>
      <w:lvlText w:val=""/>
      <w:lvlJc w:val="left"/>
    </w:lvl>
    <w:lvl w:ilvl="5" w:tplc="88F0C0A6">
      <w:numFmt w:val="decimal"/>
      <w:lvlText w:val=""/>
      <w:lvlJc w:val="left"/>
    </w:lvl>
    <w:lvl w:ilvl="6" w:tplc="55180546">
      <w:numFmt w:val="decimal"/>
      <w:lvlText w:val=""/>
      <w:lvlJc w:val="left"/>
    </w:lvl>
    <w:lvl w:ilvl="7" w:tplc="BA44396C">
      <w:numFmt w:val="decimal"/>
      <w:lvlText w:val=""/>
      <w:lvlJc w:val="left"/>
    </w:lvl>
    <w:lvl w:ilvl="8" w:tplc="2E8C1A0A">
      <w:numFmt w:val="decimal"/>
      <w:lvlText w:val=""/>
      <w:lvlJc w:val="left"/>
    </w:lvl>
  </w:abstractNum>
  <w:abstractNum w:abstractNumId="2" w15:restartNumberingAfterBreak="0">
    <w:nsid w:val="151800A6"/>
    <w:multiLevelType w:val="hybridMultilevel"/>
    <w:tmpl w:val="FD8C94FA"/>
    <w:lvl w:ilvl="0" w:tplc="E20A49C4">
      <w:start w:val="1"/>
      <w:numFmt w:val="bullet"/>
      <w:lvlText w:val="•"/>
      <w:lvlJc w:val="left"/>
      <w:pPr>
        <w:ind w:left="1440" w:hanging="360"/>
      </w:pPr>
    </w:lvl>
    <w:lvl w:ilvl="1" w:tplc="4E962E18">
      <w:numFmt w:val="decimal"/>
      <w:lvlText w:val=""/>
      <w:lvlJc w:val="left"/>
    </w:lvl>
    <w:lvl w:ilvl="2" w:tplc="B3E4A50A">
      <w:numFmt w:val="decimal"/>
      <w:lvlText w:val=""/>
      <w:lvlJc w:val="left"/>
    </w:lvl>
    <w:lvl w:ilvl="3" w:tplc="FC5E5128">
      <w:numFmt w:val="decimal"/>
      <w:lvlText w:val=""/>
      <w:lvlJc w:val="left"/>
    </w:lvl>
    <w:lvl w:ilvl="4" w:tplc="EEFAA8BE">
      <w:numFmt w:val="decimal"/>
      <w:lvlText w:val=""/>
      <w:lvlJc w:val="left"/>
    </w:lvl>
    <w:lvl w:ilvl="5" w:tplc="F0908A04">
      <w:numFmt w:val="decimal"/>
      <w:lvlText w:val=""/>
      <w:lvlJc w:val="left"/>
    </w:lvl>
    <w:lvl w:ilvl="6" w:tplc="47145076">
      <w:numFmt w:val="decimal"/>
      <w:lvlText w:val=""/>
      <w:lvlJc w:val="left"/>
    </w:lvl>
    <w:lvl w:ilvl="7" w:tplc="0F14E1A0">
      <w:numFmt w:val="decimal"/>
      <w:lvlText w:val=""/>
      <w:lvlJc w:val="left"/>
    </w:lvl>
    <w:lvl w:ilvl="8" w:tplc="7730F434">
      <w:numFmt w:val="decimal"/>
      <w:lvlText w:val=""/>
      <w:lvlJc w:val="left"/>
    </w:lvl>
  </w:abstractNum>
  <w:abstractNum w:abstractNumId="3" w15:restartNumberingAfterBreak="0">
    <w:nsid w:val="18CF78C7"/>
    <w:multiLevelType w:val="hybridMultilevel"/>
    <w:tmpl w:val="84D688B6"/>
    <w:lvl w:ilvl="0" w:tplc="36723206">
      <w:start w:val="1"/>
      <w:numFmt w:val="decimal"/>
      <w:lvlText w:val="%1."/>
      <w:lvlJc w:val="left"/>
      <w:pPr>
        <w:ind w:left="1080" w:hanging="360"/>
      </w:pPr>
    </w:lvl>
    <w:lvl w:ilvl="1" w:tplc="80469AC4">
      <w:numFmt w:val="decimal"/>
      <w:lvlText w:val=""/>
      <w:lvlJc w:val="left"/>
    </w:lvl>
    <w:lvl w:ilvl="2" w:tplc="C8AE6B4A">
      <w:numFmt w:val="decimal"/>
      <w:lvlText w:val=""/>
      <w:lvlJc w:val="left"/>
    </w:lvl>
    <w:lvl w:ilvl="3" w:tplc="818685A8">
      <w:numFmt w:val="decimal"/>
      <w:lvlText w:val=""/>
      <w:lvlJc w:val="left"/>
    </w:lvl>
    <w:lvl w:ilvl="4" w:tplc="EA16D7AA">
      <w:numFmt w:val="decimal"/>
      <w:lvlText w:val=""/>
      <w:lvlJc w:val="left"/>
    </w:lvl>
    <w:lvl w:ilvl="5" w:tplc="0EB2019C">
      <w:numFmt w:val="decimal"/>
      <w:lvlText w:val=""/>
      <w:lvlJc w:val="left"/>
    </w:lvl>
    <w:lvl w:ilvl="6" w:tplc="FB325F7A">
      <w:numFmt w:val="decimal"/>
      <w:lvlText w:val=""/>
      <w:lvlJc w:val="left"/>
    </w:lvl>
    <w:lvl w:ilvl="7" w:tplc="3AD09B54">
      <w:numFmt w:val="decimal"/>
      <w:lvlText w:val=""/>
      <w:lvlJc w:val="left"/>
    </w:lvl>
    <w:lvl w:ilvl="8" w:tplc="59ACAEB0">
      <w:numFmt w:val="decimal"/>
      <w:lvlText w:val=""/>
      <w:lvlJc w:val="left"/>
    </w:lvl>
  </w:abstractNum>
  <w:abstractNum w:abstractNumId="4" w15:restartNumberingAfterBreak="0">
    <w:nsid w:val="3F8B723C"/>
    <w:multiLevelType w:val="hybridMultilevel"/>
    <w:tmpl w:val="6D80376C"/>
    <w:lvl w:ilvl="0" w:tplc="7E0C3044">
      <w:start w:val="1"/>
      <w:numFmt w:val="decimal"/>
      <w:lvlText w:val="%1."/>
      <w:lvlJc w:val="left"/>
      <w:pPr>
        <w:ind w:left="1080" w:hanging="360"/>
      </w:pPr>
    </w:lvl>
    <w:lvl w:ilvl="1" w:tplc="F8BE512E">
      <w:numFmt w:val="decimal"/>
      <w:lvlText w:val=""/>
      <w:lvlJc w:val="left"/>
    </w:lvl>
    <w:lvl w:ilvl="2" w:tplc="BA54CB0C">
      <w:numFmt w:val="decimal"/>
      <w:lvlText w:val=""/>
      <w:lvlJc w:val="left"/>
    </w:lvl>
    <w:lvl w:ilvl="3" w:tplc="2BF0DFBC">
      <w:numFmt w:val="decimal"/>
      <w:lvlText w:val=""/>
      <w:lvlJc w:val="left"/>
    </w:lvl>
    <w:lvl w:ilvl="4" w:tplc="F22E69F6">
      <w:numFmt w:val="decimal"/>
      <w:lvlText w:val=""/>
      <w:lvlJc w:val="left"/>
    </w:lvl>
    <w:lvl w:ilvl="5" w:tplc="7DACB996">
      <w:numFmt w:val="decimal"/>
      <w:lvlText w:val=""/>
      <w:lvlJc w:val="left"/>
    </w:lvl>
    <w:lvl w:ilvl="6" w:tplc="27509FF8">
      <w:numFmt w:val="decimal"/>
      <w:lvlText w:val=""/>
      <w:lvlJc w:val="left"/>
    </w:lvl>
    <w:lvl w:ilvl="7" w:tplc="61543266">
      <w:numFmt w:val="decimal"/>
      <w:lvlText w:val=""/>
      <w:lvlJc w:val="left"/>
    </w:lvl>
    <w:lvl w:ilvl="8" w:tplc="C45CA13E">
      <w:numFmt w:val="decimal"/>
      <w:lvlText w:val=""/>
      <w:lvlJc w:val="left"/>
    </w:lvl>
  </w:abstractNum>
  <w:abstractNum w:abstractNumId="5" w15:restartNumberingAfterBreak="0">
    <w:nsid w:val="532F72E2"/>
    <w:multiLevelType w:val="hybridMultilevel"/>
    <w:tmpl w:val="306645E0"/>
    <w:lvl w:ilvl="0" w:tplc="3062A91C">
      <w:start w:val="1"/>
      <w:numFmt w:val="bullet"/>
      <w:lvlText w:val="●"/>
      <w:lvlJc w:val="left"/>
      <w:pPr>
        <w:ind w:left="720" w:hanging="360"/>
      </w:pPr>
    </w:lvl>
    <w:lvl w:ilvl="1" w:tplc="3D72C9EE">
      <w:start w:val="1"/>
      <w:numFmt w:val="bullet"/>
      <w:lvlText w:val="○"/>
      <w:lvlJc w:val="left"/>
      <w:pPr>
        <w:ind w:left="1440" w:hanging="360"/>
      </w:pPr>
    </w:lvl>
    <w:lvl w:ilvl="2" w:tplc="43963C98">
      <w:start w:val="1"/>
      <w:numFmt w:val="bullet"/>
      <w:lvlText w:val="■"/>
      <w:lvlJc w:val="left"/>
      <w:pPr>
        <w:ind w:left="2160" w:hanging="360"/>
      </w:pPr>
    </w:lvl>
    <w:lvl w:ilvl="3" w:tplc="24C28EB8">
      <w:start w:val="1"/>
      <w:numFmt w:val="bullet"/>
      <w:lvlText w:val="●"/>
      <w:lvlJc w:val="left"/>
      <w:pPr>
        <w:ind w:left="2880" w:hanging="360"/>
      </w:pPr>
    </w:lvl>
    <w:lvl w:ilvl="4" w:tplc="C37E34EA">
      <w:start w:val="1"/>
      <w:numFmt w:val="bullet"/>
      <w:lvlText w:val="○"/>
      <w:lvlJc w:val="left"/>
      <w:pPr>
        <w:ind w:left="3600" w:hanging="360"/>
      </w:pPr>
    </w:lvl>
    <w:lvl w:ilvl="5" w:tplc="7FB0FF02">
      <w:start w:val="1"/>
      <w:numFmt w:val="bullet"/>
      <w:lvlText w:val="■"/>
      <w:lvlJc w:val="left"/>
      <w:pPr>
        <w:ind w:left="4320" w:hanging="360"/>
      </w:pPr>
    </w:lvl>
    <w:lvl w:ilvl="6" w:tplc="AF0849AA">
      <w:start w:val="1"/>
      <w:numFmt w:val="bullet"/>
      <w:lvlText w:val="●"/>
      <w:lvlJc w:val="left"/>
      <w:pPr>
        <w:ind w:left="5040" w:hanging="360"/>
      </w:pPr>
    </w:lvl>
    <w:lvl w:ilvl="7" w:tplc="864445C2">
      <w:start w:val="1"/>
      <w:numFmt w:val="bullet"/>
      <w:lvlText w:val="●"/>
      <w:lvlJc w:val="left"/>
      <w:pPr>
        <w:ind w:left="5760" w:hanging="360"/>
      </w:pPr>
    </w:lvl>
    <w:lvl w:ilvl="8" w:tplc="811EC2D8">
      <w:start w:val="1"/>
      <w:numFmt w:val="bullet"/>
      <w:lvlText w:val="●"/>
      <w:lvlJc w:val="left"/>
      <w:pPr>
        <w:ind w:left="6480" w:hanging="360"/>
      </w:pPr>
    </w:lvl>
  </w:abstractNum>
  <w:num w:numId="1" w16cid:durableId="1912276622">
    <w:abstractNumId w:val="5"/>
    <w:lvlOverride w:ilvl="0">
      <w:startOverride w:val="1"/>
    </w:lvlOverride>
  </w:num>
  <w:num w:numId="2" w16cid:durableId="189226550">
    <w:abstractNumId w:val="2"/>
    <w:lvlOverride w:ilvl="0">
      <w:startOverride w:val="1"/>
    </w:lvlOverride>
  </w:num>
  <w:num w:numId="3" w16cid:durableId="947345878">
    <w:abstractNumId w:val="3"/>
    <w:lvlOverride w:ilvl="0">
      <w:startOverride w:val="1"/>
    </w:lvlOverride>
  </w:num>
  <w:num w:numId="4" w16cid:durableId="1388411370">
    <w:abstractNumId w:val="1"/>
    <w:lvlOverride w:ilvl="0">
      <w:startOverride w:val="1"/>
    </w:lvlOverride>
  </w:num>
  <w:num w:numId="5" w16cid:durableId="1151946280">
    <w:abstractNumId w:val="0"/>
    <w:lvlOverride w:ilvl="0">
      <w:startOverride w:val="1"/>
    </w:lvlOverride>
  </w:num>
  <w:num w:numId="6" w16cid:durableId="804547829">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5FE1"/>
    <w:rsid w:val="0009030F"/>
    <w:rsid w:val="000E27F2"/>
    <w:rsid w:val="000F78EE"/>
    <w:rsid w:val="001D56A3"/>
    <w:rsid w:val="00254032"/>
    <w:rsid w:val="002A3282"/>
    <w:rsid w:val="003B07D2"/>
    <w:rsid w:val="003C5FE1"/>
    <w:rsid w:val="005022E6"/>
    <w:rsid w:val="005266DD"/>
    <w:rsid w:val="007C6575"/>
    <w:rsid w:val="008331C3"/>
    <w:rsid w:val="00A84C97"/>
    <w:rsid w:val="00B52EAA"/>
    <w:rsid w:val="00C14EA8"/>
    <w:rsid w:val="00C65938"/>
    <w:rsid w:val="00E3392C"/>
    <w:rsid w:val="00F5095B"/>
    <w:rsid w:val="00F87B59"/>
    <w:rsid w:val="00FD5A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ED87C1"/>
  <w15:docId w15:val="{B05E5479-CFA1-6447-9DDC-2202DC54B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Book Antiqua" w:hAnsi="Book Antiqua" w:cs="Book Antiqua"/>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paragraph" w:customStyle="1" w:styleId="Title2">
    <w:name w:val="Title2"/>
    <w:basedOn w:val="Normal"/>
    <w:next w:val="Normal"/>
    <w:rsid w:val="00F5095B"/>
    <w:pPr>
      <w:tabs>
        <w:tab w:val="left" w:pos="648"/>
        <w:tab w:val="right" w:pos="7776"/>
        <w:tab w:val="left" w:pos="7848"/>
      </w:tabs>
      <w:spacing w:after="0" w:line="240" w:lineRule="auto"/>
    </w:pPr>
    <w:rPr>
      <w:rFonts w:ascii="Times New Roman" w:eastAsia="Times New Roman" w:hAnsi="Times New Roman" w:cs="Times New Roman"/>
      <w:szCs w:val="20"/>
    </w:rPr>
  </w:style>
  <w:style w:type="paragraph" w:styleId="Header">
    <w:name w:val="header"/>
    <w:basedOn w:val="Normal"/>
    <w:link w:val="HeaderChar"/>
    <w:uiPriority w:val="99"/>
    <w:unhideWhenUsed/>
    <w:rsid w:val="00F509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095B"/>
  </w:style>
  <w:style w:type="character" w:styleId="PageNumber">
    <w:name w:val="page number"/>
    <w:basedOn w:val="DefaultParagraphFont"/>
    <w:uiPriority w:val="99"/>
    <w:semiHidden/>
    <w:unhideWhenUsed/>
    <w:rsid w:val="00F5095B"/>
  </w:style>
  <w:style w:type="paragraph" w:styleId="Footer">
    <w:name w:val="footer"/>
    <w:basedOn w:val="Normal"/>
    <w:link w:val="FooterChar"/>
    <w:uiPriority w:val="99"/>
    <w:unhideWhenUsed/>
    <w:rsid w:val="00F509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09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2485</Words>
  <Characters>14166</Characters>
  <Application>Microsoft Office Word</Application>
  <DocSecurity>4</DocSecurity>
  <Lines>118</Lines>
  <Paragraphs>33</Paragraphs>
  <ScaleCrop>false</ScaleCrop>
  <Company/>
  <LinksUpToDate>false</LinksUpToDate>
  <CharactersWithSpaces>16618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Camyl Moreno Pantojas</cp:lastModifiedBy>
  <cp:revision>2</cp:revision>
  <cp:lastPrinted>2026-04-30T17:09:00Z</cp:lastPrinted>
  <dcterms:created xsi:type="dcterms:W3CDTF">2026-05-04T18:38:00Z</dcterms:created>
  <dcterms:modified xsi:type="dcterms:W3CDTF">2026-05-04T18:38:00Z</dcterms:modified>
</cp:coreProperties>
</file>