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E98C" w14:textId="77777777" w:rsidR="00A548A5" w:rsidRPr="004143F1" w:rsidRDefault="00D8066D" w:rsidP="00A548A5">
      <w:pPr>
        <w:jc w:val="center"/>
        <w:rPr>
          <w:rFonts w:ascii="Book Antiqua" w:hAnsi="Book Antiqua"/>
          <w:sz w:val="28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79530B">
        <w:rPr>
          <w:rFonts w:ascii="Book Antiqua" w:hAnsi="Book Antiqua"/>
          <w:sz w:val="28"/>
        </w:rPr>
        <w:t xml:space="preserve"> DE</w:t>
      </w:r>
      <w:r w:rsidR="004143F1" w:rsidRPr="004143F1">
        <w:rPr>
          <w:rFonts w:ascii="Book Antiqua" w:hAnsi="Book Antiqua"/>
          <w:sz w:val="28"/>
        </w:rPr>
        <w:t xml:space="preserve"> PUERTO RICO</w:t>
      </w:r>
    </w:p>
    <w:p w14:paraId="208173C8" w14:textId="77777777" w:rsidR="00A548A5" w:rsidRPr="00F14C0A" w:rsidRDefault="00A548A5" w:rsidP="00A548A5">
      <w:pPr>
        <w:jc w:val="center"/>
        <w:rPr>
          <w:rFonts w:ascii="Book Antiqua" w:hAnsi="Book Antiqua"/>
        </w:rPr>
      </w:pPr>
    </w:p>
    <w:p w14:paraId="214383EB" w14:textId="0E336DA2" w:rsidR="00A548A5" w:rsidRPr="00F14C0A" w:rsidRDefault="0085162F" w:rsidP="00A548A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>20m</w:t>
      </w:r>
      <w:r w:rsidR="00A548A5" w:rsidRPr="00F14C0A">
        <w:rPr>
          <w:rFonts w:ascii="Book Antiqua" w:hAnsi="Book Antiqua"/>
        </w:rPr>
        <w:t>a. Asamblea</w:t>
      </w:r>
      <w:r w:rsidR="00A548A5" w:rsidRPr="00F14C0A">
        <w:rPr>
          <w:rFonts w:ascii="Book Antiqua" w:hAnsi="Book Antiqua"/>
        </w:rPr>
        <w:tab/>
        <w:t xml:space="preserve">                                                                                             </w:t>
      </w:r>
      <w:r w:rsidR="0079530B">
        <w:rPr>
          <w:rFonts w:ascii="Book Antiqua" w:hAnsi="Book Antiqua"/>
        </w:rPr>
        <w:t>1r</w:t>
      </w:r>
      <w:r w:rsidR="00A548A5" w:rsidRPr="00F14C0A">
        <w:rPr>
          <w:rFonts w:ascii="Book Antiqua" w:hAnsi="Book Antiqua"/>
        </w:rPr>
        <w:t>a. Sesión</w:t>
      </w:r>
    </w:p>
    <w:p w14:paraId="3628940E" w14:textId="77777777" w:rsidR="00A548A5" w:rsidRPr="00F14C0A" w:rsidRDefault="001373A3" w:rsidP="00A548A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="00A548A5" w:rsidRPr="00F14C0A">
        <w:rPr>
          <w:rFonts w:ascii="Book Antiqua" w:hAnsi="Book Antiqua"/>
        </w:rPr>
        <w:t xml:space="preserve">     </w:t>
      </w:r>
      <w:r w:rsidR="004143F1">
        <w:rPr>
          <w:rFonts w:ascii="Book Antiqua" w:hAnsi="Book Antiqua"/>
        </w:rPr>
        <w:t xml:space="preserve">     </w:t>
      </w:r>
      <w:r w:rsidR="00A548A5" w:rsidRPr="00F14C0A">
        <w:rPr>
          <w:rFonts w:ascii="Book Antiqua" w:hAnsi="Book Antiqua"/>
        </w:rPr>
        <w:t>Legislativa</w:t>
      </w:r>
      <w:r w:rsidR="00A548A5" w:rsidRPr="00F14C0A">
        <w:rPr>
          <w:rFonts w:ascii="Book Antiqua" w:hAnsi="Book Antiqua"/>
        </w:rPr>
        <w:tab/>
      </w:r>
      <w:r w:rsidR="00A548A5" w:rsidRPr="00F14C0A">
        <w:rPr>
          <w:rFonts w:ascii="Book Antiqua" w:hAnsi="Book Antiqua"/>
        </w:rPr>
        <w:tab/>
        <w:t xml:space="preserve">                                                                        </w:t>
      </w:r>
      <w:r>
        <w:rPr>
          <w:rFonts w:ascii="Book Antiqua" w:hAnsi="Book Antiqua"/>
        </w:rPr>
        <w:t xml:space="preserve">                 </w:t>
      </w:r>
      <w:r w:rsidR="004143F1">
        <w:rPr>
          <w:rFonts w:ascii="Book Antiqua" w:hAnsi="Book Antiqua"/>
        </w:rPr>
        <w:t xml:space="preserve"> </w:t>
      </w:r>
      <w:r w:rsidR="00A548A5" w:rsidRPr="00F14C0A">
        <w:rPr>
          <w:rFonts w:ascii="Book Antiqua" w:hAnsi="Book Antiqua"/>
        </w:rPr>
        <w:t>Ordinaria</w:t>
      </w:r>
    </w:p>
    <w:p w14:paraId="4DC4B414" w14:textId="77777777" w:rsidR="00A548A5" w:rsidRPr="00F14C0A" w:rsidRDefault="00A548A5" w:rsidP="00A548A5">
      <w:pPr>
        <w:rPr>
          <w:rFonts w:ascii="Book Antiqua" w:hAnsi="Book Antiqua"/>
        </w:rPr>
      </w:pPr>
    </w:p>
    <w:p w14:paraId="0E3D38B0" w14:textId="77777777" w:rsidR="00A548A5" w:rsidRPr="00F14C0A" w:rsidRDefault="00A548A5" w:rsidP="00A548A5">
      <w:pPr>
        <w:pStyle w:val="Heading2"/>
        <w:rPr>
          <w:rFonts w:ascii="Book Antiqua" w:hAnsi="Book Antiqua"/>
        </w:rPr>
      </w:pPr>
      <w:r w:rsidRPr="00F14C0A">
        <w:rPr>
          <w:rFonts w:ascii="Book Antiqua" w:hAnsi="Book Antiqua"/>
        </w:rPr>
        <w:t>CÁMARA DE REPRESENTANTES</w:t>
      </w:r>
    </w:p>
    <w:p w14:paraId="5DB46E1C" w14:textId="77777777" w:rsidR="00A548A5" w:rsidRPr="00F14C0A" w:rsidRDefault="00A548A5" w:rsidP="00A548A5">
      <w:pPr>
        <w:jc w:val="center"/>
        <w:rPr>
          <w:rFonts w:ascii="Book Antiqua" w:hAnsi="Book Antiqua"/>
          <w:b/>
          <w:bCs/>
        </w:rPr>
      </w:pPr>
    </w:p>
    <w:p w14:paraId="6DF10E85" w14:textId="1CA8B1E4" w:rsidR="00A548A5" w:rsidRPr="004143F1" w:rsidRDefault="00A548A5" w:rsidP="00A548A5">
      <w:pPr>
        <w:pStyle w:val="Heading3"/>
        <w:rPr>
          <w:rFonts w:ascii="Book Antiqua" w:hAnsi="Book Antiqua"/>
          <w:sz w:val="52"/>
          <w:szCs w:val="52"/>
        </w:rPr>
      </w:pPr>
      <w:r w:rsidRPr="004143F1">
        <w:rPr>
          <w:rFonts w:ascii="Book Antiqua" w:hAnsi="Book Antiqua"/>
          <w:sz w:val="52"/>
          <w:szCs w:val="52"/>
        </w:rPr>
        <w:t>P. de la C.</w:t>
      </w:r>
      <w:r w:rsidR="007878E6" w:rsidRPr="004143F1">
        <w:rPr>
          <w:rFonts w:ascii="Book Antiqua" w:hAnsi="Book Antiqua"/>
          <w:sz w:val="52"/>
          <w:szCs w:val="52"/>
        </w:rPr>
        <w:t xml:space="preserve"> </w:t>
      </w:r>
      <w:r w:rsidR="006E11C5">
        <w:rPr>
          <w:rFonts w:ascii="Book Antiqua" w:hAnsi="Book Antiqua"/>
          <w:sz w:val="52"/>
          <w:szCs w:val="52"/>
        </w:rPr>
        <w:t>493</w:t>
      </w:r>
    </w:p>
    <w:p w14:paraId="53C7092A" w14:textId="77777777" w:rsidR="00A548A5" w:rsidRPr="00F14C0A" w:rsidRDefault="00A548A5" w:rsidP="00A548A5">
      <w:pPr>
        <w:rPr>
          <w:rFonts w:ascii="Book Antiqua" w:hAnsi="Book Antiqua"/>
        </w:rPr>
      </w:pPr>
    </w:p>
    <w:p w14:paraId="15B76C0C" w14:textId="741D03D0" w:rsidR="00A548A5" w:rsidRPr="00F14C0A" w:rsidRDefault="006E11C5" w:rsidP="00A548A5">
      <w:pPr>
        <w:jc w:val="center"/>
        <w:rPr>
          <w:rFonts w:ascii="Book Antiqua" w:hAnsi="Book Antiqua"/>
        </w:rPr>
      </w:pPr>
      <w:r>
        <w:rPr>
          <w:rFonts w:ascii="Book Antiqua" w:hAnsi="Book Antiqua"/>
        </w:rPr>
        <w:t>4</w:t>
      </w:r>
      <w:r w:rsidR="00882F07">
        <w:rPr>
          <w:rFonts w:ascii="Book Antiqua" w:hAnsi="Book Antiqua"/>
        </w:rPr>
        <w:t xml:space="preserve"> DE ABRIL DE 2025</w:t>
      </w:r>
    </w:p>
    <w:p w14:paraId="38B8CF64" w14:textId="77777777" w:rsidR="00A548A5" w:rsidRPr="00F14C0A" w:rsidRDefault="00A548A5" w:rsidP="00A548A5">
      <w:pPr>
        <w:jc w:val="center"/>
        <w:rPr>
          <w:rFonts w:ascii="Book Antiqua" w:hAnsi="Book Antiqua"/>
        </w:rPr>
      </w:pPr>
    </w:p>
    <w:p w14:paraId="24F910A9" w14:textId="4B2E4E75" w:rsidR="00A548A5" w:rsidRPr="00F14C0A" w:rsidRDefault="00A548A5" w:rsidP="00A548A5">
      <w:pPr>
        <w:jc w:val="center"/>
        <w:rPr>
          <w:rFonts w:ascii="Book Antiqua" w:hAnsi="Book Antiqua"/>
        </w:rPr>
      </w:pPr>
      <w:r w:rsidRPr="00F14C0A">
        <w:rPr>
          <w:rFonts w:ascii="Book Antiqua" w:hAnsi="Book Antiqua"/>
        </w:rPr>
        <w:t>Presentado por el representante</w:t>
      </w:r>
      <w:r w:rsidRPr="00F14C0A">
        <w:rPr>
          <w:rFonts w:ascii="Book Antiqua" w:hAnsi="Book Antiqua"/>
          <w:i/>
          <w:iCs/>
        </w:rPr>
        <w:t xml:space="preserve"> </w:t>
      </w:r>
      <w:r w:rsidR="00882F07">
        <w:rPr>
          <w:rFonts w:ascii="Book Antiqua" w:hAnsi="Book Antiqua"/>
          <w:i/>
          <w:iCs/>
        </w:rPr>
        <w:t>Colón Rodríguez</w:t>
      </w:r>
    </w:p>
    <w:p w14:paraId="0200FB5D" w14:textId="77777777" w:rsidR="00A548A5" w:rsidRPr="00F14C0A" w:rsidRDefault="00A548A5" w:rsidP="00A548A5">
      <w:pPr>
        <w:jc w:val="center"/>
        <w:rPr>
          <w:rFonts w:ascii="Book Antiqua" w:hAnsi="Book Antiqua"/>
        </w:rPr>
      </w:pPr>
    </w:p>
    <w:p w14:paraId="7AB7DBB3" w14:textId="1DFD7A7D" w:rsidR="00A548A5" w:rsidRPr="00F14C0A" w:rsidRDefault="00A548A5" w:rsidP="00A548A5">
      <w:pPr>
        <w:jc w:val="center"/>
        <w:rPr>
          <w:rFonts w:ascii="Book Antiqua" w:hAnsi="Book Antiqua"/>
        </w:rPr>
      </w:pPr>
      <w:r w:rsidRPr="00F14C0A">
        <w:rPr>
          <w:rFonts w:ascii="Book Antiqua" w:hAnsi="Book Antiqua"/>
        </w:rPr>
        <w:t>Referido a</w:t>
      </w:r>
      <w:r w:rsidR="00965FAF">
        <w:rPr>
          <w:rFonts w:ascii="Book Antiqua" w:hAnsi="Book Antiqua"/>
        </w:rPr>
        <w:t xml:space="preserve"> </w:t>
      </w:r>
      <w:r w:rsidR="008F67A2">
        <w:rPr>
          <w:rFonts w:ascii="Book Antiqua" w:hAnsi="Book Antiqua"/>
        </w:rPr>
        <w:t xml:space="preserve">la Comisión de </w:t>
      </w:r>
      <w:r w:rsidR="00D95B7E">
        <w:rPr>
          <w:rFonts w:ascii="Book Antiqua" w:hAnsi="Book Antiqua"/>
        </w:rPr>
        <w:t>Asuntos Municipales</w:t>
      </w:r>
    </w:p>
    <w:p w14:paraId="7A7455B7" w14:textId="77777777" w:rsidR="00A548A5" w:rsidRPr="001B6130" w:rsidRDefault="00A548A5" w:rsidP="00A548A5">
      <w:pPr>
        <w:jc w:val="both"/>
        <w:rPr>
          <w:rFonts w:ascii="CG Times (W1)" w:hAnsi="CG Times (W1)"/>
        </w:rPr>
      </w:pPr>
    </w:p>
    <w:p w14:paraId="5C094FC8" w14:textId="77777777" w:rsidR="00A548A5" w:rsidRPr="004143F1" w:rsidRDefault="00A548A5" w:rsidP="00A548A5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4143F1">
        <w:rPr>
          <w:rFonts w:ascii="Book Antiqua" w:hAnsi="Book Antiqua"/>
          <w:b/>
          <w:bCs/>
          <w:sz w:val="28"/>
          <w:szCs w:val="28"/>
        </w:rPr>
        <w:t>LEY</w:t>
      </w:r>
    </w:p>
    <w:p w14:paraId="6C4680B3" w14:textId="77777777" w:rsidR="00A548A5" w:rsidRPr="001B6130" w:rsidRDefault="00A548A5" w:rsidP="00A548A5">
      <w:pPr>
        <w:jc w:val="both"/>
        <w:rPr>
          <w:rFonts w:ascii="CG Times (W1)" w:hAnsi="CG Times (W1)"/>
        </w:rPr>
      </w:pPr>
    </w:p>
    <w:p w14:paraId="227F4022" w14:textId="2050CDC7" w:rsidR="0085162F" w:rsidRPr="00A3761D" w:rsidRDefault="0085162F" w:rsidP="0085162F">
      <w:pPr>
        <w:pStyle w:val="BodyTextIndent2"/>
        <w:tabs>
          <w:tab w:val="clear" w:pos="3690"/>
        </w:tabs>
        <w:ind w:left="720" w:hanging="720"/>
        <w:rPr>
          <w:rFonts w:ascii="Book Antiqua" w:hAnsi="Book Antiqua"/>
        </w:rPr>
      </w:pPr>
      <w:r w:rsidRPr="00A3761D">
        <w:rPr>
          <w:rFonts w:ascii="Book Antiqua" w:hAnsi="Book Antiqua"/>
        </w:rPr>
        <w:t xml:space="preserve">Para prohibir </w:t>
      </w:r>
      <w:r w:rsidR="00882F07">
        <w:rPr>
          <w:rFonts w:ascii="Book Antiqua" w:hAnsi="Book Antiqua"/>
        </w:rPr>
        <w:t>el cobro a los municipios por el servicio de alumbrado público cuando</w:t>
      </w:r>
      <w:r w:rsidR="009D0058">
        <w:rPr>
          <w:rFonts w:ascii="Book Antiqua" w:hAnsi="Book Antiqua"/>
        </w:rPr>
        <w:t xml:space="preserve"> se presente evidencia que dicho alumbrado no está en funcionamiento;</w:t>
      </w:r>
      <w:r w:rsidR="00882F07">
        <w:rPr>
          <w:rFonts w:ascii="Book Antiqua" w:hAnsi="Book Antiqua"/>
        </w:rPr>
        <w:t xml:space="preserve"> </w:t>
      </w:r>
      <w:r w:rsidRPr="00A3761D">
        <w:rPr>
          <w:rFonts w:ascii="Book Antiqua" w:hAnsi="Book Antiqua"/>
        </w:rPr>
        <w:t>y para otros fines relacionados.</w:t>
      </w:r>
    </w:p>
    <w:p w14:paraId="6CE8A7BC" w14:textId="77777777" w:rsidR="0061666D" w:rsidRPr="00F14C0A" w:rsidRDefault="0061666D" w:rsidP="00A548A5">
      <w:pPr>
        <w:ind w:left="360" w:hanging="360"/>
        <w:jc w:val="both"/>
        <w:rPr>
          <w:rFonts w:ascii="Book Antiqua" w:hAnsi="Book Antiqua"/>
        </w:rPr>
      </w:pPr>
    </w:p>
    <w:p w14:paraId="3477C1D9" w14:textId="77777777" w:rsidR="00A548A5" w:rsidRPr="00F14C0A" w:rsidRDefault="00A548A5" w:rsidP="00A548A5">
      <w:pPr>
        <w:pStyle w:val="Heading1"/>
        <w:ind w:left="0" w:firstLine="0"/>
        <w:rPr>
          <w:rFonts w:ascii="Book Antiqua" w:hAnsi="Book Antiqua"/>
          <w:sz w:val="24"/>
          <w:szCs w:val="24"/>
          <w:lang w:val="es-PR"/>
        </w:rPr>
      </w:pPr>
      <w:r w:rsidRPr="00F14C0A">
        <w:rPr>
          <w:rFonts w:ascii="Book Antiqua" w:hAnsi="Book Antiqua"/>
          <w:sz w:val="24"/>
          <w:szCs w:val="24"/>
          <w:lang w:val="es-PR"/>
        </w:rPr>
        <w:t>EXPOSICIÓN DE MOTIVOS</w:t>
      </w:r>
    </w:p>
    <w:p w14:paraId="715460B2" w14:textId="77777777" w:rsidR="00A548A5" w:rsidRPr="00F14C0A" w:rsidRDefault="00A548A5" w:rsidP="00A548A5">
      <w:pPr>
        <w:rPr>
          <w:rFonts w:ascii="Book Antiqua" w:hAnsi="Book Antiqua"/>
        </w:rPr>
      </w:pPr>
    </w:p>
    <w:p w14:paraId="7E3BD21C" w14:textId="4D629F1C" w:rsidR="00DD7D44" w:rsidRDefault="00DD7D44" w:rsidP="00DD7D44">
      <w:pPr>
        <w:ind w:firstLine="720"/>
        <w:jc w:val="both"/>
        <w:rPr>
          <w:rFonts w:ascii="Book Antiqua" w:hAnsi="Book Antiqua"/>
        </w:rPr>
      </w:pPr>
      <w:r w:rsidRPr="00DD7D44">
        <w:rPr>
          <w:rFonts w:ascii="Book Antiqua" w:hAnsi="Book Antiqua"/>
        </w:rPr>
        <w:t>En Puerto Rico, LUMA Energy factura a los municipios por el servicio de alumbrado público mediante tarifas establecidas por el Negociado de Energía de Puerto Rico.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 xml:space="preserve">LUMA Energy </w:t>
      </w:r>
      <w:proofErr w:type="gramStart"/>
      <w:r w:rsidRPr="00DD7D44">
        <w:rPr>
          <w:rFonts w:ascii="Book Antiqua" w:hAnsi="Book Antiqua"/>
        </w:rPr>
        <w:t>le</w:t>
      </w:r>
      <w:proofErr w:type="gramEnd"/>
      <w:r w:rsidRPr="00DD7D44">
        <w:rPr>
          <w:rFonts w:ascii="Book Antiqua" w:hAnsi="Book Antiqua"/>
        </w:rPr>
        <w:t xml:space="preserve"> cobra a los municipios por el alumbrado público a través de lo que se conoce como la Tarifa G (Tarifa de Alumbrado Público), según lo establecido por la Autoridad de Energía Eléctrica de Puerto Rico (AEE) y adoptado por LUMA como parte de su operación del sistema de transmisión y distribución eléctrica.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>La Tarifa G es la clasificación tarifaria bajo la cual se factura el consumo de energía relacionado con el alumbrado público, y se divide en varias subcategorías según el tipo de luminaria y su uso.</w:t>
      </w:r>
    </w:p>
    <w:p w14:paraId="7DAC69BF" w14:textId="77777777" w:rsidR="00DD7D44" w:rsidRPr="00F14C0A" w:rsidRDefault="00DD7D44" w:rsidP="00DD7D44">
      <w:pPr>
        <w:ind w:firstLine="720"/>
        <w:jc w:val="both"/>
        <w:rPr>
          <w:rFonts w:ascii="Book Antiqua" w:hAnsi="Book Antiqua"/>
        </w:rPr>
      </w:pPr>
    </w:p>
    <w:p w14:paraId="78C25A62" w14:textId="7DB4AA55" w:rsidR="0085162F" w:rsidRDefault="00DD7D44" w:rsidP="00DD7D44">
      <w:pPr>
        <w:pStyle w:val="BodyTextIndent"/>
        <w:rPr>
          <w:rFonts w:ascii="Book Antiqua" w:hAnsi="Book Antiqua"/>
        </w:rPr>
      </w:pPr>
      <w:r>
        <w:rPr>
          <w:rFonts w:ascii="Book Antiqua" w:hAnsi="Book Antiqua"/>
        </w:rPr>
        <w:tab/>
        <w:t xml:space="preserve">Los </w:t>
      </w:r>
      <w:r w:rsidRPr="00DD7D44">
        <w:rPr>
          <w:rFonts w:ascii="Book Antiqua" w:hAnsi="Book Antiqua"/>
        </w:rPr>
        <w:t>municipios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 xml:space="preserve">tienen </w:t>
      </w:r>
      <w:r w:rsidR="00036BF6">
        <w:rPr>
          <w:rFonts w:ascii="Book Antiqua" w:hAnsi="Book Antiqua"/>
        </w:rPr>
        <w:t>d</w:t>
      </w:r>
      <w:r w:rsidRPr="00DD7D44">
        <w:rPr>
          <w:rFonts w:ascii="Book Antiqua" w:hAnsi="Book Antiqua"/>
        </w:rPr>
        <w:t xml:space="preserve">irecto </w:t>
      </w:r>
      <w:r w:rsidR="00036BF6">
        <w:rPr>
          <w:rFonts w:ascii="Book Antiqua" w:hAnsi="Book Antiqua"/>
        </w:rPr>
        <w:t>y</w:t>
      </w:r>
      <w:r w:rsidRPr="00DD7D44">
        <w:rPr>
          <w:rFonts w:ascii="Book Antiqua" w:hAnsi="Book Antiqua"/>
        </w:rPr>
        <w:t xml:space="preserve"> visibilidad sobre cuántas luminarias están en funcionamiento.</w:t>
      </w:r>
      <w:r>
        <w:rPr>
          <w:rFonts w:ascii="Book Antiqua" w:hAnsi="Book Antiqua"/>
        </w:rPr>
        <w:t xml:space="preserve"> </w:t>
      </w:r>
      <w:r w:rsidR="00036BF6">
        <w:rPr>
          <w:rFonts w:ascii="Book Antiqua" w:hAnsi="Book Antiqua"/>
        </w:rPr>
        <w:t>Sin embargo, s</w:t>
      </w:r>
      <w:r w:rsidRPr="00DD7D44">
        <w:rPr>
          <w:rFonts w:ascii="Book Antiqua" w:hAnsi="Book Antiqua"/>
        </w:rPr>
        <w:t>e les factura por luminarias que ya no existen o están apagadas.</w:t>
      </w:r>
      <w:r>
        <w:rPr>
          <w:rFonts w:ascii="Book Antiqua" w:hAnsi="Book Antiqua"/>
        </w:rPr>
        <w:t xml:space="preserve"> Hay</w:t>
      </w:r>
      <w:r w:rsidRPr="00DD7D44">
        <w:rPr>
          <w:rFonts w:ascii="Book Antiqua" w:hAnsi="Book Antiqua"/>
        </w:rPr>
        <w:t xml:space="preserve"> falta de fiscalización </w:t>
      </w:r>
      <w:r w:rsidR="00036BF6">
        <w:rPr>
          <w:rFonts w:ascii="Book Antiqua" w:hAnsi="Book Antiqua"/>
        </w:rPr>
        <w:t>y</w:t>
      </w:r>
      <w:r w:rsidRPr="00DD7D44">
        <w:rPr>
          <w:rFonts w:ascii="Book Antiqua" w:hAnsi="Book Antiqua"/>
        </w:rPr>
        <w:t xml:space="preserve"> transparencia en el inventario de alumbrado público que usa LUMA.</w:t>
      </w:r>
      <w:r>
        <w:rPr>
          <w:rFonts w:ascii="Book Antiqua" w:hAnsi="Book Antiqua"/>
        </w:rPr>
        <w:t xml:space="preserve"> </w:t>
      </w:r>
      <w:r w:rsidRPr="00DD7D44">
        <w:rPr>
          <w:rFonts w:ascii="Book Antiqua" w:hAnsi="Book Antiqua"/>
        </w:rPr>
        <w:t>Esto ha llevado a disputas, e incluso a peticiones para auditar las facturas o revisar la fórmula tarifaria ante el Negociado de Energía de Puerto Rico.</w:t>
      </w:r>
    </w:p>
    <w:p w14:paraId="1C9154D8" w14:textId="77777777" w:rsidR="00DD7D44" w:rsidRDefault="00DD7D44" w:rsidP="00DD7D44">
      <w:pPr>
        <w:pStyle w:val="BodyTextIndent"/>
        <w:rPr>
          <w:rFonts w:ascii="Book Antiqua" w:hAnsi="Book Antiqua"/>
        </w:rPr>
      </w:pPr>
    </w:p>
    <w:p w14:paraId="4A6C1CE0" w14:textId="61C756CE" w:rsidR="00DD7D44" w:rsidRPr="00F14C0A" w:rsidRDefault="00DD7D44" w:rsidP="00DD7D44">
      <w:pPr>
        <w:pStyle w:val="BodyTextIndent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ab/>
        <w:t xml:space="preserve">Por </w:t>
      </w:r>
      <w:r w:rsidR="004E25E2">
        <w:rPr>
          <w:rFonts w:ascii="Book Antiqua" w:hAnsi="Book Antiqua"/>
        </w:rPr>
        <w:t xml:space="preserve">lo anterior, con esta Ley se prohibe </w:t>
      </w:r>
      <w:r w:rsidR="004E25E2" w:rsidRPr="004E25E2">
        <w:rPr>
          <w:rFonts w:ascii="Book Antiqua" w:hAnsi="Book Antiqua"/>
        </w:rPr>
        <w:t xml:space="preserve">el cobro a los municipios por el servicio de alumbrado público cuando </w:t>
      </w:r>
      <w:r w:rsidR="004E25E2">
        <w:rPr>
          <w:rFonts w:ascii="Book Antiqua" w:hAnsi="Book Antiqua"/>
        </w:rPr>
        <w:t xml:space="preserve">presente evidencia que dicho </w:t>
      </w:r>
      <w:r w:rsidR="009D0058">
        <w:rPr>
          <w:rFonts w:ascii="Book Antiqua" w:hAnsi="Book Antiqua"/>
        </w:rPr>
        <w:t xml:space="preserve">alumbrado no está en funcionamiento. </w:t>
      </w:r>
    </w:p>
    <w:p w14:paraId="7C52E9C4" w14:textId="77777777" w:rsidR="00A548A5" w:rsidRPr="00F14C0A" w:rsidRDefault="00A548A5" w:rsidP="00A548A5">
      <w:pPr>
        <w:pStyle w:val="BodyTextIndent"/>
        <w:ind w:firstLine="720"/>
        <w:rPr>
          <w:rFonts w:ascii="Book Antiqua" w:hAnsi="Book Antiqua"/>
        </w:rPr>
      </w:pPr>
    </w:p>
    <w:p w14:paraId="13DF0CF3" w14:textId="77777777" w:rsidR="00A548A5" w:rsidRPr="00F14C0A" w:rsidRDefault="00A548A5" w:rsidP="00A548A5">
      <w:pPr>
        <w:spacing w:line="480" w:lineRule="auto"/>
        <w:rPr>
          <w:rFonts w:ascii="Book Antiqua" w:hAnsi="Book Antiqua"/>
          <w:i/>
          <w:iCs/>
        </w:rPr>
      </w:pPr>
      <w:r w:rsidRPr="00F14C0A">
        <w:rPr>
          <w:rFonts w:ascii="Book Antiqua" w:hAnsi="Book Antiqua"/>
          <w:i/>
          <w:iCs/>
        </w:rPr>
        <w:t>DECR</w:t>
      </w:r>
      <w:r w:rsidR="004143F1">
        <w:rPr>
          <w:rFonts w:ascii="Book Antiqua" w:hAnsi="Book Antiqua"/>
          <w:i/>
          <w:iCs/>
        </w:rPr>
        <w:t>É</w:t>
      </w:r>
      <w:r w:rsidRPr="00F14C0A">
        <w:rPr>
          <w:rFonts w:ascii="Book Antiqua" w:hAnsi="Book Antiqua"/>
          <w:i/>
          <w:iCs/>
        </w:rPr>
        <w:t>TASE POR LA ASAMBLEA LEGISLATIVA DE PUERTO RICO:</w:t>
      </w:r>
    </w:p>
    <w:p w14:paraId="6F008CC8" w14:textId="77777777" w:rsidR="00A548A5" w:rsidRPr="00F14C0A" w:rsidRDefault="00A548A5" w:rsidP="00A548A5">
      <w:pPr>
        <w:spacing w:line="480" w:lineRule="auto"/>
        <w:jc w:val="both"/>
        <w:rPr>
          <w:rFonts w:ascii="Book Antiqua" w:hAnsi="Book Antiqua"/>
          <w:i/>
          <w:iCs/>
        </w:rPr>
        <w:sectPr w:rsidR="00A548A5" w:rsidRPr="00F14C0A" w:rsidSect="00A548A5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328AF6" w14:textId="607A1365" w:rsidR="0085162F" w:rsidRDefault="00A548A5" w:rsidP="00A548A5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F14C0A">
        <w:rPr>
          <w:rFonts w:ascii="Book Antiqua" w:hAnsi="Book Antiqua"/>
        </w:rPr>
        <w:t>Artículo 1.-</w:t>
      </w:r>
      <w:r w:rsidR="0085162F">
        <w:rPr>
          <w:rFonts w:ascii="Book Antiqua" w:hAnsi="Book Antiqua"/>
        </w:rPr>
        <w:t xml:space="preserve"> Prohibición.</w:t>
      </w:r>
    </w:p>
    <w:p w14:paraId="71963FF7" w14:textId="422CE12B" w:rsidR="009D0058" w:rsidRDefault="0085162F" w:rsidP="009D0058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A3761D">
        <w:rPr>
          <w:rFonts w:ascii="Book Antiqua" w:hAnsi="Book Antiqua"/>
        </w:rPr>
        <w:t xml:space="preserve">Se prohíbe </w:t>
      </w:r>
      <w:r w:rsidR="009D0058" w:rsidRPr="009D0058">
        <w:rPr>
          <w:rFonts w:ascii="Book Antiqua" w:hAnsi="Book Antiqua"/>
        </w:rPr>
        <w:t>el cobro a los municipios por el servicio de alumbrado público cuando presente evidencia que dicho alumbrado no está en funcionamiento.</w:t>
      </w:r>
    </w:p>
    <w:p w14:paraId="4055EE89" w14:textId="7527E546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2. – </w:t>
      </w:r>
      <w:r w:rsidR="009D0058">
        <w:rPr>
          <w:rFonts w:ascii="Book Antiqua" w:hAnsi="Book Antiqua"/>
        </w:rPr>
        <w:t>Requisitos para solicitar el cese del cobro</w:t>
      </w:r>
    </w:p>
    <w:p w14:paraId="5F030445" w14:textId="0F35AB15" w:rsidR="009D0058" w:rsidRDefault="009D0058" w:rsidP="009D0058">
      <w:pPr>
        <w:spacing w:line="480" w:lineRule="auto"/>
        <w:ind w:firstLine="720"/>
        <w:jc w:val="both"/>
        <w:rPr>
          <w:rFonts w:ascii="Book Antiqua" w:hAnsi="Book Antiqua"/>
        </w:rPr>
      </w:pPr>
      <w:r w:rsidRPr="13F5C8CA">
        <w:rPr>
          <w:rFonts w:ascii="Book Antiqua" w:hAnsi="Book Antiqua"/>
        </w:rPr>
        <w:t>El municipio deberá realizar</w:t>
      </w:r>
      <w:r w:rsidR="50B3F980" w:rsidRPr="13F5C8CA">
        <w:rPr>
          <w:rFonts w:ascii="Book Antiqua" w:hAnsi="Book Antiqua"/>
        </w:rPr>
        <w:t xml:space="preserve"> </w:t>
      </w:r>
      <w:r w:rsidRPr="13F5C8CA">
        <w:rPr>
          <w:rFonts w:ascii="Book Antiqua" w:hAnsi="Book Antiqua"/>
        </w:rPr>
        <w:t xml:space="preserve">inspecciones periódicas para identificar luminarias que no funcionan. El funcionario delegado por el </w:t>
      </w:r>
      <w:proofErr w:type="gramStart"/>
      <w:r w:rsidRPr="13F5C8CA">
        <w:rPr>
          <w:rFonts w:ascii="Book Antiqua" w:hAnsi="Book Antiqua"/>
        </w:rPr>
        <w:t>Alcalde</w:t>
      </w:r>
      <w:proofErr w:type="gramEnd"/>
      <w:r w:rsidRPr="13F5C8CA">
        <w:rPr>
          <w:rFonts w:ascii="Book Antiqua" w:hAnsi="Book Antiqua"/>
        </w:rPr>
        <w:t xml:space="preserve"> deberá crear un Registro de Evidencia de Iluminarias Inoperante. Dicho Registro debe contener fotografías </w:t>
      </w:r>
      <w:r w:rsidR="00036BF6" w:rsidRPr="13F5C8CA">
        <w:rPr>
          <w:rFonts w:ascii="Book Antiqua" w:hAnsi="Book Antiqua"/>
        </w:rPr>
        <w:t>y/</w:t>
      </w:r>
      <w:r w:rsidRPr="13F5C8CA">
        <w:rPr>
          <w:rFonts w:ascii="Book Antiqua" w:hAnsi="Book Antiqua"/>
        </w:rPr>
        <w:t>o videos de las luminarias defectuosas</w:t>
      </w:r>
      <w:r w:rsidR="00036BF6" w:rsidRPr="13F5C8CA">
        <w:rPr>
          <w:rFonts w:ascii="Book Antiqua" w:hAnsi="Book Antiqua"/>
        </w:rPr>
        <w:t xml:space="preserve"> e inoperantes</w:t>
      </w:r>
      <w:r w:rsidRPr="13F5C8CA">
        <w:rPr>
          <w:rFonts w:ascii="Book Antiqua" w:hAnsi="Book Antiqua"/>
        </w:rPr>
        <w:t>, anotando la fecha, hora y ubicación exacta (por ejemplo, coordenadas GPS o direcciones específicas).</w:t>
      </w:r>
    </w:p>
    <w:p w14:paraId="74DAFDA3" w14:textId="64558E28" w:rsidR="009D0058" w:rsidRDefault="009D0058" w:rsidP="009D0058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El funcionario delegado deberá someter </w:t>
      </w:r>
      <w:r w:rsidR="00036BF6">
        <w:rPr>
          <w:rFonts w:ascii="Book Antiqua" w:hAnsi="Book Antiqua"/>
        </w:rPr>
        <w:t xml:space="preserve">bajo juramento </w:t>
      </w:r>
      <w:r>
        <w:rPr>
          <w:rFonts w:ascii="Book Antiqua" w:hAnsi="Book Antiqua"/>
        </w:rPr>
        <w:t xml:space="preserve">al operador privado del servicio de energía </w:t>
      </w:r>
      <w:r w:rsidR="00036BF6">
        <w:rPr>
          <w:rFonts w:ascii="Book Antiqua" w:hAnsi="Book Antiqua"/>
        </w:rPr>
        <w:t>el Registro con la evidencia de la</w:t>
      </w:r>
      <w:r>
        <w:rPr>
          <w:rFonts w:ascii="Book Antiqua" w:hAnsi="Book Antiqua"/>
        </w:rPr>
        <w:t xml:space="preserve"> luminaria inoperante</w:t>
      </w:r>
      <w:r w:rsidR="00036BF6">
        <w:rPr>
          <w:rFonts w:ascii="Book Antiqua" w:hAnsi="Book Antiqua"/>
        </w:rPr>
        <w:t xml:space="preserve"> y/o defectuosa.</w:t>
      </w:r>
    </w:p>
    <w:p w14:paraId="04092C62" w14:textId="26B804A8" w:rsidR="00036BF6" w:rsidRDefault="00036BF6" w:rsidP="009D0058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Artículo 3. – Cese del Cobro y Crédito</w:t>
      </w:r>
    </w:p>
    <w:p w14:paraId="259463F9" w14:textId="05E7B0C7" w:rsidR="00036BF6" w:rsidRDefault="00036BF6" w:rsidP="009D0058">
      <w:pPr>
        <w:spacing w:line="480" w:lineRule="auto"/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El operador de energía deberá cesar el cobro de ilimunarias defectuosas y/o inoperantes mediante un crédito a favor de los municipios. </w:t>
      </w:r>
    </w:p>
    <w:p w14:paraId="6A6B1EC0" w14:textId="09318541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</w:t>
      </w:r>
      <w:r w:rsidR="00036BF6">
        <w:rPr>
          <w:rFonts w:ascii="Book Antiqua" w:hAnsi="Book Antiqua"/>
        </w:rPr>
        <w:t>4</w:t>
      </w:r>
      <w:r w:rsidRPr="0085162F">
        <w:rPr>
          <w:rFonts w:ascii="Book Antiqua" w:hAnsi="Book Antiqua"/>
        </w:rPr>
        <w:t>. – Cláusula de separabilidad</w:t>
      </w:r>
    </w:p>
    <w:p w14:paraId="2A879C12" w14:textId="77777777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Si cualquier palabra, frase, oración, parte, sección, inciso o artículo de esta Ley fuera declarado inconstitucional o nulo por un tribunal, con un tribunal, con jurisdicción y competencia, tal declaración no afectará, menoscabará o invalidará las restantes </w:t>
      </w:r>
      <w:r w:rsidRPr="0085162F">
        <w:rPr>
          <w:rFonts w:ascii="Book Antiqua" w:hAnsi="Book Antiqua"/>
        </w:rPr>
        <w:lastRenderedPageBreak/>
        <w:t>disposiciones y partes de esta Ley, sino que su efecto se limitará a la parte declarada como inconstitucional o nula.</w:t>
      </w:r>
    </w:p>
    <w:p w14:paraId="2F7B1CBB" w14:textId="26AE84D1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</w:t>
      </w:r>
      <w:r w:rsidR="00036BF6">
        <w:rPr>
          <w:rFonts w:ascii="Book Antiqua" w:hAnsi="Book Antiqua"/>
        </w:rPr>
        <w:t>5</w:t>
      </w:r>
      <w:r w:rsidRPr="0085162F">
        <w:rPr>
          <w:rFonts w:ascii="Book Antiqua" w:hAnsi="Book Antiqua"/>
        </w:rPr>
        <w:t>.- Cláusula Derogatoria</w:t>
      </w:r>
    </w:p>
    <w:p w14:paraId="210A02A2" w14:textId="77777777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>Esta Ley deroga en todo o en parte, toda aquella Ley o reglamentación inconsistente con lo aquí establecido y cualquier otra disposición sobre adquisición que en la actualidad esté cubierta por esta ley.</w:t>
      </w:r>
    </w:p>
    <w:p w14:paraId="1813CC62" w14:textId="56D8A0FF" w:rsidR="0085162F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</w:rPr>
      </w:pPr>
      <w:r w:rsidRPr="0085162F">
        <w:rPr>
          <w:rFonts w:ascii="Book Antiqua" w:hAnsi="Book Antiqua"/>
        </w:rPr>
        <w:t xml:space="preserve">Artículo </w:t>
      </w:r>
      <w:r w:rsidR="00036BF6">
        <w:rPr>
          <w:rFonts w:ascii="Book Antiqua" w:hAnsi="Book Antiqua"/>
        </w:rPr>
        <w:t>6</w:t>
      </w:r>
      <w:r w:rsidRPr="0085162F">
        <w:rPr>
          <w:rFonts w:ascii="Book Antiqua" w:hAnsi="Book Antiqua"/>
        </w:rPr>
        <w:t>.- Vigencia</w:t>
      </w:r>
    </w:p>
    <w:p w14:paraId="0C18F7E1" w14:textId="50A8AAD2" w:rsidR="00DD01E9" w:rsidRPr="0085162F" w:rsidRDefault="0085162F" w:rsidP="0085162F">
      <w:pPr>
        <w:pStyle w:val="BodyTextIndent"/>
        <w:spacing w:line="480" w:lineRule="auto"/>
        <w:ind w:firstLine="720"/>
        <w:rPr>
          <w:rFonts w:ascii="Book Antiqua" w:hAnsi="Book Antiqua"/>
          <w:i/>
          <w:iCs/>
          <w:u w:val="single"/>
        </w:rPr>
      </w:pPr>
      <w:r>
        <w:rPr>
          <w:rFonts w:ascii="Book Antiqua" w:hAnsi="Book Antiqua"/>
          <w:iCs/>
        </w:rPr>
        <w:t>Esta ley comenzará a regir inmediatamente después de su aprobación.</w:t>
      </w:r>
      <w:r w:rsidRPr="00A3761D">
        <w:rPr>
          <w:rFonts w:ascii="Book Antiqua" w:hAnsi="Book Antiqua"/>
        </w:rPr>
        <w:tab/>
      </w:r>
    </w:p>
    <w:sectPr w:rsidR="00DD01E9" w:rsidRPr="0085162F" w:rsidSect="00AC66B1"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D6BD3" w14:textId="77777777" w:rsidR="00AC0736" w:rsidRDefault="00AC0736">
      <w:r>
        <w:separator/>
      </w:r>
    </w:p>
  </w:endnote>
  <w:endnote w:type="continuationSeparator" w:id="0">
    <w:p w14:paraId="2F5FDB61" w14:textId="77777777" w:rsidR="00AC0736" w:rsidRDefault="00AC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D32A4" w14:textId="77777777" w:rsidR="00AC0736" w:rsidRDefault="00AC0736">
      <w:r>
        <w:separator/>
      </w:r>
    </w:p>
  </w:footnote>
  <w:footnote w:type="continuationSeparator" w:id="0">
    <w:p w14:paraId="485AC942" w14:textId="77777777" w:rsidR="00AC0736" w:rsidRDefault="00AC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9D4B" w14:textId="77777777" w:rsidR="00FF1F31" w:rsidRDefault="00BC226C">
    <w:pPr>
      <w:pStyle w:val="Header"/>
      <w:jc w:val="center"/>
    </w:pPr>
    <w:r>
      <w:rPr>
        <w:rStyle w:val="PageNumber"/>
      </w:rPr>
      <w:fldChar w:fldCharType="begin"/>
    </w:r>
    <w:r w:rsidR="00FF1F3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65FAF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D891" w14:textId="77777777" w:rsidR="00FF1F31" w:rsidRDefault="00BC226C">
    <w:pPr>
      <w:pStyle w:val="Header"/>
      <w:jc w:val="center"/>
    </w:pPr>
    <w:r>
      <w:rPr>
        <w:rStyle w:val="PageNumber"/>
      </w:rPr>
      <w:fldChar w:fldCharType="begin"/>
    </w:r>
    <w:r w:rsidR="00FF1F31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F1F31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A5"/>
    <w:rsid w:val="0000041E"/>
    <w:rsid w:val="0000096E"/>
    <w:rsid w:val="0000139C"/>
    <w:rsid w:val="00002215"/>
    <w:rsid w:val="0000748E"/>
    <w:rsid w:val="00010D40"/>
    <w:rsid w:val="00017B68"/>
    <w:rsid w:val="000252C8"/>
    <w:rsid w:val="00034FCC"/>
    <w:rsid w:val="0003545F"/>
    <w:rsid w:val="00036BF6"/>
    <w:rsid w:val="00047143"/>
    <w:rsid w:val="000471ED"/>
    <w:rsid w:val="00050675"/>
    <w:rsid w:val="00052DB6"/>
    <w:rsid w:val="000570DF"/>
    <w:rsid w:val="000577D6"/>
    <w:rsid w:val="000641FE"/>
    <w:rsid w:val="000644E2"/>
    <w:rsid w:val="000672C0"/>
    <w:rsid w:val="00070A8A"/>
    <w:rsid w:val="000756B4"/>
    <w:rsid w:val="0008256A"/>
    <w:rsid w:val="000A1F9C"/>
    <w:rsid w:val="000A536C"/>
    <w:rsid w:val="000A6A26"/>
    <w:rsid w:val="000B1596"/>
    <w:rsid w:val="000D3818"/>
    <w:rsid w:val="000E39B4"/>
    <w:rsid w:val="000F1A60"/>
    <w:rsid w:val="000F36BF"/>
    <w:rsid w:val="000F3CB5"/>
    <w:rsid w:val="000F4196"/>
    <w:rsid w:val="0010272F"/>
    <w:rsid w:val="00114C5D"/>
    <w:rsid w:val="001170EE"/>
    <w:rsid w:val="001260B6"/>
    <w:rsid w:val="0012792D"/>
    <w:rsid w:val="0013067F"/>
    <w:rsid w:val="00133751"/>
    <w:rsid w:val="00135AA8"/>
    <w:rsid w:val="001373A3"/>
    <w:rsid w:val="00145BF2"/>
    <w:rsid w:val="0015022E"/>
    <w:rsid w:val="001554E2"/>
    <w:rsid w:val="00155550"/>
    <w:rsid w:val="00161CCF"/>
    <w:rsid w:val="00167C87"/>
    <w:rsid w:val="001773F0"/>
    <w:rsid w:val="0017752A"/>
    <w:rsid w:val="001802AA"/>
    <w:rsid w:val="00182150"/>
    <w:rsid w:val="0019553E"/>
    <w:rsid w:val="0019664A"/>
    <w:rsid w:val="001A4374"/>
    <w:rsid w:val="001B0310"/>
    <w:rsid w:val="001B1F1E"/>
    <w:rsid w:val="001C1BB0"/>
    <w:rsid w:val="001C3CF7"/>
    <w:rsid w:val="001C5B91"/>
    <w:rsid w:val="001D2DAF"/>
    <w:rsid w:val="001D55A4"/>
    <w:rsid w:val="001E06F1"/>
    <w:rsid w:val="001E1083"/>
    <w:rsid w:val="001E2845"/>
    <w:rsid w:val="001E4B42"/>
    <w:rsid w:val="001E7D38"/>
    <w:rsid w:val="001F2364"/>
    <w:rsid w:val="001F2732"/>
    <w:rsid w:val="001F3B23"/>
    <w:rsid w:val="001F5335"/>
    <w:rsid w:val="001F5847"/>
    <w:rsid w:val="001F6FAD"/>
    <w:rsid w:val="00201A4B"/>
    <w:rsid w:val="00203FDF"/>
    <w:rsid w:val="00204A8C"/>
    <w:rsid w:val="0020730A"/>
    <w:rsid w:val="00210936"/>
    <w:rsid w:val="0021227C"/>
    <w:rsid w:val="002278A2"/>
    <w:rsid w:val="00247230"/>
    <w:rsid w:val="00251968"/>
    <w:rsid w:val="002535A0"/>
    <w:rsid w:val="00265BDD"/>
    <w:rsid w:val="002859F0"/>
    <w:rsid w:val="00297C33"/>
    <w:rsid w:val="00297E7A"/>
    <w:rsid w:val="002A2BB1"/>
    <w:rsid w:val="002B40CA"/>
    <w:rsid w:val="002B5C76"/>
    <w:rsid w:val="002D2B2B"/>
    <w:rsid w:val="002D579E"/>
    <w:rsid w:val="002D592E"/>
    <w:rsid w:val="002E0094"/>
    <w:rsid w:val="002E1693"/>
    <w:rsid w:val="002E49E6"/>
    <w:rsid w:val="002F5663"/>
    <w:rsid w:val="002F6430"/>
    <w:rsid w:val="00304FFF"/>
    <w:rsid w:val="003051FD"/>
    <w:rsid w:val="003075B8"/>
    <w:rsid w:val="003102A6"/>
    <w:rsid w:val="0031510F"/>
    <w:rsid w:val="003153B1"/>
    <w:rsid w:val="003247E3"/>
    <w:rsid w:val="00327EF8"/>
    <w:rsid w:val="0033671A"/>
    <w:rsid w:val="00351E3A"/>
    <w:rsid w:val="00355FE9"/>
    <w:rsid w:val="00362103"/>
    <w:rsid w:val="00367117"/>
    <w:rsid w:val="00373ECC"/>
    <w:rsid w:val="003820E9"/>
    <w:rsid w:val="003826EA"/>
    <w:rsid w:val="0038339D"/>
    <w:rsid w:val="00387A8A"/>
    <w:rsid w:val="00394167"/>
    <w:rsid w:val="003B41E6"/>
    <w:rsid w:val="003B717A"/>
    <w:rsid w:val="003C25F6"/>
    <w:rsid w:val="003D0960"/>
    <w:rsid w:val="003D1B44"/>
    <w:rsid w:val="003F3C1A"/>
    <w:rsid w:val="003F4DB6"/>
    <w:rsid w:val="00411F9B"/>
    <w:rsid w:val="004121D3"/>
    <w:rsid w:val="004143F1"/>
    <w:rsid w:val="00414CC1"/>
    <w:rsid w:val="00421306"/>
    <w:rsid w:val="004253FC"/>
    <w:rsid w:val="00432C73"/>
    <w:rsid w:val="00435093"/>
    <w:rsid w:val="00440578"/>
    <w:rsid w:val="00441431"/>
    <w:rsid w:val="0045643E"/>
    <w:rsid w:val="004574B5"/>
    <w:rsid w:val="0047174F"/>
    <w:rsid w:val="004964C7"/>
    <w:rsid w:val="004A20D5"/>
    <w:rsid w:val="004A3BE2"/>
    <w:rsid w:val="004A42FA"/>
    <w:rsid w:val="004B68D4"/>
    <w:rsid w:val="004C4A8B"/>
    <w:rsid w:val="004D247A"/>
    <w:rsid w:val="004D3EA2"/>
    <w:rsid w:val="004E25E2"/>
    <w:rsid w:val="004E36C0"/>
    <w:rsid w:val="004F5C41"/>
    <w:rsid w:val="00505D1C"/>
    <w:rsid w:val="005172E0"/>
    <w:rsid w:val="00532C05"/>
    <w:rsid w:val="00536C9B"/>
    <w:rsid w:val="00540641"/>
    <w:rsid w:val="005777CA"/>
    <w:rsid w:val="00580E23"/>
    <w:rsid w:val="00592ED2"/>
    <w:rsid w:val="005A778B"/>
    <w:rsid w:val="005B1252"/>
    <w:rsid w:val="005D0AAF"/>
    <w:rsid w:val="005D6BC6"/>
    <w:rsid w:val="005E2596"/>
    <w:rsid w:val="005E30D5"/>
    <w:rsid w:val="005E569A"/>
    <w:rsid w:val="005F672F"/>
    <w:rsid w:val="006019CD"/>
    <w:rsid w:val="00613A15"/>
    <w:rsid w:val="0061666D"/>
    <w:rsid w:val="00620AC1"/>
    <w:rsid w:val="00621EC2"/>
    <w:rsid w:val="00632F1B"/>
    <w:rsid w:val="00637701"/>
    <w:rsid w:val="00641D36"/>
    <w:rsid w:val="00642B2E"/>
    <w:rsid w:val="006516BA"/>
    <w:rsid w:val="00666432"/>
    <w:rsid w:val="006701D0"/>
    <w:rsid w:val="00671ADD"/>
    <w:rsid w:val="00671C11"/>
    <w:rsid w:val="006808E2"/>
    <w:rsid w:val="0069269A"/>
    <w:rsid w:val="0069339D"/>
    <w:rsid w:val="006A3F89"/>
    <w:rsid w:val="006B3853"/>
    <w:rsid w:val="006B732B"/>
    <w:rsid w:val="006C1D4B"/>
    <w:rsid w:val="006C2327"/>
    <w:rsid w:val="006D250A"/>
    <w:rsid w:val="006D5908"/>
    <w:rsid w:val="006E11C5"/>
    <w:rsid w:val="006E49E8"/>
    <w:rsid w:val="006E6547"/>
    <w:rsid w:val="006F02D6"/>
    <w:rsid w:val="006F0D0D"/>
    <w:rsid w:val="006F65B0"/>
    <w:rsid w:val="006F6619"/>
    <w:rsid w:val="00707C0A"/>
    <w:rsid w:val="00710E9C"/>
    <w:rsid w:val="0071216E"/>
    <w:rsid w:val="00713B52"/>
    <w:rsid w:val="00714B74"/>
    <w:rsid w:val="00717B38"/>
    <w:rsid w:val="00721737"/>
    <w:rsid w:val="00724451"/>
    <w:rsid w:val="00724514"/>
    <w:rsid w:val="00734EE0"/>
    <w:rsid w:val="00737F96"/>
    <w:rsid w:val="00762202"/>
    <w:rsid w:val="0076332D"/>
    <w:rsid w:val="00764982"/>
    <w:rsid w:val="0076696C"/>
    <w:rsid w:val="0077637F"/>
    <w:rsid w:val="007803EB"/>
    <w:rsid w:val="007844B7"/>
    <w:rsid w:val="007878E6"/>
    <w:rsid w:val="00792DBF"/>
    <w:rsid w:val="00794163"/>
    <w:rsid w:val="00794D9B"/>
    <w:rsid w:val="0079530B"/>
    <w:rsid w:val="007A0A06"/>
    <w:rsid w:val="007A342C"/>
    <w:rsid w:val="007A4F7E"/>
    <w:rsid w:val="007B221B"/>
    <w:rsid w:val="007B50F6"/>
    <w:rsid w:val="007C1026"/>
    <w:rsid w:val="007C130E"/>
    <w:rsid w:val="007C3066"/>
    <w:rsid w:val="007C37EB"/>
    <w:rsid w:val="007D1AE3"/>
    <w:rsid w:val="007E02BC"/>
    <w:rsid w:val="007E397E"/>
    <w:rsid w:val="007E6DAA"/>
    <w:rsid w:val="007F2B4E"/>
    <w:rsid w:val="007F2C53"/>
    <w:rsid w:val="007F7E3C"/>
    <w:rsid w:val="0080099F"/>
    <w:rsid w:val="00815465"/>
    <w:rsid w:val="00823E2C"/>
    <w:rsid w:val="00830716"/>
    <w:rsid w:val="008350BA"/>
    <w:rsid w:val="00842BA8"/>
    <w:rsid w:val="00844A80"/>
    <w:rsid w:val="0085162F"/>
    <w:rsid w:val="00862371"/>
    <w:rsid w:val="00865D15"/>
    <w:rsid w:val="00870A3B"/>
    <w:rsid w:val="008722DD"/>
    <w:rsid w:val="008810F6"/>
    <w:rsid w:val="00882F07"/>
    <w:rsid w:val="008A426E"/>
    <w:rsid w:val="008A7BAE"/>
    <w:rsid w:val="008B46BB"/>
    <w:rsid w:val="008C2DBF"/>
    <w:rsid w:val="008C7E48"/>
    <w:rsid w:val="008E5B65"/>
    <w:rsid w:val="008F39B6"/>
    <w:rsid w:val="008F67A2"/>
    <w:rsid w:val="008F74CF"/>
    <w:rsid w:val="0091196F"/>
    <w:rsid w:val="00922823"/>
    <w:rsid w:val="0092440C"/>
    <w:rsid w:val="0092658C"/>
    <w:rsid w:val="00935206"/>
    <w:rsid w:val="00942AC9"/>
    <w:rsid w:val="00942BFD"/>
    <w:rsid w:val="009430CC"/>
    <w:rsid w:val="00946BE1"/>
    <w:rsid w:val="00953C6A"/>
    <w:rsid w:val="009550AA"/>
    <w:rsid w:val="00956C4E"/>
    <w:rsid w:val="00961DE0"/>
    <w:rsid w:val="00965FAF"/>
    <w:rsid w:val="00967032"/>
    <w:rsid w:val="00967ADD"/>
    <w:rsid w:val="00971BAB"/>
    <w:rsid w:val="00990AA8"/>
    <w:rsid w:val="00993B7A"/>
    <w:rsid w:val="009944F1"/>
    <w:rsid w:val="009A6F89"/>
    <w:rsid w:val="009B00C5"/>
    <w:rsid w:val="009B09CC"/>
    <w:rsid w:val="009C2B22"/>
    <w:rsid w:val="009C55B5"/>
    <w:rsid w:val="009D0058"/>
    <w:rsid w:val="009D0BE3"/>
    <w:rsid w:val="009D53A9"/>
    <w:rsid w:val="009E00B9"/>
    <w:rsid w:val="009E7B3F"/>
    <w:rsid w:val="00A0798F"/>
    <w:rsid w:val="00A15156"/>
    <w:rsid w:val="00A4429C"/>
    <w:rsid w:val="00A44CA4"/>
    <w:rsid w:val="00A46971"/>
    <w:rsid w:val="00A52496"/>
    <w:rsid w:val="00A540A3"/>
    <w:rsid w:val="00A548A5"/>
    <w:rsid w:val="00A62678"/>
    <w:rsid w:val="00A650E3"/>
    <w:rsid w:val="00A70697"/>
    <w:rsid w:val="00A70698"/>
    <w:rsid w:val="00A73506"/>
    <w:rsid w:val="00A751EB"/>
    <w:rsid w:val="00A917F7"/>
    <w:rsid w:val="00A9337C"/>
    <w:rsid w:val="00A959E9"/>
    <w:rsid w:val="00AB6945"/>
    <w:rsid w:val="00AC0736"/>
    <w:rsid w:val="00AC3D3A"/>
    <w:rsid w:val="00AC66B1"/>
    <w:rsid w:val="00AD4BD5"/>
    <w:rsid w:val="00AD6A0E"/>
    <w:rsid w:val="00AE167F"/>
    <w:rsid w:val="00AE4A25"/>
    <w:rsid w:val="00AF4502"/>
    <w:rsid w:val="00AF538D"/>
    <w:rsid w:val="00AF66D7"/>
    <w:rsid w:val="00B02520"/>
    <w:rsid w:val="00B0542B"/>
    <w:rsid w:val="00B070CD"/>
    <w:rsid w:val="00B10D52"/>
    <w:rsid w:val="00B1242B"/>
    <w:rsid w:val="00B20B91"/>
    <w:rsid w:val="00B20CB8"/>
    <w:rsid w:val="00B32FEF"/>
    <w:rsid w:val="00B34870"/>
    <w:rsid w:val="00B47507"/>
    <w:rsid w:val="00B5160F"/>
    <w:rsid w:val="00B54377"/>
    <w:rsid w:val="00B5787E"/>
    <w:rsid w:val="00B61A03"/>
    <w:rsid w:val="00B65412"/>
    <w:rsid w:val="00B74E5E"/>
    <w:rsid w:val="00B75457"/>
    <w:rsid w:val="00B83235"/>
    <w:rsid w:val="00B877C1"/>
    <w:rsid w:val="00B91799"/>
    <w:rsid w:val="00B937E3"/>
    <w:rsid w:val="00BA57E0"/>
    <w:rsid w:val="00BB4206"/>
    <w:rsid w:val="00BC226C"/>
    <w:rsid w:val="00BC2B7A"/>
    <w:rsid w:val="00BC7A77"/>
    <w:rsid w:val="00BE4CA4"/>
    <w:rsid w:val="00BF47A0"/>
    <w:rsid w:val="00BF5C9D"/>
    <w:rsid w:val="00C03612"/>
    <w:rsid w:val="00C0526C"/>
    <w:rsid w:val="00C111A0"/>
    <w:rsid w:val="00C1166D"/>
    <w:rsid w:val="00C16C65"/>
    <w:rsid w:val="00C22289"/>
    <w:rsid w:val="00C25CD8"/>
    <w:rsid w:val="00C3216E"/>
    <w:rsid w:val="00C35AB6"/>
    <w:rsid w:val="00C37C84"/>
    <w:rsid w:val="00C54753"/>
    <w:rsid w:val="00C850F3"/>
    <w:rsid w:val="00C86032"/>
    <w:rsid w:val="00C9356D"/>
    <w:rsid w:val="00CA2A26"/>
    <w:rsid w:val="00CA2D91"/>
    <w:rsid w:val="00CB3F91"/>
    <w:rsid w:val="00CC22C1"/>
    <w:rsid w:val="00CC6114"/>
    <w:rsid w:val="00CD5117"/>
    <w:rsid w:val="00CD7180"/>
    <w:rsid w:val="00CD76D0"/>
    <w:rsid w:val="00CE413D"/>
    <w:rsid w:val="00CE5983"/>
    <w:rsid w:val="00CF4894"/>
    <w:rsid w:val="00CF5F70"/>
    <w:rsid w:val="00CF75CB"/>
    <w:rsid w:val="00D04FFF"/>
    <w:rsid w:val="00D05BA6"/>
    <w:rsid w:val="00D066D3"/>
    <w:rsid w:val="00D118BD"/>
    <w:rsid w:val="00D11DCC"/>
    <w:rsid w:val="00D15A0B"/>
    <w:rsid w:val="00D242F6"/>
    <w:rsid w:val="00D27397"/>
    <w:rsid w:val="00D362D7"/>
    <w:rsid w:val="00D4099E"/>
    <w:rsid w:val="00D450AF"/>
    <w:rsid w:val="00D61397"/>
    <w:rsid w:val="00D621B2"/>
    <w:rsid w:val="00D64312"/>
    <w:rsid w:val="00D74ABB"/>
    <w:rsid w:val="00D8066D"/>
    <w:rsid w:val="00D87DF2"/>
    <w:rsid w:val="00D91775"/>
    <w:rsid w:val="00D95B7E"/>
    <w:rsid w:val="00DA7A08"/>
    <w:rsid w:val="00DA7FCA"/>
    <w:rsid w:val="00DB7906"/>
    <w:rsid w:val="00DD01E9"/>
    <w:rsid w:val="00DD120D"/>
    <w:rsid w:val="00DD7D44"/>
    <w:rsid w:val="00DF1203"/>
    <w:rsid w:val="00DF2517"/>
    <w:rsid w:val="00DF38D4"/>
    <w:rsid w:val="00DF4982"/>
    <w:rsid w:val="00E1042E"/>
    <w:rsid w:val="00E11E3B"/>
    <w:rsid w:val="00E14464"/>
    <w:rsid w:val="00E1500B"/>
    <w:rsid w:val="00E253A0"/>
    <w:rsid w:val="00E30B1D"/>
    <w:rsid w:val="00E34A83"/>
    <w:rsid w:val="00E553BB"/>
    <w:rsid w:val="00E57BA9"/>
    <w:rsid w:val="00E65929"/>
    <w:rsid w:val="00E738D7"/>
    <w:rsid w:val="00E74980"/>
    <w:rsid w:val="00E85DEF"/>
    <w:rsid w:val="00E86C46"/>
    <w:rsid w:val="00E91D36"/>
    <w:rsid w:val="00E94311"/>
    <w:rsid w:val="00E9444A"/>
    <w:rsid w:val="00E951B6"/>
    <w:rsid w:val="00EA09F2"/>
    <w:rsid w:val="00EA0F23"/>
    <w:rsid w:val="00EA77C5"/>
    <w:rsid w:val="00EB23BF"/>
    <w:rsid w:val="00EB5CAD"/>
    <w:rsid w:val="00EB689E"/>
    <w:rsid w:val="00EC2A58"/>
    <w:rsid w:val="00EC62A0"/>
    <w:rsid w:val="00ED02BC"/>
    <w:rsid w:val="00ED5371"/>
    <w:rsid w:val="00ED646E"/>
    <w:rsid w:val="00EE116D"/>
    <w:rsid w:val="00EE5057"/>
    <w:rsid w:val="00EF0B41"/>
    <w:rsid w:val="00EF2E45"/>
    <w:rsid w:val="00F14C0A"/>
    <w:rsid w:val="00F14C37"/>
    <w:rsid w:val="00F16995"/>
    <w:rsid w:val="00F228DF"/>
    <w:rsid w:val="00F4024C"/>
    <w:rsid w:val="00F47353"/>
    <w:rsid w:val="00F56EAC"/>
    <w:rsid w:val="00F770F7"/>
    <w:rsid w:val="00F810C7"/>
    <w:rsid w:val="00F946AD"/>
    <w:rsid w:val="00FA3496"/>
    <w:rsid w:val="00FA63CF"/>
    <w:rsid w:val="00FB0E15"/>
    <w:rsid w:val="00FB4DCF"/>
    <w:rsid w:val="00FC0044"/>
    <w:rsid w:val="00FC452E"/>
    <w:rsid w:val="00FC6ECF"/>
    <w:rsid w:val="00FD0D40"/>
    <w:rsid w:val="00FE1163"/>
    <w:rsid w:val="00FE742E"/>
    <w:rsid w:val="00FE744C"/>
    <w:rsid w:val="00FF1F31"/>
    <w:rsid w:val="00FF5C26"/>
    <w:rsid w:val="13F5C8CA"/>
    <w:rsid w:val="50B3F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5374E9"/>
  <w15:docId w15:val="{E546F11A-5FEE-45F3-AC14-21C8A29E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48A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A548A5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Heading2">
    <w:name w:val="heading 2"/>
    <w:basedOn w:val="Normal"/>
    <w:next w:val="Normal"/>
    <w:qFormat/>
    <w:rsid w:val="00A548A5"/>
    <w:pPr>
      <w:keepNext/>
      <w:jc w:val="center"/>
      <w:outlineLvl w:val="1"/>
    </w:pPr>
    <w:rPr>
      <w:rFonts w:ascii="CG Times (W1)" w:hAnsi="CG Times (W1)"/>
      <w:b/>
      <w:sz w:val="36"/>
    </w:rPr>
  </w:style>
  <w:style w:type="paragraph" w:styleId="Heading3">
    <w:name w:val="heading 3"/>
    <w:basedOn w:val="Normal"/>
    <w:next w:val="Normal"/>
    <w:qFormat/>
    <w:rsid w:val="00A548A5"/>
    <w:pPr>
      <w:keepNext/>
      <w:jc w:val="center"/>
      <w:outlineLvl w:val="2"/>
    </w:pPr>
    <w:rPr>
      <w:rFonts w:ascii="CG Times (W1)" w:hAnsi="CG Times (W1)"/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548A5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A548A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548A5"/>
  </w:style>
  <w:style w:type="paragraph" w:styleId="BodyText">
    <w:name w:val="Body Text"/>
    <w:basedOn w:val="Normal"/>
    <w:rsid w:val="00A548A5"/>
    <w:pPr>
      <w:jc w:val="both"/>
    </w:pPr>
  </w:style>
  <w:style w:type="paragraph" w:styleId="BodyTextIndent">
    <w:name w:val="Body Text Indent"/>
    <w:basedOn w:val="Normal"/>
    <w:link w:val="BodyTextIndentChar"/>
    <w:rsid w:val="00A548A5"/>
    <w:pPr>
      <w:ind w:firstLine="360"/>
      <w:jc w:val="both"/>
    </w:pPr>
  </w:style>
  <w:style w:type="paragraph" w:styleId="BodyTextIndent2">
    <w:name w:val="Body Text Indent 2"/>
    <w:basedOn w:val="Normal"/>
    <w:rsid w:val="00A548A5"/>
    <w:pPr>
      <w:tabs>
        <w:tab w:val="left" w:pos="3690"/>
      </w:tabs>
      <w:ind w:left="360" w:hanging="360"/>
      <w:jc w:val="both"/>
    </w:pPr>
    <w:rPr>
      <w:rFonts w:ascii="CG Times(w1)" w:hAnsi="CG Times(w1)"/>
    </w:rPr>
  </w:style>
  <w:style w:type="character" w:styleId="LineNumber">
    <w:name w:val="line number"/>
    <w:basedOn w:val="DefaultParagraphFont"/>
    <w:rsid w:val="00A548A5"/>
  </w:style>
  <w:style w:type="paragraph" w:styleId="BalloonText">
    <w:name w:val="Balloon Text"/>
    <w:basedOn w:val="Normal"/>
    <w:link w:val="BalloonTextChar"/>
    <w:rsid w:val="00A1515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15156"/>
    <w:rPr>
      <w:rFonts w:ascii="Tahoma" w:hAnsi="Tahoma" w:cs="Tahoma"/>
      <w:sz w:val="16"/>
      <w:szCs w:val="16"/>
      <w:lang w:val="es-PR"/>
    </w:rPr>
  </w:style>
  <w:style w:type="paragraph" w:styleId="Footer">
    <w:name w:val="footer"/>
    <w:basedOn w:val="Normal"/>
    <w:link w:val="FooterChar"/>
    <w:rsid w:val="009C55B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9C55B5"/>
    <w:rPr>
      <w:sz w:val="24"/>
      <w:lang w:val="es-PR"/>
    </w:rPr>
  </w:style>
  <w:style w:type="character" w:customStyle="1" w:styleId="BodyTextIndentChar">
    <w:name w:val="Body Text Indent Char"/>
    <w:basedOn w:val="DefaultParagraphFont"/>
    <w:link w:val="BodyTextIndent"/>
    <w:rsid w:val="0085162F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543</Words>
  <Characters>3165</Characters>
  <Application>Microsoft Office Word</Application>
  <DocSecurity>0</DocSecurity>
  <Lines>26</Lines>
  <Paragraphs>7</Paragraphs>
  <ScaleCrop>false</ScaleCrop>
  <Company>ASAMBLEA LEGISLATIVA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Alejandro L. Soriano Miranda</dc:creator>
  <cp:lastModifiedBy>Gladys J. Burgos Torres</cp:lastModifiedBy>
  <cp:revision>3</cp:revision>
  <cp:lastPrinted>2020-02-07T17:14:00Z</cp:lastPrinted>
  <dcterms:created xsi:type="dcterms:W3CDTF">2025-04-04T14:04:00Z</dcterms:created>
  <dcterms:modified xsi:type="dcterms:W3CDTF">2025-04-04T20:01:00Z</dcterms:modified>
</cp:coreProperties>
</file>