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E38D500"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635DE6">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635DE6">
        <w:rPr>
          <w:rFonts w:ascii="Book Antiqua" w:eastAsia="Times New Roman" w:hAnsi="Book Antiqua" w:cs="Times New Roman"/>
          <w:b/>
          <w:sz w:val="52"/>
          <w:szCs w:val="52"/>
          <w:lang w:val="es-ES_tradnl"/>
        </w:rPr>
        <w:t>a C</w:t>
      </w:r>
      <w:r w:rsidR="00B03370">
        <w:rPr>
          <w:rFonts w:ascii="Book Antiqua" w:eastAsia="Times New Roman" w:hAnsi="Book Antiqua" w:cs="Times New Roman"/>
          <w:b/>
          <w:sz w:val="52"/>
          <w:szCs w:val="52"/>
          <w:lang w:val="es-ES_tradnl"/>
        </w:rPr>
        <w:t xml:space="preserve">. </w:t>
      </w:r>
      <w:r w:rsidR="00071AE2">
        <w:rPr>
          <w:rFonts w:ascii="Book Antiqua" w:eastAsia="Times New Roman" w:hAnsi="Book Antiqua" w:cs="Times New Roman"/>
          <w:b/>
          <w:sz w:val="52"/>
          <w:szCs w:val="52"/>
          <w:lang w:val="es-ES_tradnl"/>
        </w:rPr>
        <w:t>494</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0340D8C4"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91508E">
        <w:rPr>
          <w:rFonts w:ascii="Book Antiqua" w:eastAsia="Times New Roman" w:hAnsi="Book Antiqua" w:cs="Times New Roman"/>
          <w:sz w:val="24"/>
          <w:szCs w:val="24"/>
          <w:lang w:val="es-ES_tradnl"/>
        </w:rPr>
        <w:t>2</w:t>
      </w:r>
      <w:r w:rsidR="00071AE2">
        <w:rPr>
          <w:rFonts w:ascii="Book Antiqua" w:eastAsia="Times New Roman" w:hAnsi="Book Antiqua" w:cs="Times New Roman"/>
          <w:sz w:val="24"/>
          <w:szCs w:val="24"/>
          <w:lang w:val="es-ES_tradnl"/>
        </w:rPr>
        <w:t>5</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33020F5D"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4620B0" w:rsidRPr="0023263A">
        <w:rPr>
          <w:rFonts w:ascii="Book Antiqua" w:eastAsia="Times New Roman" w:hAnsi="Book Antiqua" w:cs="Times New Roman"/>
          <w:sz w:val="24"/>
          <w:szCs w:val="24"/>
          <w:lang w:val="es-ES_tradnl"/>
        </w:rPr>
        <w:t xml:space="preserve">l Trabajo y Asuntos Laborales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previo estudio y consideración del</w:t>
      </w:r>
      <w:r w:rsidR="00470B60" w:rsidRPr="0023263A">
        <w:rPr>
          <w:rFonts w:ascii="Book Antiqua" w:eastAsia="Times New Roman" w:hAnsi="Book Antiqua" w:cs="Times New Roman"/>
          <w:sz w:val="24"/>
          <w:szCs w:val="24"/>
          <w:lang w:val="es-ES_tradnl"/>
        </w:rPr>
        <w:t xml:space="preserve"> </w:t>
      </w:r>
      <w:r w:rsidR="00470B60" w:rsidRPr="0023263A">
        <w:rPr>
          <w:rFonts w:ascii="Book Antiqua" w:eastAsia="Times New Roman" w:hAnsi="Book Antiqua" w:cs="Times New Roman"/>
          <w:b/>
          <w:bCs/>
          <w:sz w:val="24"/>
          <w:szCs w:val="24"/>
          <w:lang w:val="es-ES_tradnl"/>
        </w:rPr>
        <w:t xml:space="preserve">Proyecto </w:t>
      </w:r>
      <w:r w:rsidR="007B3187" w:rsidRPr="0023263A">
        <w:rPr>
          <w:rFonts w:ascii="Book Antiqua" w:eastAsia="Times New Roman" w:hAnsi="Book Antiqua" w:cs="Times New Roman"/>
          <w:b/>
          <w:bCs/>
          <w:sz w:val="24"/>
          <w:szCs w:val="24"/>
          <w:lang w:val="es-ES_tradnl"/>
        </w:rPr>
        <w:t>de</w:t>
      </w:r>
      <w:r w:rsidR="005E0023">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l</w:t>
      </w:r>
      <w:r w:rsidR="005E0023">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5E0023">
        <w:rPr>
          <w:rFonts w:ascii="Book Antiqua" w:eastAsia="Times New Roman" w:hAnsi="Book Antiqua" w:cs="Times New Roman"/>
          <w:b/>
          <w:bCs/>
          <w:sz w:val="24"/>
          <w:szCs w:val="24"/>
          <w:lang w:val="es-ES_tradnl"/>
        </w:rPr>
        <w:t xml:space="preserve">Cámara </w:t>
      </w:r>
      <w:r w:rsidR="00071AE2">
        <w:rPr>
          <w:rFonts w:ascii="Book Antiqua" w:eastAsia="Times New Roman" w:hAnsi="Book Antiqua" w:cs="Times New Roman"/>
          <w:b/>
          <w:bCs/>
          <w:sz w:val="24"/>
          <w:szCs w:val="24"/>
          <w:lang w:val="es-ES_tradnl"/>
        </w:rPr>
        <w:t>494</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tiene a bien</w:t>
      </w:r>
      <w:r w:rsidRPr="0023263A">
        <w:rPr>
          <w:rFonts w:ascii="Book Antiqua" w:eastAsia="Times New Roman" w:hAnsi="Book Antiqua" w:cs="Times New Roman"/>
          <w:sz w:val="24"/>
          <w:szCs w:val="24"/>
          <w:lang w:val="es-ES_tradnl"/>
        </w:rPr>
        <w:t xml:space="preserve"> recom</w:t>
      </w:r>
      <w:r w:rsidR="00C10EC0" w:rsidRPr="0023263A">
        <w:rPr>
          <w:rFonts w:ascii="Book Antiqua" w:eastAsia="Times New Roman" w:hAnsi="Book Antiqua" w:cs="Times New Roman"/>
          <w:sz w:val="24"/>
          <w:szCs w:val="24"/>
          <w:lang w:val="es-ES_tradnl"/>
        </w:rPr>
        <w:t>endar</w:t>
      </w:r>
      <w:r w:rsidRPr="0023263A">
        <w:rPr>
          <w:rFonts w:ascii="Book Antiqua" w:eastAsia="Times New Roman" w:hAnsi="Book Antiqua" w:cs="Times New Roman"/>
          <w:sz w:val="24"/>
          <w:szCs w:val="24"/>
          <w:lang w:val="es-ES_tradnl"/>
        </w:rPr>
        <w:t xml:space="preserve"> a este Alto Cuerpo </w:t>
      </w:r>
      <w:r w:rsidR="007B3187" w:rsidRPr="0023263A">
        <w:rPr>
          <w:rFonts w:ascii="Book Antiqua" w:eastAsia="Times New Roman" w:hAnsi="Book Antiqua" w:cs="Times New Roman"/>
          <w:sz w:val="24"/>
          <w:szCs w:val="24"/>
          <w:lang w:val="es-ES_tradnl"/>
        </w:rPr>
        <w:t>su aprobación</w:t>
      </w:r>
      <w:r w:rsidR="00BB5C03" w:rsidRPr="0023263A">
        <w:rPr>
          <w:rFonts w:ascii="Book Antiqua" w:eastAsia="Times New Roman" w:hAnsi="Book Antiqua" w:cs="Times New Roman"/>
          <w:b/>
          <w:sz w:val="24"/>
          <w:szCs w:val="24"/>
          <w:lang w:val="es-ES_tradnl"/>
        </w:rPr>
        <w:t xml:space="preserve">, </w:t>
      </w:r>
      <w:r w:rsidR="00433B94">
        <w:rPr>
          <w:rFonts w:ascii="Book Antiqua" w:eastAsia="Times New Roman" w:hAnsi="Book Antiqua" w:cs="Times New Roman"/>
          <w:bCs/>
          <w:sz w:val="24"/>
          <w:szCs w:val="24"/>
          <w:lang w:val="es-ES_tradnl"/>
        </w:rPr>
        <w:t xml:space="preserve">con las enmiendas incluidas en el </w:t>
      </w:r>
      <w:proofErr w:type="spellStart"/>
      <w:r w:rsidR="00433B94">
        <w:rPr>
          <w:rFonts w:ascii="Book Antiqua" w:eastAsia="Times New Roman" w:hAnsi="Book Antiqua" w:cs="Times New Roman"/>
          <w:bCs/>
          <w:sz w:val="24"/>
          <w:szCs w:val="24"/>
          <w:lang w:val="es-ES_tradnl"/>
        </w:rPr>
        <w:t>entirillado</w:t>
      </w:r>
      <w:proofErr w:type="spellEnd"/>
      <w:r w:rsidR="00433B94">
        <w:rPr>
          <w:rFonts w:ascii="Book Antiqua" w:eastAsia="Times New Roman" w:hAnsi="Book Antiqua" w:cs="Times New Roman"/>
          <w:bCs/>
          <w:sz w:val="24"/>
          <w:szCs w:val="24"/>
          <w:lang w:val="es-ES_tradnl"/>
        </w:rPr>
        <w:t xml:space="preserve"> electrónico que acompaña este informe</w:t>
      </w:r>
      <w:r w:rsidR="007B3187" w:rsidRPr="0023263A">
        <w:rPr>
          <w:rFonts w:ascii="Book Antiqua" w:eastAsia="Times New Roman" w:hAnsi="Book Antiqua" w:cs="Times New Roman"/>
          <w:bCs/>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08494D4E" w14:textId="0EF75CAC" w:rsidR="007B3187" w:rsidRPr="0023263A" w:rsidRDefault="007B3187" w:rsidP="007B3187">
      <w:pPr>
        <w:pStyle w:val="NormalWeb"/>
        <w:spacing w:before="0" w:beforeAutospacing="0" w:after="0" w:afterAutospacing="0"/>
        <w:ind w:firstLine="708"/>
        <w:jc w:val="both"/>
        <w:rPr>
          <w:rFonts w:ascii="Book Antiqua" w:hAnsi="Book Antiqua"/>
          <w:lang w:val="es-PR"/>
        </w:rPr>
      </w:pPr>
      <w:r w:rsidRPr="0023263A">
        <w:rPr>
          <w:rFonts w:ascii="Book Antiqua" w:hAnsi="Book Antiqua"/>
          <w:bCs/>
          <w:lang w:val="es-ES"/>
        </w:rPr>
        <w:t>El Proyecto</w:t>
      </w:r>
      <w:r w:rsidR="0017673D">
        <w:rPr>
          <w:rFonts w:ascii="Book Antiqua" w:hAnsi="Book Antiqua"/>
          <w:bCs/>
          <w:lang w:val="es-ES"/>
        </w:rPr>
        <w:t xml:space="preserve"> de la Cámara </w:t>
      </w:r>
      <w:r w:rsidR="00071AE2">
        <w:rPr>
          <w:rFonts w:ascii="Book Antiqua" w:hAnsi="Book Antiqua"/>
          <w:bCs/>
          <w:lang w:val="es-ES"/>
        </w:rPr>
        <w:t>494</w:t>
      </w:r>
      <w:r w:rsidRPr="0023263A">
        <w:rPr>
          <w:rFonts w:ascii="Book Antiqua" w:hAnsi="Book Antiqua"/>
          <w:bCs/>
          <w:lang w:val="es-ES"/>
        </w:rPr>
        <w:t xml:space="preserve"> tiene el propósito de </w:t>
      </w:r>
      <w:r w:rsidR="00920B1D">
        <w:rPr>
          <w:rFonts w:ascii="Book Antiqua" w:hAnsi="Book Antiqua"/>
          <w:lang w:val="es-ES_tradnl"/>
        </w:rPr>
        <w:t>aclarar la intención legislativa y política pública que rige el procedimiento sumario ante los Tribunales de Puerto Rico; aclarar y establecer que solamente podrán presentarse bajo este procedimiento las reclamaciones de salarios dejados de devengar, licencias adeudadas, bono de navidad, tiempo extra o cualquier otra compensación salarial adeudada al empleado, reclamaciones de despido injustificado al amparo de la Ley Núm. 80 del 30 de mayo de 1976, según enmendada; excluir del proceso sumario las reclamaciones de discrimen, represalia, daños, hostigamiento sexual, acoso laboral y cualquier otra reclamación laboral que no esté incluida en el listado previamente establecido; establecer las circunstancias en las que se puede conceder una prórroga; y establecer los procedimientos ante la presentación de una moción de desestimación</w:t>
      </w:r>
      <w:r w:rsidRPr="0023263A">
        <w:rPr>
          <w:rFonts w:ascii="Book Antiqua" w:hAnsi="Book Antiqua"/>
          <w:lang w:val="es-PR"/>
        </w:rPr>
        <w:t>.</w:t>
      </w:r>
    </w:p>
    <w:p w14:paraId="5A47FAFC" w14:textId="77777777" w:rsidR="007B3187" w:rsidRPr="0023263A" w:rsidRDefault="007B3187" w:rsidP="00421D9C">
      <w:pPr>
        <w:spacing w:after="120"/>
        <w:jc w:val="center"/>
        <w:rPr>
          <w:rFonts w:ascii="Book Antiqua" w:hAnsi="Book Antiqua"/>
          <w:b/>
          <w:sz w:val="24"/>
          <w:szCs w:val="24"/>
        </w:rPr>
      </w:pPr>
    </w:p>
    <w:p w14:paraId="2EF835E6" w14:textId="77777777"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0338935F" w14:textId="77777777" w:rsidR="007B3187" w:rsidRPr="0023263A" w:rsidRDefault="007B3187" w:rsidP="007B3187">
      <w:pPr>
        <w:spacing w:after="0" w:line="240" w:lineRule="auto"/>
        <w:jc w:val="center"/>
        <w:rPr>
          <w:rFonts w:ascii="Book Antiqua" w:eastAsia="Times New Roman" w:hAnsi="Book Antiqua"/>
          <w:b/>
          <w:sz w:val="24"/>
          <w:szCs w:val="24"/>
          <w:lang w:val="es-ES"/>
        </w:rPr>
      </w:pPr>
    </w:p>
    <w:p w14:paraId="727E1F1D" w14:textId="58690253" w:rsidR="00743B3F" w:rsidRDefault="007B3187" w:rsidP="00743B3F">
      <w:pPr>
        <w:suppressLineNumbers/>
        <w:spacing w:after="0" w:line="240" w:lineRule="auto"/>
        <w:ind w:firstLine="720"/>
        <w:contextualSpacing/>
        <w:jc w:val="both"/>
        <w:rPr>
          <w:rFonts w:ascii="Book Antiqua" w:hAnsi="Book Antiqua"/>
          <w:sz w:val="24"/>
          <w:szCs w:val="24"/>
        </w:rPr>
      </w:pPr>
      <w:r w:rsidRPr="0023263A">
        <w:rPr>
          <w:rFonts w:ascii="Book Antiqua" w:hAnsi="Book Antiqua"/>
          <w:sz w:val="24"/>
          <w:szCs w:val="24"/>
        </w:rPr>
        <w:t xml:space="preserve">La medida propuesta </w:t>
      </w:r>
      <w:r w:rsidR="00ED6F18">
        <w:rPr>
          <w:rFonts w:ascii="Book Antiqua" w:hAnsi="Book Antiqua"/>
          <w:sz w:val="24"/>
          <w:szCs w:val="24"/>
        </w:rPr>
        <w:t xml:space="preserve">parte de un análisis al marco jurídico que rodea la Ley </w:t>
      </w:r>
      <w:r w:rsidR="00F132BD" w:rsidRPr="00B14F66">
        <w:rPr>
          <w:rFonts w:ascii="Book Antiqua" w:hAnsi="Book Antiqua"/>
          <w:sz w:val="24"/>
          <w:szCs w:val="24"/>
        </w:rPr>
        <w:t xml:space="preserve">Núm. 2 de 17 de octubre de 1961, según enmendada, conocida como la “Ley de Procedimiento Sumario de Reclamaciones Laborales”, </w:t>
      </w:r>
      <w:r w:rsidR="00F132BD">
        <w:rPr>
          <w:rFonts w:ascii="Book Antiqua" w:hAnsi="Book Antiqua"/>
          <w:sz w:val="24"/>
          <w:szCs w:val="24"/>
        </w:rPr>
        <w:t xml:space="preserve">la cual </w:t>
      </w:r>
      <w:r w:rsidR="00F132BD" w:rsidRPr="00B14F66">
        <w:rPr>
          <w:rFonts w:ascii="Book Antiqua" w:hAnsi="Book Antiqua"/>
          <w:sz w:val="24"/>
          <w:szCs w:val="24"/>
        </w:rPr>
        <w:t xml:space="preserve">fue promulgada con el propósito de establecer un mecanismo ágil, sencillo y accesible para tramitar reclamaciones laborales específicas, principalmente aquellas relacionadas con salarios dejados de devengar, </w:t>
      </w:r>
      <w:r w:rsidR="00F132BD" w:rsidRPr="00B14F66">
        <w:rPr>
          <w:rFonts w:ascii="Book Antiqua" w:hAnsi="Book Antiqua"/>
          <w:sz w:val="24"/>
          <w:szCs w:val="24"/>
        </w:rPr>
        <w:lastRenderedPageBreak/>
        <w:t>licencias acumuladas, horas extras, bono de Navidad y otras compensaciones claramente determinables.</w:t>
      </w:r>
      <w:r w:rsidR="00743B3F">
        <w:rPr>
          <w:rFonts w:ascii="Book Antiqua" w:hAnsi="Book Antiqua"/>
          <w:sz w:val="24"/>
          <w:szCs w:val="24"/>
        </w:rPr>
        <w:t xml:space="preserve"> Esto, en ánimo </w:t>
      </w:r>
      <w:r w:rsidR="00743B3F" w:rsidRPr="00B14F66">
        <w:rPr>
          <w:rFonts w:ascii="Book Antiqua" w:hAnsi="Book Antiqua"/>
          <w:sz w:val="24"/>
          <w:szCs w:val="24"/>
        </w:rPr>
        <w:t>de proveer un foro expedito para el empleado que pudiera presentar su reclamación sin la complejidad ni los requisitos técnicos de un procedimiento ordinario, permitiendo al tribunal adjudicar con rapidez y eficiencia reclamaciones de naturaleza sencilla.</w:t>
      </w:r>
    </w:p>
    <w:p w14:paraId="58504A16" w14:textId="77777777" w:rsidR="00743B3F" w:rsidRDefault="00743B3F" w:rsidP="00743B3F">
      <w:pPr>
        <w:suppressLineNumbers/>
        <w:spacing w:after="0" w:line="240" w:lineRule="auto"/>
        <w:contextualSpacing/>
        <w:jc w:val="both"/>
        <w:rPr>
          <w:rFonts w:ascii="Book Antiqua" w:hAnsi="Book Antiqua"/>
          <w:sz w:val="24"/>
          <w:szCs w:val="24"/>
        </w:rPr>
      </w:pPr>
    </w:p>
    <w:p w14:paraId="08EBA652" w14:textId="6E142031" w:rsidR="00743B3F" w:rsidRDefault="00743B3F" w:rsidP="00743B3F">
      <w:pPr>
        <w:suppressLineNumbers/>
        <w:spacing w:after="0" w:line="240" w:lineRule="auto"/>
        <w:contextualSpacing/>
        <w:jc w:val="both"/>
        <w:rPr>
          <w:rFonts w:ascii="Book Antiqua" w:hAnsi="Book Antiqua"/>
          <w:sz w:val="24"/>
          <w:szCs w:val="24"/>
        </w:rPr>
      </w:pPr>
      <w:r>
        <w:rPr>
          <w:rFonts w:ascii="Book Antiqua" w:hAnsi="Book Antiqua"/>
          <w:sz w:val="24"/>
          <w:szCs w:val="24"/>
        </w:rPr>
        <w:t>Por otra parte, se indica que</w:t>
      </w:r>
      <w:r w:rsidR="005E053D">
        <w:rPr>
          <w:rFonts w:ascii="Book Antiqua" w:hAnsi="Book Antiqua"/>
          <w:sz w:val="24"/>
          <w:szCs w:val="24"/>
        </w:rPr>
        <w:t xml:space="preserve">, </w:t>
      </w:r>
      <w:r w:rsidR="005055C0" w:rsidRPr="00B14F66">
        <w:rPr>
          <w:rFonts w:ascii="Book Antiqua" w:hAnsi="Book Antiqua"/>
          <w:sz w:val="24"/>
          <w:szCs w:val="24"/>
        </w:rPr>
        <w:t>con el tiempo, el procedimiento sumario se ha interpretado y aplicado de manera extensiva y rígida, desvirtuando su propósito original. Se han incluido bajo este trámite reclamaciones complejas como discrimen, represalias, hostigamiento sexual, daños y otros conceptos que, por su naturaleza, requieren mayor análisis jurídico y probatorio</w:t>
      </w:r>
      <w:r w:rsidR="00B5296F" w:rsidRPr="00B5296F">
        <w:rPr>
          <w:rFonts w:ascii="Book Antiqua" w:hAnsi="Book Antiqua"/>
          <w:sz w:val="24"/>
          <w:szCs w:val="24"/>
          <w:lang w:val="es-ES"/>
        </w:rPr>
        <w:t>;</w:t>
      </w:r>
      <w:r w:rsidR="00B5296F">
        <w:rPr>
          <w:rFonts w:ascii="Book Antiqua" w:hAnsi="Book Antiqua"/>
          <w:sz w:val="24"/>
          <w:szCs w:val="24"/>
          <w:lang w:val="es-ES"/>
        </w:rPr>
        <w:t xml:space="preserve"> </w:t>
      </w:r>
      <w:r w:rsidR="00DE2195">
        <w:rPr>
          <w:rFonts w:ascii="Book Antiqua" w:hAnsi="Book Antiqua"/>
          <w:sz w:val="24"/>
          <w:szCs w:val="24"/>
          <w:lang w:val="es-ES"/>
        </w:rPr>
        <w:t xml:space="preserve">lo que </w:t>
      </w:r>
      <w:r w:rsidR="00DE2195" w:rsidRPr="00B14F66">
        <w:rPr>
          <w:rFonts w:ascii="Book Antiqua" w:hAnsi="Book Antiqua"/>
          <w:sz w:val="24"/>
          <w:szCs w:val="24"/>
        </w:rPr>
        <w:t>ha generado consecuencias adversas, tanto procesales como sustantivas, y ha colocado a los patronos, en especial a los pequeños y medianos comerciantes, en una posición procesal desventajosa, viéndose obligados a litigar bajo parámetros que no ofrecen las garantías mínimas del debido proceso de ley</w:t>
      </w:r>
      <w:r w:rsidR="00DE2195">
        <w:rPr>
          <w:rFonts w:ascii="Book Antiqua" w:hAnsi="Book Antiqua"/>
          <w:sz w:val="24"/>
          <w:szCs w:val="24"/>
        </w:rPr>
        <w:t>.</w:t>
      </w:r>
    </w:p>
    <w:p w14:paraId="1E6721B3" w14:textId="77777777" w:rsidR="00DE2195" w:rsidRDefault="00DE2195" w:rsidP="00743B3F">
      <w:pPr>
        <w:suppressLineNumbers/>
        <w:spacing w:after="0" w:line="240" w:lineRule="auto"/>
        <w:contextualSpacing/>
        <w:jc w:val="both"/>
        <w:rPr>
          <w:rFonts w:ascii="Book Antiqua" w:hAnsi="Book Antiqua"/>
          <w:sz w:val="24"/>
          <w:szCs w:val="24"/>
        </w:rPr>
      </w:pPr>
    </w:p>
    <w:p w14:paraId="7C30A9EE" w14:textId="09C045C6" w:rsidR="00DE2195" w:rsidRDefault="007F3360" w:rsidP="00743B3F">
      <w:pPr>
        <w:suppressLineNumbers/>
        <w:spacing w:after="0" w:line="240" w:lineRule="auto"/>
        <w:contextualSpacing/>
        <w:jc w:val="both"/>
        <w:rPr>
          <w:rFonts w:ascii="Book Antiqua" w:hAnsi="Book Antiqua"/>
          <w:sz w:val="24"/>
          <w:szCs w:val="24"/>
        </w:rPr>
      </w:pPr>
      <w:r>
        <w:rPr>
          <w:rFonts w:ascii="Book Antiqua" w:hAnsi="Book Antiqua"/>
          <w:sz w:val="24"/>
          <w:szCs w:val="24"/>
          <w:lang w:val="es-ES"/>
        </w:rPr>
        <w:t xml:space="preserve">La medida </w:t>
      </w:r>
      <w:r w:rsidR="00AD6F99">
        <w:rPr>
          <w:rFonts w:ascii="Book Antiqua" w:hAnsi="Book Antiqua"/>
          <w:sz w:val="24"/>
          <w:szCs w:val="24"/>
          <w:lang w:val="es-ES"/>
        </w:rPr>
        <w:t>menciona</w:t>
      </w:r>
      <w:r w:rsidR="00457A04">
        <w:rPr>
          <w:rFonts w:ascii="Book Antiqua" w:hAnsi="Book Antiqua"/>
          <w:sz w:val="24"/>
          <w:szCs w:val="24"/>
          <w:lang w:val="es-ES"/>
        </w:rPr>
        <w:t xml:space="preserve"> problemáticas que se enfrentan procesalmente</w:t>
      </w:r>
      <w:r w:rsidR="00845428">
        <w:rPr>
          <w:rFonts w:ascii="Book Antiqua" w:hAnsi="Book Antiqua"/>
          <w:sz w:val="24"/>
          <w:szCs w:val="24"/>
          <w:lang w:val="es-ES"/>
        </w:rPr>
        <w:t xml:space="preserve">, entre ellas, aquella que </w:t>
      </w:r>
      <w:r w:rsidR="00506057" w:rsidRPr="00B14F66">
        <w:rPr>
          <w:rFonts w:ascii="Book Antiqua" w:hAnsi="Book Antiqua"/>
          <w:sz w:val="24"/>
          <w:szCs w:val="24"/>
        </w:rPr>
        <w:t>exige que el patrono querellado presente, en una sola alegación responsiva, todas sus defensas y, además, la contestación a la querella, bajo apercibimiento de que, de no hacerlo, se entenderán renunciadas dichas defensas</w:t>
      </w:r>
      <w:r w:rsidR="00506057">
        <w:rPr>
          <w:rFonts w:ascii="Book Antiqua" w:hAnsi="Book Antiqua"/>
          <w:sz w:val="24"/>
          <w:szCs w:val="24"/>
        </w:rPr>
        <w:t>; asunto que ha sido interpretado en repetidas ocasiones por nuestro Más Alto Foro</w:t>
      </w:r>
      <w:r w:rsidR="009E0811">
        <w:rPr>
          <w:rFonts w:ascii="Book Antiqua" w:hAnsi="Book Antiqua"/>
          <w:sz w:val="24"/>
          <w:szCs w:val="24"/>
        </w:rPr>
        <w:t>.</w:t>
      </w:r>
      <w:r w:rsidR="00AD6F99">
        <w:rPr>
          <w:rFonts w:ascii="Book Antiqua" w:hAnsi="Book Antiqua"/>
          <w:sz w:val="24"/>
          <w:szCs w:val="24"/>
        </w:rPr>
        <w:t xml:space="preserve"> </w:t>
      </w:r>
      <w:r w:rsidR="00CE746B">
        <w:rPr>
          <w:rFonts w:ascii="Book Antiqua" w:hAnsi="Book Antiqua"/>
          <w:sz w:val="24"/>
          <w:szCs w:val="24"/>
        </w:rPr>
        <w:t xml:space="preserve">Incluso, la medida plantea la </w:t>
      </w:r>
      <w:r w:rsidR="00F44DCD">
        <w:rPr>
          <w:rFonts w:ascii="Book Antiqua" w:hAnsi="Book Antiqua"/>
          <w:sz w:val="24"/>
          <w:szCs w:val="24"/>
        </w:rPr>
        <w:t>irracionabilidad</w:t>
      </w:r>
      <w:r w:rsidR="00CE746B">
        <w:rPr>
          <w:rFonts w:ascii="Book Antiqua" w:hAnsi="Book Antiqua"/>
          <w:sz w:val="24"/>
          <w:szCs w:val="24"/>
        </w:rPr>
        <w:t xml:space="preserve"> de que una parte tenga que </w:t>
      </w:r>
      <w:r w:rsidR="00F44DCD">
        <w:rPr>
          <w:rFonts w:ascii="Book Antiqua" w:hAnsi="Book Antiqua"/>
          <w:sz w:val="24"/>
          <w:szCs w:val="24"/>
        </w:rPr>
        <w:t>las disposiciones del procedimiento sumario se aplican aún cuando se ha planteado la falta de jurisdicción del tribunal</w:t>
      </w:r>
      <w:r w:rsidR="006A4187">
        <w:rPr>
          <w:rFonts w:ascii="Book Antiqua" w:hAnsi="Book Antiqua"/>
          <w:sz w:val="24"/>
          <w:szCs w:val="24"/>
        </w:rPr>
        <w:t xml:space="preserve"> para atender un caso</w:t>
      </w:r>
      <w:r w:rsidR="00F44DCD">
        <w:rPr>
          <w:rFonts w:ascii="Book Antiqua" w:hAnsi="Book Antiqua"/>
          <w:sz w:val="24"/>
          <w:szCs w:val="24"/>
        </w:rPr>
        <w:t>.</w:t>
      </w:r>
      <w:r w:rsidR="006A4187">
        <w:rPr>
          <w:rFonts w:ascii="Book Antiqua" w:hAnsi="Book Antiqua"/>
          <w:sz w:val="24"/>
          <w:szCs w:val="24"/>
        </w:rPr>
        <w:t xml:space="preserve"> El Tribunal Supremo ha sido consistente en defender el procedimiento sumario establecido en la Ley Núm. 2, antes citada</w:t>
      </w:r>
      <w:r w:rsidR="00E56A2E">
        <w:rPr>
          <w:rFonts w:ascii="Book Antiqua" w:hAnsi="Book Antiqua"/>
          <w:sz w:val="24"/>
          <w:szCs w:val="24"/>
        </w:rPr>
        <w:t>, al concluir que la falta de jurisdicción es un asunto que debe traerse por la parte querellada en su única alegación responsiva</w:t>
      </w:r>
      <w:r w:rsidR="00C03B7D">
        <w:rPr>
          <w:rFonts w:ascii="Book Antiqua" w:hAnsi="Book Antiqua"/>
          <w:sz w:val="24"/>
          <w:szCs w:val="24"/>
        </w:rPr>
        <w:t xml:space="preserve"> o, de lo contrario, de resolverse en contra el patrono se arriesga a que se le anote la rebeldía.</w:t>
      </w:r>
    </w:p>
    <w:p w14:paraId="59AD3583" w14:textId="77777777" w:rsidR="00C03B7D" w:rsidRDefault="00C03B7D" w:rsidP="00743B3F">
      <w:pPr>
        <w:suppressLineNumbers/>
        <w:spacing w:after="0" w:line="240" w:lineRule="auto"/>
        <w:contextualSpacing/>
        <w:jc w:val="both"/>
        <w:rPr>
          <w:rFonts w:ascii="Book Antiqua" w:hAnsi="Book Antiqua"/>
          <w:sz w:val="24"/>
          <w:szCs w:val="24"/>
        </w:rPr>
      </w:pPr>
    </w:p>
    <w:p w14:paraId="1E7660AD" w14:textId="3F5B7D8D" w:rsidR="00C03B7D" w:rsidRDefault="008A0FEE" w:rsidP="00743B3F">
      <w:pPr>
        <w:suppressLineNumbers/>
        <w:spacing w:after="0" w:line="240" w:lineRule="auto"/>
        <w:contextualSpacing/>
        <w:jc w:val="both"/>
        <w:rPr>
          <w:rFonts w:ascii="Book Antiqua" w:hAnsi="Book Antiqua"/>
          <w:sz w:val="24"/>
          <w:szCs w:val="24"/>
        </w:rPr>
      </w:pPr>
      <w:r>
        <w:rPr>
          <w:rFonts w:ascii="Book Antiqua" w:hAnsi="Book Antiqua"/>
          <w:sz w:val="24"/>
          <w:szCs w:val="24"/>
        </w:rPr>
        <w:t xml:space="preserve">El Proyecto de la Cámara </w:t>
      </w:r>
      <w:r w:rsidR="007D2395">
        <w:rPr>
          <w:rFonts w:ascii="Book Antiqua" w:hAnsi="Book Antiqua"/>
          <w:sz w:val="24"/>
          <w:szCs w:val="24"/>
        </w:rPr>
        <w:t xml:space="preserve">494 presenta importantes datos </w:t>
      </w:r>
      <w:r w:rsidR="00BE5C00">
        <w:rPr>
          <w:rFonts w:ascii="Book Antiqua" w:hAnsi="Book Antiqua"/>
          <w:sz w:val="24"/>
          <w:szCs w:val="24"/>
        </w:rPr>
        <w:t xml:space="preserve">sobre </w:t>
      </w:r>
      <w:r w:rsidR="00D77971">
        <w:rPr>
          <w:rFonts w:ascii="Book Antiqua" w:hAnsi="Book Antiqua"/>
          <w:sz w:val="24"/>
          <w:szCs w:val="24"/>
        </w:rPr>
        <w:t xml:space="preserve">la perspectiva del desarrollo económico, al indicar </w:t>
      </w:r>
      <w:r w:rsidR="007501FD">
        <w:rPr>
          <w:rFonts w:ascii="Book Antiqua" w:hAnsi="Book Antiqua"/>
          <w:sz w:val="24"/>
          <w:szCs w:val="24"/>
        </w:rPr>
        <w:t>que,</w:t>
      </w:r>
      <w:r w:rsidR="00D77971">
        <w:rPr>
          <w:rFonts w:ascii="Book Antiqua" w:hAnsi="Book Antiqua"/>
          <w:sz w:val="24"/>
          <w:szCs w:val="24"/>
        </w:rPr>
        <w:t xml:space="preserve"> según </w:t>
      </w:r>
      <w:r w:rsidR="00DB1ACF" w:rsidRPr="00B14F66">
        <w:rPr>
          <w:rFonts w:ascii="Book Antiqua" w:hAnsi="Book Antiqua"/>
          <w:sz w:val="24"/>
          <w:szCs w:val="24"/>
        </w:rPr>
        <w:t>datos recientes del Departamento de Desarrollo Económico y Comercio, el 96% de los establecimientos privados en Puerto Rico son pequeñas y medianas empresas, las cuales aportan aproximadamente el 44% del empleo privado cubierto en la Isla</w:t>
      </w:r>
      <w:r w:rsidR="0050174D">
        <w:rPr>
          <w:rFonts w:ascii="Book Antiqua" w:hAnsi="Book Antiqua"/>
          <w:sz w:val="24"/>
          <w:szCs w:val="24"/>
        </w:rPr>
        <w:t xml:space="preserve">; lo que sugiere ser </w:t>
      </w:r>
      <w:r w:rsidR="0033775C">
        <w:rPr>
          <w:rFonts w:ascii="Book Antiqua" w:hAnsi="Book Antiqua"/>
          <w:sz w:val="24"/>
          <w:szCs w:val="24"/>
        </w:rPr>
        <w:t>un aspecto para considerar</w:t>
      </w:r>
      <w:r w:rsidR="0050174D">
        <w:rPr>
          <w:rFonts w:ascii="Book Antiqua" w:hAnsi="Book Antiqua"/>
          <w:sz w:val="24"/>
          <w:szCs w:val="24"/>
        </w:rPr>
        <w:t xml:space="preserve"> al buscar el justo balance de intereses con la legislación que se pretende aprobar.</w:t>
      </w:r>
    </w:p>
    <w:p w14:paraId="15B7FAB4" w14:textId="77777777" w:rsidR="0033775C" w:rsidRDefault="0033775C" w:rsidP="00743B3F">
      <w:pPr>
        <w:suppressLineNumbers/>
        <w:spacing w:after="0" w:line="240" w:lineRule="auto"/>
        <w:contextualSpacing/>
        <w:jc w:val="both"/>
        <w:rPr>
          <w:rFonts w:ascii="Book Antiqua" w:hAnsi="Book Antiqua"/>
          <w:sz w:val="24"/>
          <w:szCs w:val="24"/>
        </w:rPr>
      </w:pPr>
    </w:p>
    <w:p w14:paraId="5F067BD8" w14:textId="4E51FEA6" w:rsidR="00041661" w:rsidRDefault="00041661" w:rsidP="00041661">
      <w:pPr>
        <w:suppressLineNumbers/>
        <w:spacing w:after="0" w:line="240" w:lineRule="auto"/>
        <w:contextualSpacing/>
        <w:jc w:val="both"/>
        <w:rPr>
          <w:rFonts w:ascii="Book Antiqua" w:hAnsi="Book Antiqua"/>
          <w:sz w:val="24"/>
          <w:szCs w:val="24"/>
        </w:rPr>
      </w:pPr>
      <w:r>
        <w:rPr>
          <w:rFonts w:ascii="Book Antiqua" w:hAnsi="Book Antiqua"/>
          <w:sz w:val="24"/>
          <w:szCs w:val="24"/>
          <w:lang w:val="es-ES"/>
        </w:rPr>
        <w:t>Siguiendo esa línea</w:t>
      </w:r>
      <w:r w:rsidR="00857770">
        <w:rPr>
          <w:rFonts w:ascii="Book Antiqua" w:hAnsi="Book Antiqua"/>
          <w:sz w:val="24"/>
          <w:szCs w:val="24"/>
          <w:lang w:val="es-ES"/>
        </w:rPr>
        <w:t xml:space="preserve">, la medida resalta el hecho de que someter </w:t>
      </w:r>
      <w:r w:rsidRPr="00B14F66">
        <w:rPr>
          <w:rFonts w:ascii="Book Antiqua" w:hAnsi="Book Antiqua"/>
          <w:sz w:val="24"/>
          <w:szCs w:val="24"/>
        </w:rPr>
        <w:t>a estos patronos a procedimientos sumarios que no fueron diseñados para atender reclamaciones complejas genera costos legales innecesarios, pone en riesgo su estabilidad y disuade la inversión local. En última instancia, ello afecta directamente la creación de empleos, la sostenibilidad del ecosistema empresarial y el desarrollo económico de Puerto Rico.</w:t>
      </w:r>
    </w:p>
    <w:p w14:paraId="7D167962" w14:textId="77777777" w:rsidR="00A630F2" w:rsidRDefault="00A630F2" w:rsidP="00041661">
      <w:pPr>
        <w:suppressLineNumbers/>
        <w:spacing w:after="0" w:line="240" w:lineRule="auto"/>
        <w:contextualSpacing/>
        <w:jc w:val="both"/>
        <w:rPr>
          <w:rFonts w:ascii="Book Antiqua" w:hAnsi="Book Antiqua"/>
          <w:sz w:val="24"/>
          <w:szCs w:val="24"/>
        </w:rPr>
      </w:pPr>
    </w:p>
    <w:p w14:paraId="238D7769" w14:textId="47372ECC" w:rsidR="00A630F2" w:rsidRDefault="00A630F2" w:rsidP="00041661">
      <w:pPr>
        <w:suppressLineNumbers/>
        <w:spacing w:after="0" w:line="240" w:lineRule="auto"/>
        <w:contextualSpacing/>
        <w:jc w:val="both"/>
        <w:rPr>
          <w:rFonts w:ascii="Book Antiqua" w:hAnsi="Book Antiqua"/>
          <w:sz w:val="24"/>
          <w:szCs w:val="24"/>
        </w:rPr>
      </w:pPr>
      <w:r>
        <w:rPr>
          <w:rFonts w:ascii="Book Antiqua" w:hAnsi="Book Antiqua"/>
          <w:sz w:val="24"/>
          <w:szCs w:val="24"/>
        </w:rPr>
        <w:t xml:space="preserve">Para atender las situaciones antes comentadas, </w:t>
      </w:r>
      <w:r w:rsidR="00D97C99" w:rsidRPr="00B14F66">
        <w:rPr>
          <w:rFonts w:ascii="Book Antiqua" w:hAnsi="Book Antiqua"/>
          <w:sz w:val="24"/>
          <w:szCs w:val="24"/>
        </w:rPr>
        <w:t>se propone enmendar la Ley Núm. 2</w:t>
      </w:r>
      <w:r w:rsidR="00D97C99">
        <w:rPr>
          <w:rFonts w:ascii="Book Antiqua" w:hAnsi="Book Antiqua"/>
          <w:sz w:val="24"/>
          <w:szCs w:val="24"/>
        </w:rPr>
        <w:t>, antes mencionada,</w:t>
      </w:r>
      <w:r w:rsidR="00D97C99" w:rsidRPr="00B14F66">
        <w:rPr>
          <w:rFonts w:ascii="Book Antiqua" w:hAnsi="Book Antiqua"/>
          <w:sz w:val="24"/>
          <w:szCs w:val="24"/>
        </w:rPr>
        <w:t xml:space="preserve"> </w:t>
      </w:r>
      <w:r w:rsidR="00B326C2">
        <w:rPr>
          <w:rFonts w:ascii="Book Antiqua" w:hAnsi="Book Antiqua"/>
          <w:sz w:val="24"/>
          <w:szCs w:val="24"/>
        </w:rPr>
        <w:t>reafirmando la</w:t>
      </w:r>
      <w:r w:rsidR="00D97C99" w:rsidRPr="00B14F66">
        <w:rPr>
          <w:rFonts w:ascii="Book Antiqua" w:hAnsi="Book Antiqua"/>
          <w:sz w:val="24"/>
          <w:szCs w:val="24"/>
        </w:rPr>
        <w:t xml:space="preserve"> intención legislativa original</w:t>
      </w:r>
      <w:r w:rsidR="00D97C99">
        <w:rPr>
          <w:rFonts w:ascii="Book Antiqua" w:hAnsi="Book Antiqua"/>
          <w:sz w:val="24"/>
          <w:szCs w:val="24"/>
        </w:rPr>
        <w:t xml:space="preserve">, </w:t>
      </w:r>
      <w:r w:rsidR="00B326C2">
        <w:rPr>
          <w:rFonts w:ascii="Book Antiqua" w:hAnsi="Book Antiqua"/>
          <w:sz w:val="24"/>
          <w:szCs w:val="24"/>
        </w:rPr>
        <w:t xml:space="preserve">e </w:t>
      </w:r>
      <w:r w:rsidR="00D97C99">
        <w:rPr>
          <w:rFonts w:ascii="Book Antiqua" w:hAnsi="Book Antiqua"/>
          <w:sz w:val="24"/>
          <w:szCs w:val="24"/>
        </w:rPr>
        <w:t>indicando</w:t>
      </w:r>
      <w:r w:rsidR="00D97C99" w:rsidRPr="00B14F66">
        <w:rPr>
          <w:rFonts w:ascii="Book Antiqua" w:hAnsi="Book Antiqua"/>
          <w:sz w:val="24"/>
          <w:szCs w:val="24"/>
        </w:rPr>
        <w:t xml:space="preserve"> que el </w:t>
      </w:r>
      <w:r w:rsidR="00D97C99" w:rsidRPr="00B14F66">
        <w:rPr>
          <w:rFonts w:ascii="Book Antiqua" w:hAnsi="Book Antiqua"/>
          <w:sz w:val="24"/>
          <w:szCs w:val="24"/>
        </w:rPr>
        <w:lastRenderedPageBreak/>
        <w:t>procedimiento sumario está reservado exclusivamente para aquellas reclamaciones laborales de índole salarial que sean sencillas, liquidadas y susceptibles de resolución expedita. Asimismo, se establece de manera expresa que reclamaciones complejas, tales como las basadas en discrimen, represalias, hostigamiento, daños y otros fundamentos similares, deben tramitarse por la vía ordinaria. Se aclara también el tratamiento de las mociones de desestimación, disponiéndose que su presentación interrumpe el término para contestar la querella y que el tribunal deberá resolverlas con carácter prioritario, sin que ello implique la renuncia del querellado a sus demás defensas.</w:t>
      </w:r>
    </w:p>
    <w:p w14:paraId="12D468DE" w14:textId="77777777" w:rsidR="00ED6F18" w:rsidRDefault="00ED6F18" w:rsidP="00ED6F18">
      <w:pPr>
        <w:spacing w:after="0" w:line="240" w:lineRule="auto"/>
        <w:jc w:val="both"/>
        <w:rPr>
          <w:rFonts w:ascii="Book Antiqua" w:hAnsi="Book Antiqua"/>
          <w:color w:val="000000"/>
          <w:sz w:val="24"/>
          <w:szCs w:val="24"/>
        </w:rPr>
      </w:pPr>
    </w:p>
    <w:p w14:paraId="34775FDE" w14:textId="48F0347B" w:rsidR="00472793" w:rsidRDefault="00472793" w:rsidP="007B3187">
      <w:pPr>
        <w:spacing w:after="0" w:line="240" w:lineRule="auto"/>
        <w:jc w:val="both"/>
        <w:rPr>
          <w:rFonts w:ascii="Book Antiqua" w:hAnsi="Book Antiqua"/>
          <w:sz w:val="24"/>
          <w:szCs w:val="24"/>
        </w:rPr>
      </w:pPr>
      <w:r>
        <w:rPr>
          <w:rFonts w:ascii="Book Antiqua" w:hAnsi="Book Antiqua"/>
          <w:color w:val="000000"/>
          <w:sz w:val="24"/>
          <w:szCs w:val="24"/>
        </w:rPr>
        <w:t>Como parte del análisis legislativo, se le pidieron memoriales a</w:t>
      </w:r>
      <w:r w:rsidR="00241A7D">
        <w:rPr>
          <w:rFonts w:ascii="Book Antiqua" w:hAnsi="Book Antiqua"/>
          <w:color w:val="000000"/>
          <w:sz w:val="24"/>
          <w:szCs w:val="24"/>
        </w:rPr>
        <w:t>l</w:t>
      </w:r>
      <w:r w:rsidR="00E16079">
        <w:rPr>
          <w:rFonts w:ascii="Book Antiqua" w:hAnsi="Book Antiqua"/>
          <w:color w:val="000000"/>
          <w:sz w:val="24"/>
          <w:szCs w:val="24"/>
        </w:rPr>
        <w:t xml:space="preserve"> Departamento de Justicia,</w:t>
      </w:r>
      <w:r w:rsidR="00922823">
        <w:rPr>
          <w:rFonts w:ascii="Book Antiqua" w:hAnsi="Book Antiqua"/>
          <w:color w:val="000000"/>
          <w:sz w:val="24"/>
          <w:szCs w:val="24"/>
        </w:rPr>
        <w:t xml:space="preserve"> al</w:t>
      </w:r>
      <w:r w:rsidR="00241A7D">
        <w:rPr>
          <w:rFonts w:ascii="Book Antiqua" w:hAnsi="Book Antiqua"/>
          <w:color w:val="000000"/>
          <w:sz w:val="24"/>
          <w:szCs w:val="24"/>
        </w:rPr>
        <w:t xml:space="preserve"> Departamento del Trabajo y Recursos Humanos (DTHR)</w:t>
      </w:r>
      <w:r w:rsidR="009B7C9F">
        <w:rPr>
          <w:rFonts w:ascii="Book Antiqua" w:hAnsi="Book Antiqua"/>
          <w:color w:val="000000"/>
          <w:sz w:val="24"/>
          <w:szCs w:val="24"/>
        </w:rPr>
        <w:t>, a la Oficina de Administración de los Tribunales (OAT)</w:t>
      </w:r>
      <w:r w:rsidR="0067084B">
        <w:rPr>
          <w:rFonts w:ascii="Book Antiqua" w:hAnsi="Book Antiqua"/>
          <w:color w:val="000000"/>
          <w:sz w:val="24"/>
          <w:szCs w:val="24"/>
        </w:rPr>
        <w:t xml:space="preserve">, al Colegio de </w:t>
      </w:r>
      <w:proofErr w:type="gramStart"/>
      <w:r w:rsidR="0067084B">
        <w:rPr>
          <w:rFonts w:ascii="Book Antiqua" w:hAnsi="Book Antiqua"/>
          <w:color w:val="000000"/>
          <w:sz w:val="24"/>
          <w:szCs w:val="24"/>
        </w:rPr>
        <w:t>Abogados y Abogadas</w:t>
      </w:r>
      <w:proofErr w:type="gramEnd"/>
      <w:r w:rsidR="0067084B">
        <w:rPr>
          <w:rFonts w:ascii="Book Antiqua" w:hAnsi="Book Antiqua"/>
          <w:color w:val="000000"/>
          <w:sz w:val="24"/>
          <w:szCs w:val="24"/>
        </w:rPr>
        <w:t xml:space="preserve"> de Puerto Rico</w:t>
      </w:r>
      <w:r w:rsidR="00241A7D">
        <w:rPr>
          <w:rFonts w:ascii="Book Antiqua" w:hAnsi="Book Antiqua"/>
          <w:color w:val="000000"/>
          <w:sz w:val="24"/>
          <w:szCs w:val="24"/>
        </w:rPr>
        <w:t xml:space="preserve"> y a la Oficina de Administración y Transformación de los Recursos Humanos (OATRH). </w:t>
      </w:r>
    </w:p>
    <w:p w14:paraId="731BADD0" w14:textId="77777777" w:rsidR="0023263A" w:rsidRPr="0023263A" w:rsidRDefault="0023263A" w:rsidP="007B3187">
      <w:pPr>
        <w:spacing w:after="0" w:line="240" w:lineRule="auto"/>
        <w:jc w:val="both"/>
        <w:rPr>
          <w:rFonts w:ascii="Book Antiqua" w:hAnsi="Book Antiqua"/>
          <w:sz w:val="24"/>
          <w:szCs w:val="24"/>
        </w:rPr>
      </w:pPr>
    </w:p>
    <w:p w14:paraId="233E41E6" w14:textId="0D0F1115" w:rsidR="001034CA" w:rsidRDefault="001034CA" w:rsidP="007B3187">
      <w:pPr>
        <w:spacing w:after="0" w:line="240" w:lineRule="auto"/>
        <w:jc w:val="center"/>
        <w:rPr>
          <w:rFonts w:ascii="Book Antiqua" w:hAnsi="Book Antiqua"/>
          <w:b/>
          <w:bCs/>
          <w:sz w:val="24"/>
          <w:szCs w:val="24"/>
        </w:rPr>
      </w:pPr>
      <w:r>
        <w:rPr>
          <w:rFonts w:ascii="Book Antiqua" w:hAnsi="Book Antiqua"/>
          <w:b/>
          <w:bCs/>
          <w:sz w:val="24"/>
          <w:szCs w:val="24"/>
        </w:rPr>
        <w:t>DEPARTAMENTO DE JUSTICIA</w:t>
      </w:r>
    </w:p>
    <w:p w14:paraId="1ED5485E" w14:textId="77777777" w:rsidR="0030596E" w:rsidRDefault="0030596E" w:rsidP="007B3187">
      <w:pPr>
        <w:spacing w:after="0" w:line="240" w:lineRule="auto"/>
        <w:jc w:val="center"/>
        <w:rPr>
          <w:rFonts w:ascii="Book Antiqua" w:hAnsi="Book Antiqua"/>
          <w:b/>
          <w:bCs/>
          <w:sz w:val="24"/>
          <w:szCs w:val="24"/>
        </w:rPr>
      </w:pPr>
    </w:p>
    <w:p w14:paraId="6CA4784F" w14:textId="3A1B3CD4" w:rsidR="009074FE" w:rsidRPr="00C25C4E" w:rsidRDefault="009074FE" w:rsidP="009074FE">
      <w:pPr>
        <w:tabs>
          <w:tab w:val="num" w:pos="720"/>
          <w:tab w:val="num" w:pos="1440"/>
        </w:tabs>
        <w:spacing w:after="0" w:line="240" w:lineRule="auto"/>
        <w:jc w:val="both"/>
        <w:rPr>
          <w:rFonts w:ascii="Book Antiqua" w:hAnsi="Book Antiqua"/>
          <w:sz w:val="24"/>
          <w:szCs w:val="24"/>
        </w:rPr>
      </w:pPr>
      <w:r w:rsidRPr="00C25C4E">
        <w:rPr>
          <w:rFonts w:ascii="Book Antiqua" w:eastAsia="Times New Roman" w:hAnsi="Book Antiqua"/>
          <w:bCs/>
          <w:sz w:val="24"/>
          <w:szCs w:val="24"/>
          <w:lang w:val="es-ES"/>
        </w:rPr>
        <w:t xml:space="preserve">El Departamento </w:t>
      </w:r>
      <w:r w:rsidR="00F22A38" w:rsidRPr="00C25C4E">
        <w:rPr>
          <w:rFonts w:ascii="Book Antiqua" w:eastAsia="Times New Roman" w:hAnsi="Book Antiqua"/>
          <w:bCs/>
          <w:sz w:val="24"/>
          <w:szCs w:val="24"/>
          <w:lang w:val="es-ES"/>
        </w:rPr>
        <w:t>de Justicia</w:t>
      </w:r>
      <w:r w:rsidRPr="00C25C4E">
        <w:rPr>
          <w:rFonts w:ascii="Book Antiqua" w:eastAsia="Times New Roman" w:hAnsi="Book Antiqua"/>
          <w:bCs/>
          <w:sz w:val="24"/>
          <w:szCs w:val="24"/>
          <w:lang w:val="es-ES"/>
        </w:rPr>
        <w:t>,</w:t>
      </w:r>
      <w:r w:rsidRPr="00C25C4E">
        <w:rPr>
          <w:rFonts w:ascii="Book Antiqua" w:hAnsi="Book Antiqua"/>
          <w:sz w:val="24"/>
          <w:szCs w:val="24"/>
        </w:rPr>
        <w:t xml:space="preserve"> presentó su memorial explicativo para el P. de la C. 494, </w:t>
      </w:r>
      <w:r w:rsidR="00D3084D">
        <w:rPr>
          <w:rFonts w:ascii="Book Antiqua" w:hAnsi="Book Antiqua"/>
          <w:sz w:val="24"/>
          <w:szCs w:val="24"/>
        </w:rPr>
        <w:t xml:space="preserve">por medio de su </w:t>
      </w:r>
      <w:r w:rsidR="00E53232">
        <w:rPr>
          <w:rFonts w:ascii="Book Antiqua" w:hAnsi="Book Antiqua"/>
          <w:sz w:val="24"/>
          <w:szCs w:val="24"/>
        </w:rPr>
        <w:t xml:space="preserve">entonces </w:t>
      </w:r>
      <w:r w:rsidR="00D3084D">
        <w:rPr>
          <w:rFonts w:ascii="Book Antiqua" w:hAnsi="Book Antiqua"/>
          <w:sz w:val="24"/>
          <w:szCs w:val="24"/>
        </w:rPr>
        <w:t xml:space="preserve">subsecretario, </w:t>
      </w:r>
      <w:r w:rsidR="004B36ED">
        <w:rPr>
          <w:rFonts w:ascii="Book Antiqua" w:hAnsi="Book Antiqua"/>
          <w:sz w:val="24"/>
          <w:szCs w:val="24"/>
        </w:rPr>
        <w:t>Héctor</w:t>
      </w:r>
      <w:r w:rsidR="00D3084D">
        <w:rPr>
          <w:rFonts w:ascii="Book Antiqua" w:hAnsi="Book Antiqua"/>
          <w:sz w:val="24"/>
          <w:szCs w:val="24"/>
        </w:rPr>
        <w:t xml:space="preserve"> </w:t>
      </w:r>
      <w:proofErr w:type="spellStart"/>
      <w:r w:rsidR="00D3084D">
        <w:rPr>
          <w:rFonts w:ascii="Book Antiqua" w:hAnsi="Book Antiqua"/>
          <w:sz w:val="24"/>
          <w:szCs w:val="24"/>
        </w:rPr>
        <w:t>Siaca</w:t>
      </w:r>
      <w:proofErr w:type="spellEnd"/>
      <w:r w:rsidR="00D3084D">
        <w:rPr>
          <w:rFonts w:ascii="Book Antiqua" w:hAnsi="Book Antiqua"/>
          <w:sz w:val="24"/>
          <w:szCs w:val="24"/>
        </w:rPr>
        <w:t xml:space="preserve"> Flores, expresando </w:t>
      </w:r>
      <w:r w:rsidR="007B2F1E" w:rsidRPr="00C25C4E">
        <w:rPr>
          <w:rFonts w:ascii="Book Antiqua" w:hAnsi="Book Antiqua"/>
          <w:sz w:val="24"/>
          <w:szCs w:val="24"/>
        </w:rPr>
        <w:t>que la medida persigue un fin loable</w:t>
      </w:r>
      <w:r w:rsidR="005A348A" w:rsidRPr="00C25C4E">
        <w:rPr>
          <w:rFonts w:ascii="Book Antiqua" w:hAnsi="Book Antiqua"/>
          <w:sz w:val="24"/>
          <w:szCs w:val="24"/>
        </w:rPr>
        <w:t xml:space="preserve"> y presentando recomendaciones y comentarios a la misma</w:t>
      </w:r>
      <w:r w:rsidRPr="00C25C4E">
        <w:rPr>
          <w:rFonts w:ascii="Book Antiqua" w:hAnsi="Book Antiqua"/>
          <w:sz w:val="24"/>
          <w:szCs w:val="24"/>
        </w:rPr>
        <w:t>.</w:t>
      </w:r>
    </w:p>
    <w:p w14:paraId="6D3308C3" w14:textId="77777777" w:rsidR="00735E78" w:rsidRPr="00C25C4E" w:rsidRDefault="00735E78" w:rsidP="009074FE">
      <w:pPr>
        <w:tabs>
          <w:tab w:val="num" w:pos="720"/>
          <w:tab w:val="num" w:pos="1440"/>
        </w:tabs>
        <w:spacing w:after="0" w:line="240" w:lineRule="auto"/>
        <w:jc w:val="both"/>
        <w:rPr>
          <w:rFonts w:ascii="Book Antiqua" w:hAnsi="Book Antiqua"/>
          <w:sz w:val="24"/>
          <w:szCs w:val="24"/>
        </w:rPr>
      </w:pPr>
    </w:p>
    <w:p w14:paraId="20476F92" w14:textId="624F477D" w:rsidR="00735E78" w:rsidRDefault="00376380" w:rsidP="009074FE">
      <w:pPr>
        <w:tabs>
          <w:tab w:val="num" w:pos="720"/>
          <w:tab w:val="num" w:pos="1440"/>
        </w:tabs>
        <w:spacing w:after="0" w:line="240" w:lineRule="auto"/>
        <w:jc w:val="both"/>
        <w:rPr>
          <w:rFonts w:ascii="Book Antiqua" w:hAnsi="Book Antiqua"/>
          <w:sz w:val="24"/>
          <w:szCs w:val="24"/>
        </w:rPr>
      </w:pPr>
      <w:r w:rsidRPr="00C25C4E">
        <w:rPr>
          <w:rFonts w:ascii="Book Antiqua" w:hAnsi="Book Antiqua"/>
          <w:sz w:val="24"/>
          <w:szCs w:val="24"/>
        </w:rPr>
        <w:t xml:space="preserve">Comienza </w:t>
      </w:r>
      <w:r w:rsidR="00B10212" w:rsidRPr="00C25C4E">
        <w:rPr>
          <w:rFonts w:ascii="Book Antiqua" w:hAnsi="Book Antiqua"/>
          <w:sz w:val="24"/>
          <w:szCs w:val="24"/>
        </w:rPr>
        <w:t>indicando que la Ley Núm. 2</w:t>
      </w:r>
      <w:r w:rsidR="00511F84" w:rsidRPr="00C25C4E">
        <w:rPr>
          <w:rFonts w:ascii="Book Antiqua" w:hAnsi="Book Antiqua"/>
          <w:sz w:val="24"/>
          <w:szCs w:val="24"/>
        </w:rPr>
        <w:t xml:space="preserve"> del 17 de octubre de 1961, según enmendada, </w:t>
      </w:r>
      <w:r w:rsidR="00124D4E" w:rsidRPr="00C25C4E">
        <w:rPr>
          <w:rFonts w:ascii="Book Antiqua" w:hAnsi="Book Antiqua"/>
          <w:sz w:val="24"/>
          <w:szCs w:val="24"/>
        </w:rPr>
        <w:t xml:space="preserve">establece </w:t>
      </w:r>
      <w:r w:rsidR="005D10CD" w:rsidRPr="00C25C4E">
        <w:rPr>
          <w:rFonts w:ascii="Book Antiqua" w:hAnsi="Book Antiqua"/>
          <w:sz w:val="24"/>
          <w:szCs w:val="24"/>
        </w:rPr>
        <w:t>un procedimiento sumario para los casos de reclamaciones de obreros y empleados contra sus patronos por servicios prestados</w:t>
      </w:r>
      <w:r w:rsidR="001C7AA1" w:rsidRPr="00C25C4E">
        <w:rPr>
          <w:rFonts w:ascii="Book Antiqua" w:hAnsi="Book Antiqua"/>
          <w:sz w:val="24"/>
          <w:szCs w:val="24"/>
        </w:rPr>
        <w:t xml:space="preserve">; e indica que </w:t>
      </w:r>
      <w:r w:rsidR="00AF76BF" w:rsidRPr="00C25C4E">
        <w:rPr>
          <w:rFonts w:ascii="Book Antiqua" w:hAnsi="Book Antiqua"/>
          <w:sz w:val="24"/>
          <w:szCs w:val="24"/>
        </w:rPr>
        <w:t xml:space="preserve">la Legislatura creó </w:t>
      </w:r>
      <w:r w:rsidR="00486E65" w:rsidRPr="00C25C4E">
        <w:rPr>
          <w:rFonts w:ascii="Book Antiqua" w:hAnsi="Book Antiqua"/>
          <w:sz w:val="24"/>
          <w:szCs w:val="24"/>
        </w:rPr>
        <w:t>varias limitaciones procesales, entre las que incluye un plazo corto tanto para la contestación de la querella como para solicitar la prórroga de esta</w:t>
      </w:r>
      <w:r w:rsidR="00C25C4E" w:rsidRPr="00C25C4E">
        <w:rPr>
          <w:rFonts w:ascii="Book Antiqua" w:hAnsi="Book Antiqua"/>
          <w:sz w:val="24"/>
          <w:szCs w:val="24"/>
        </w:rPr>
        <w:t>.</w:t>
      </w:r>
    </w:p>
    <w:p w14:paraId="3F771F8D" w14:textId="77777777" w:rsidR="00977A75" w:rsidRDefault="00977A75" w:rsidP="009074FE">
      <w:pPr>
        <w:tabs>
          <w:tab w:val="num" w:pos="720"/>
          <w:tab w:val="num" w:pos="1440"/>
        </w:tabs>
        <w:spacing w:after="0" w:line="240" w:lineRule="auto"/>
        <w:jc w:val="both"/>
        <w:rPr>
          <w:rFonts w:ascii="Book Antiqua" w:hAnsi="Book Antiqua"/>
          <w:sz w:val="24"/>
          <w:szCs w:val="24"/>
        </w:rPr>
      </w:pPr>
    </w:p>
    <w:p w14:paraId="6A920C48" w14:textId="6550B8A3" w:rsidR="00977A75" w:rsidRDefault="00977A75" w:rsidP="009074FE">
      <w:pPr>
        <w:tabs>
          <w:tab w:val="num" w:pos="720"/>
          <w:tab w:val="num" w:pos="1440"/>
        </w:tabs>
        <w:spacing w:after="0" w:line="240" w:lineRule="auto"/>
        <w:jc w:val="both"/>
        <w:rPr>
          <w:rFonts w:ascii="Book Antiqua" w:eastAsia="Times New Roman" w:hAnsi="Book Antiqua" w:cs="Times New Roman"/>
          <w:sz w:val="24"/>
          <w:szCs w:val="24"/>
        </w:rPr>
      </w:pPr>
      <w:r w:rsidRPr="00352238">
        <w:rPr>
          <w:rFonts w:ascii="Book Antiqua" w:hAnsi="Book Antiqua"/>
          <w:sz w:val="24"/>
          <w:szCs w:val="24"/>
        </w:rPr>
        <w:t>Como parte de las particularidades del procedimiento sumario, mencionan que la Sección 3 de la citada Ley</w:t>
      </w:r>
      <w:r w:rsidR="00DE3D05" w:rsidRPr="00352238">
        <w:rPr>
          <w:rFonts w:ascii="Book Antiqua" w:hAnsi="Book Antiqua"/>
          <w:sz w:val="24"/>
          <w:szCs w:val="24"/>
        </w:rPr>
        <w:t xml:space="preserve">, </w:t>
      </w:r>
      <w:r w:rsidR="00AC2BDD" w:rsidRPr="00352238">
        <w:rPr>
          <w:rFonts w:ascii="Book Antiqua" w:eastAsia="Times New Roman" w:hAnsi="Book Antiqua" w:cs="Times New Roman"/>
          <w:sz w:val="24"/>
          <w:szCs w:val="24"/>
        </w:rPr>
        <w:t>dispone que el querellado tendrá una sola alegación responsiva en la cual deberá incluir todas sus defensas y objeciones, entendiéndose que renuncia a todas las defensas u objeciones que no incluya en dicha alegación responsiva</w:t>
      </w:r>
      <w:r w:rsidR="00352238" w:rsidRPr="00352238">
        <w:rPr>
          <w:rFonts w:ascii="Book Antiqua" w:eastAsia="Times New Roman" w:hAnsi="Book Antiqua" w:cs="Times New Roman"/>
          <w:sz w:val="24"/>
          <w:szCs w:val="24"/>
        </w:rPr>
        <w:t>.</w:t>
      </w:r>
    </w:p>
    <w:p w14:paraId="55B4AB52" w14:textId="77777777" w:rsidR="00352238" w:rsidRDefault="00352238" w:rsidP="009074FE">
      <w:pPr>
        <w:tabs>
          <w:tab w:val="num" w:pos="720"/>
          <w:tab w:val="num" w:pos="1440"/>
        </w:tabs>
        <w:spacing w:after="0" w:line="240" w:lineRule="auto"/>
        <w:jc w:val="both"/>
        <w:rPr>
          <w:rFonts w:ascii="Book Antiqua" w:eastAsia="Times New Roman" w:hAnsi="Book Antiqua" w:cs="Times New Roman"/>
          <w:sz w:val="24"/>
          <w:szCs w:val="24"/>
        </w:rPr>
      </w:pPr>
    </w:p>
    <w:p w14:paraId="731B8EEE" w14:textId="44F08383" w:rsidR="00352238" w:rsidRDefault="00993EB9" w:rsidP="009074FE">
      <w:pPr>
        <w:tabs>
          <w:tab w:val="num" w:pos="720"/>
          <w:tab w:val="num" w:pos="1440"/>
        </w:tabs>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Departamento </w:t>
      </w:r>
      <w:r w:rsidR="00890FAA">
        <w:rPr>
          <w:rFonts w:ascii="Book Antiqua" w:eastAsia="Times New Roman" w:hAnsi="Book Antiqua" w:cs="Times New Roman"/>
          <w:sz w:val="24"/>
          <w:szCs w:val="24"/>
        </w:rPr>
        <w:t>trae a la atención de esta Comisión el hecho de que el Tribunal Supremo ha atendido</w:t>
      </w:r>
      <w:r w:rsidR="00CC0EFA">
        <w:rPr>
          <w:rFonts w:ascii="Book Antiqua" w:eastAsia="Times New Roman" w:hAnsi="Book Antiqua" w:cs="Times New Roman"/>
          <w:sz w:val="24"/>
          <w:szCs w:val="24"/>
        </w:rPr>
        <w:t>, interpretado</w:t>
      </w:r>
      <w:r w:rsidR="00890FAA">
        <w:rPr>
          <w:rFonts w:ascii="Book Antiqua" w:eastAsia="Times New Roman" w:hAnsi="Book Antiqua" w:cs="Times New Roman"/>
          <w:sz w:val="24"/>
          <w:szCs w:val="24"/>
        </w:rPr>
        <w:t xml:space="preserve"> </w:t>
      </w:r>
      <w:r w:rsidR="00CC0EFA">
        <w:rPr>
          <w:rFonts w:ascii="Book Antiqua" w:eastAsia="Times New Roman" w:hAnsi="Book Antiqua" w:cs="Times New Roman"/>
          <w:sz w:val="24"/>
          <w:szCs w:val="24"/>
        </w:rPr>
        <w:t xml:space="preserve">y validado las disposiciones de la Ley Núm. 2, </w:t>
      </w:r>
      <w:r w:rsidR="00CC0EFA" w:rsidRPr="00C001E7">
        <w:rPr>
          <w:rFonts w:ascii="Book Antiqua" w:eastAsia="Times New Roman" w:hAnsi="Book Antiqua" w:cs="Times New Roman"/>
          <w:sz w:val="24"/>
          <w:szCs w:val="24"/>
        </w:rPr>
        <w:t>supra</w:t>
      </w:r>
      <w:r w:rsidR="00C001E7">
        <w:rPr>
          <w:rFonts w:ascii="Book Antiqua" w:eastAsia="Times New Roman" w:hAnsi="Book Antiqua" w:cs="Times New Roman"/>
          <w:sz w:val="24"/>
          <w:szCs w:val="24"/>
        </w:rPr>
        <w:t xml:space="preserve">, </w:t>
      </w:r>
      <w:r w:rsidR="00890FAA" w:rsidRPr="00C001E7">
        <w:rPr>
          <w:rFonts w:ascii="Book Antiqua" w:eastAsia="Times New Roman" w:hAnsi="Book Antiqua" w:cs="Times New Roman"/>
          <w:sz w:val="24"/>
          <w:szCs w:val="24"/>
        </w:rPr>
        <w:t>en</w:t>
      </w:r>
      <w:r w:rsidR="00890FAA">
        <w:rPr>
          <w:rFonts w:ascii="Book Antiqua" w:eastAsia="Times New Roman" w:hAnsi="Book Antiqua" w:cs="Times New Roman"/>
          <w:sz w:val="24"/>
          <w:szCs w:val="24"/>
        </w:rPr>
        <w:t xml:space="preserve"> reiteradas o</w:t>
      </w:r>
      <w:r w:rsidR="00C001E7">
        <w:rPr>
          <w:rFonts w:ascii="Book Antiqua" w:eastAsia="Times New Roman" w:hAnsi="Book Antiqua" w:cs="Times New Roman"/>
          <w:sz w:val="24"/>
          <w:szCs w:val="24"/>
        </w:rPr>
        <w:t xml:space="preserve">casiones; siendo la última de ellas en el caso </w:t>
      </w:r>
      <w:r w:rsidR="00C001E7">
        <w:rPr>
          <w:rFonts w:ascii="Book Antiqua" w:eastAsia="Times New Roman" w:hAnsi="Book Antiqua" w:cs="Times New Roman"/>
          <w:i/>
          <w:iCs/>
          <w:sz w:val="24"/>
          <w:szCs w:val="24"/>
        </w:rPr>
        <w:t xml:space="preserve">Collazo Muñiz v. New </w:t>
      </w:r>
      <w:proofErr w:type="spellStart"/>
      <w:r w:rsidR="00C001E7">
        <w:rPr>
          <w:rFonts w:ascii="Book Antiqua" w:eastAsia="Times New Roman" w:hAnsi="Book Antiqua" w:cs="Times New Roman"/>
          <w:i/>
          <w:iCs/>
          <w:sz w:val="24"/>
          <w:szCs w:val="24"/>
        </w:rPr>
        <w:t>Fashion</w:t>
      </w:r>
      <w:proofErr w:type="spellEnd"/>
      <w:r w:rsidR="00C001E7">
        <w:rPr>
          <w:rFonts w:ascii="Book Antiqua" w:eastAsia="Times New Roman" w:hAnsi="Book Antiqua" w:cs="Times New Roman"/>
          <w:i/>
          <w:iCs/>
          <w:sz w:val="24"/>
          <w:szCs w:val="24"/>
        </w:rPr>
        <w:t xml:space="preserve"> </w:t>
      </w:r>
      <w:proofErr w:type="spellStart"/>
      <w:r w:rsidR="00C001E7">
        <w:rPr>
          <w:rFonts w:ascii="Book Antiqua" w:eastAsia="Times New Roman" w:hAnsi="Book Antiqua" w:cs="Times New Roman"/>
          <w:i/>
          <w:iCs/>
          <w:sz w:val="24"/>
          <w:szCs w:val="24"/>
        </w:rPr>
        <w:t>World</w:t>
      </w:r>
      <w:proofErr w:type="spellEnd"/>
      <w:r w:rsidR="00C001E7">
        <w:rPr>
          <w:rFonts w:ascii="Book Antiqua" w:eastAsia="Times New Roman" w:hAnsi="Book Antiqua" w:cs="Times New Roman"/>
          <w:i/>
          <w:iCs/>
          <w:sz w:val="24"/>
          <w:szCs w:val="24"/>
        </w:rPr>
        <w:t xml:space="preserve"> </w:t>
      </w:r>
      <w:proofErr w:type="spellStart"/>
      <w:r w:rsidR="00C001E7">
        <w:rPr>
          <w:rFonts w:ascii="Book Antiqua" w:eastAsia="Times New Roman" w:hAnsi="Book Antiqua" w:cs="Times New Roman"/>
          <w:i/>
          <w:iCs/>
          <w:sz w:val="24"/>
          <w:szCs w:val="24"/>
        </w:rPr>
        <w:t>Corporation</w:t>
      </w:r>
      <w:proofErr w:type="spellEnd"/>
      <w:r w:rsidR="007E58DD">
        <w:rPr>
          <w:rFonts w:ascii="Book Antiqua" w:eastAsia="Times New Roman" w:hAnsi="Book Antiqua" w:cs="Times New Roman"/>
          <w:i/>
          <w:iCs/>
          <w:sz w:val="24"/>
          <w:szCs w:val="24"/>
        </w:rPr>
        <w:t xml:space="preserve">, </w:t>
      </w:r>
      <w:r w:rsidR="007E58DD">
        <w:rPr>
          <w:rFonts w:ascii="Book Antiqua" w:eastAsia="Times New Roman" w:hAnsi="Book Antiqua" w:cs="Times New Roman"/>
          <w:sz w:val="24"/>
          <w:szCs w:val="24"/>
        </w:rPr>
        <w:t>2025 TSPR 22</w:t>
      </w:r>
      <w:r w:rsidR="00C61EF2">
        <w:rPr>
          <w:rFonts w:ascii="Book Antiqua" w:eastAsia="Times New Roman" w:hAnsi="Book Antiqua" w:cs="Times New Roman"/>
          <w:sz w:val="24"/>
          <w:szCs w:val="24"/>
        </w:rPr>
        <w:t>.</w:t>
      </w:r>
      <w:r w:rsidR="00C272D4">
        <w:rPr>
          <w:rFonts w:ascii="Book Antiqua" w:eastAsia="Times New Roman" w:hAnsi="Book Antiqua" w:cs="Times New Roman"/>
          <w:sz w:val="24"/>
          <w:szCs w:val="24"/>
        </w:rPr>
        <w:t xml:space="preserve"> En el citado caso, nuestro Más Alto Foro resolvió que el patrono solo puede presentar su contestación a querella y en la misma exponer las defensas afirmativas o presentar una solicitud de prórroga juramentada dentro del plazo de 10 o 15 días que fueran aplicables.</w:t>
      </w:r>
      <w:r w:rsidR="00CF751E">
        <w:rPr>
          <w:rFonts w:ascii="Book Antiqua" w:eastAsia="Times New Roman" w:hAnsi="Book Antiqua" w:cs="Times New Roman"/>
          <w:sz w:val="24"/>
          <w:szCs w:val="24"/>
        </w:rPr>
        <w:t xml:space="preserve"> Asimismo, se fundamentó en el principio de celeridad para resolver prontamente los pleitos laborales amparados en la Ley Núm. 2, antes citada.</w:t>
      </w:r>
    </w:p>
    <w:p w14:paraId="39409A89" w14:textId="77777777" w:rsidR="00CF751E" w:rsidRDefault="00CF751E" w:rsidP="009074FE">
      <w:pPr>
        <w:tabs>
          <w:tab w:val="num" w:pos="720"/>
          <w:tab w:val="num" w:pos="1440"/>
        </w:tabs>
        <w:spacing w:after="0" w:line="240" w:lineRule="auto"/>
        <w:jc w:val="both"/>
        <w:rPr>
          <w:rFonts w:ascii="Book Antiqua" w:eastAsia="Times New Roman" w:hAnsi="Book Antiqua" w:cs="Times New Roman"/>
          <w:sz w:val="24"/>
          <w:szCs w:val="24"/>
        </w:rPr>
      </w:pPr>
    </w:p>
    <w:p w14:paraId="750A055E" w14:textId="056754CE" w:rsidR="00CF751E" w:rsidRDefault="00C43E29" w:rsidP="009074FE">
      <w:pPr>
        <w:tabs>
          <w:tab w:val="num" w:pos="720"/>
          <w:tab w:val="num" w:pos="1440"/>
        </w:tabs>
        <w:spacing w:after="0" w:line="240" w:lineRule="auto"/>
        <w:jc w:val="both"/>
        <w:rPr>
          <w:rFonts w:ascii="Book Antiqua" w:eastAsia="Times New Roman" w:hAnsi="Book Antiqua" w:cs="Times New Roman"/>
          <w:sz w:val="24"/>
          <w:szCs w:val="24"/>
        </w:rPr>
      </w:pPr>
      <w:r w:rsidRPr="00B9489B">
        <w:rPr>
          <w:rFonts w:ascii="Book Antiqua" w:eastAsia="Times New Roman" w:hAnsi="Book Antiqua" w:cs="Times New Roman"/>
          <w:sz w:val="24"/>
          <w:szCs w:val="24"/>
        </w:rPr>
        <w:lastRenderedPageBreak/>
        <w:t xml:space="preserve">Por otra parte, el Departamento de Justicia enfatiza que </w:t>
      </w:r>
      <w:r w:rsidR="00B9489B" w:rsidRPr="00B9489B">
        <w:rPr>
          <w:rFonts w:ascii="Book Antiqua" w:eastAsia="Times New Roman" w:hAnsi="Book Antiqua" w:cs="Times New Roman"/>
          <w:sz w:val="24"/>
          <w:szCs w:val="24"/>
        </w:rPr>
        <w:t>el deber de los tribunales de evitar que se desvirtúe la naturaleza sumaria del trámite y fomenta</w:t>
      </w:r>
      <w:r w:rsidR="00B9489B">
        <w:rPr>
          <w:rFonts w:ascii="Book Antiqua" w:eastAsia="Times New Roman" w:hAnsi="Book Antiqua" w:cs="Times New Roman"/>
          <w:sz w:val="24"/>
          <w:szCs w:val="24"/>
        </w:rPr>
        <w:t>n</w:t>
      </w:r>
      <w:r w:rsidR="00B9489B" w:rsidRPr="00B9489B">
        <w:rPr>
          <w:rFonts w:ascii="Book Antiqua" w:eastAsia="Times New Roman" w:hAnsi="Book Antiqua" w:cs="Times New Roman"/>
          <w:sz w:val="24"/>
          <w:szCs w:val="24"/>
        </w:rPr>
        <w:t>do la intención del legislador en propiciar la rápida disposición de las reclamaciones laborales</w:t>
      </w:r>
      <w:r w:rsidR="00B16CA7">
        <w:rPr>
          <w:rFonts w:ascii="Book Antiqua" w:eastAsia="Times New Roman" w:hAnsi="Book Antiqua" w:cs="Times New Roman"/>
          <w:sz w:val="24"/>
          <w:szCs w:val="24"/>
        </w:rPr>
        <w:t>.</w:t>
      </w:r>
    </w:p>
    <w:p w14:paraId="5CEB8EFD" w14:textId="77777777" w:rsidR="001061B4" w:rsidRDefault="001061B4" w:rsidP="009074FE">
      <w:pPr>
        <w:tabs>
          <w:tab w:val="num" w:pos="720"/>
          <w:tab w:val="num" w:pos="1440"/>
        </w:tabs>
        <w:spacing w:after="0" w:line="240" w:lineRule="auto"/>
        <w:jc w:val="both"/>
        <w:rPr>
          <w:rFonts w:ascii="Book Antiqua" w:eastAsia="Times New Roman" w:hAnsi="Book Antiqua" w:cs="Times New Roman"/>
          <w:sz w:val="24"/>
          <w:szCs w:val="24"/>
        </w:rPr>
      </w:pPr>
    </w:p>
    <w:p w14:paraId="57ECC309" w14:textId="1B31B6C2" w:rsidR="001061B4" w:rsidRDefault="001061B4" w:rsidP="009074FE">
      <w:pPr>
        <w:tabs>
          <w:tab w:val="num" w:pos="720"/>
          <w:tab w:val="num" w:pos="1440"/>
        </w:tabs>
        <w:spacing w:after="0" w:line="240" w:lineRule="auto"/>
        <w:jc w:val="both"/>
        <w:rPr>
          <w:rFonts w:ascii="Book Antiqua" w:eastAsia="Times New Roman" w:hAnsi="Book Antiqua" w:cs="Times New Roman"/>
          <w:sz w:val="24"/>
          <w:szCs w:val="24"/>
        </w:rPr>
      </w:pPr>
      <w:r w:rsidRPr="00B626E9">
        <w:rPr>
          <w:rFonts w:ascii="Book Antiqua" w:eastAsia="Times New Roman" w:hAnsi="Book Antiqua" w:cs="Times New Roman"/>
          <w:sz w:val="24"/>
          <w:szCs w:val="24"/>
        </w:rPr>
        <w:t>En lo que concierne a</w:t>
      </w:r>
      <w:r w:rsidR="00B875BE" w:rsidRPr="00B626E9">
        <w:rPr>
          <w:rFonts w:ascii="Book Antiqua" w:eastAsia="Times New Roman" w:hAnsi="Book Antiqua" w:cs="Times New Roman"/>
          <w:sz w:val="24"/>
          <w:szCs w:val="24"/>
        </w:rPr>
        <w:t xml:space="preserve"> las enmiendas contenidas en la Sección 1 de la medida, </w:t>
      </w:r>
      <w:r w:rsidR="00B626E9" w:rsidRPr="00B626E9">
        <w:rPr>
          <w:rFonts w:ascii="Book Antiqua" w:eastAsia="Times New Roman" w:hAnsi="Book Antiqua" w:cs="Times New Roman"/>
          <w:sz w:val="24"/>
          <w:szCs w:val="24"/>
        </w:rPr>
        <w:t>con relación a</w:t>
      </w:r>
      <w:r w:rsidR="00E509E0" w:rsidRPr="00B626E9">
        <w:rPr>
          <w:rFonts w:ascii="Book Antiqua" w:eastAsia="Times New Roman" w:hAnsi="Book Antiqua" w:cs="Times New Roman"/>
          <w:sz w:val="24"/>
          <w:szCs w:val="24"/>
        </w:rPr>
        <w:t xml:space="preserve"> </w:t>
      </w:r>
      <w:r w:rsidR="00B626E9" w:rsidRPr="00B626E9">
        <w:rPr>
          <w:rFonts w:ascii="Book Antiqua" w:eastAsia="Times New Roman" w:hAnsi="Book Antiqua" w:cs="Times New Roman"/>
          <w:sz w:val="24"/>
          <w:szCs w:val="24"/>
        </w:rPr>
        <w:t>restringir del ámbito del procedimiento sumario a reclamaciones sobre: salarios dejados de devengar, licencias adeudadas, bono de navidad u otros acordados, horas extras, despido injustificado y cualquier otra reclamación salarial líquida y determinable</w:t>
      </w:r>
      <w:r w:rsidR="00D123F9">
        <w:rPr>
          <w:rFonts w:ascii="Book Antiqua" w:eastAsia="Times New Roman" w:hAnsi="Book Antiqua" w:cs="Times New Roman"/>
          <w:sz w:val="24"/>
          <w:szCs w:val="24"/>
        </w:rPr>
        <w:t>; y e</w:t>
      </w:r>
      <w:r w:rsidR="00B626E9" w:rsidRPr="00B626E9">
        <w:rPr>
          <w:rFonts w:ascii="Book Antiqua" w:eastAsia="Times New Roman" w:hAnsi="Book Antiqua" w:cs="Times New Roman"/>
          <w:sz w:val="24"/>
          <w:szCs w:val="24"/>
        </w:rPr>
        <w:t>stableciendo, que se excluyan del procedimiento sumario las siguientes causas de acción por: discrimen, represalias, daños, hostigamiento sexual, acoso laboral, difamación</w:t>
      </w:r>
      <w:r w:rsidR="00D123F9">
        <w:rPr>
          <w:rFonts w:ascii="Book Antiqua" w:eastAsia="Times New Roman" w:hAnsi="Book Antiqua" w:cs="Times New Roman"/>
          <w:sz w:val="24"/>
          <w:szCs w:val="24"/>
        </w:rPr>
        <w:t xml:space="preserve"> (las cuales </w:t>
      </w:r>
      <w:r w:rsidR="00B626E9" w:rsidRPr="00B626E9">
        <w:rPr>
          <w:rFonts w:ascii="Book Antiqua" w:eastAsia="Times New Roman" w:hAnsi="Book Antiqua" w:cs="Times New Roman"/>
          <w:sz w:val="24"/>
          <w:szCs w:val="24"/>
        </w:rPr>
        <w:t>deberán tramitarse mediante el procedimiento ordinario</w:t>
      </w:r>
      <w:r w:rsidR="00D123F9">
        <w:rPr>
          <w:rFonts w:ascii="Book Antiqua" w:eastAsia="Times New Roman" w:hAnsi="Book Antiqua" w:cs="Times New Roman"/>
          <w:sz w:val="24"/>
          <w:szCs w:val="24"/>
        </w:rPr>
        <w:t xml:space="preserve">), el Departamento de Justicia </w:t>
      </w:r>
      <w:r w:rsidR="00785F72">
        <w:rPr>
          <w:rFonts w:ascii="Book Antiqua" w:eastAsia="Times New Roman" w:hAnsi="Book Antiqua" w:cs="Times New Roman"/>
          <w:sz w:val="24"/>
          <w:szCs w:val="24"/>
        </w:rPr>
        <w:t xml:space="preserve">entiende que dicha limitación es una razonable y coherente con </w:t>
      </w:r>
      <w:r w:rsidR="00D66A6D">
        <w:rPr>
          <w:rFonts w:ascii="Book Antiqua" w:eastAsia="Times New Roman" w:hAnsi="Book Antiqua" w:cs="Times New Roman"/>
          <w:sz w:val="24"/>
          <w:szCs w:val="24"/>
        </w:rPr>
        <w:t>la intención original de la Ley Núm. 2, antes citada.</w:t>
      </w:r>
      <w:r w:rsidR="002C4759">
        <w:rPr>
          <w:rFonts w:ascii="Book Antiqua" w:eastAsia="Times New Roman" w:hAnsi="Book Antiqua" w:cs="Times New Roman"/>
          <w:sz w:val="24"/>
          <w:szCs w:val="24"/>
        </w:rPr>
        <w:t xml:space="preserve"> Incluso concluyen que </w:t>
      </w:r>
      <w:r w:rsidR="00892CBB">
        <w:rPr>
          <w:rFonts w:ascii="Book Antiqua" w:eastAsia="Times New Roman" w:hAnsi="Book Antiqua" w:cs="Times New Roman"/>
          <w:sz w:val="24"/>
          <w:szCs w:val="24"/>
        </w:rPr>
        <w:t>dichas limitaciones responden a un interés legítimo.</w:t>
      </w:r>
      <w:r w:rsidR="00DE4AD8">
        <w:rPr>
          <w:rFonts w:ascii="Book Antiqua" w:eastAsia="Times New Roman" w:hAnsi="Book Antiqua" w:cs="Times New Roman"/>
          <w:sz w:val="24"/>
          <w:szCs w:val="24"/>
        </w:rPr>
        <w:t xml:space="preserve"> No obstante, recomiendan que se atienda en la medida qué ocurriría con las reclamaciones mixtas</w:t>
      </w:r>
      <w:r w:rsidR="00274BDE">
        <w:rPr>
          <w:rFonts w:ascii="Book Antiqua" w:eastAsia="Times New Roman" w:hAnsi="Book Antiqua" w:cs="Times New Roman"/>
          <w:sz w:val="24"/>
          <w:szCs w:val="24"/>
        </w:rPr>
        <w:t>, en donde pueda ocurrir una bifurcación del proceso.</w:t>
      </w:r>
    </w:p>
    <w:p w14:paraId="68F5DCEB" w14:textId="77777777" w:rsidR="00CF5897" w:rsidRDefault="00CF5897" w:rsidP="009074FE">
      <w:pPr>
        <w:tabs>
          <w:tab w:val="num" w:pos="720"/>
          <w:tab w:val="num" w:pos="1440"/>
        </w:tabs>
        <w:spacing w:after="0" w:line="240" w:lineRule="auto"/>
        <w:jc w:val="both"/>
        <w:rPr>
          <w:rFonts w:ascii="Book Antiqua" w:eastAsia="Times New Roman" w:hAnsi="Book Antiqua" w:cs="Times New Roman"/>
          <w:sz w:val="24"/>
          <w:szCs w:val="24"/>
        </w:rPr>
      </w:pPr>
    </w:p>
    <w:p w14:paraId="30138071" w14:textId="5077B628" w:rsidR="00CF5897" w:rsidRDefault="00CF5897" w:rsidP="00176D07">
      <w:pPr>
        <w:tabs>
          <w:tab w:val="num" w:pos="720"/>
          <w:tab w:val="num" w:pos="1440"/>
        </w:tabs>
        <w:spacing w:after="0" w:line="240" w:lineRule="auto"/>
        <w:jc w:val="both"/>
        <w:rPr>
          <w:rFonts w:ascii="Book Antiqua" w:hAnsi="Book Antiqua"/>
          <w:sz w:val="24"/>
          <w:szCs w:val="24"/>
        </w:rPr>
      </w:pPr>
      <w:r w:rsidRPr="001555FE">
        <w:rPr>
          <w:rFonts w:ascii="Book Antiqua" w:eastAsia="Times New Roman" w:hAnsi="Book Antiqua" w:cs="Times New Roman"/>
          <w:sz w:val="24"/>
          <w:szCs w:val="24"/>
        </w:rPr>
        <w:t>En lo relativo a las mociones de desestimación, el Departamento de Justicia</w:t>
      </w:r>
      <w:r w:rsidR="001453DC" w:rsidRPr="001555FE">
        <w:rPr>
          <w:rFonts w:ascii="Book Antiqua" w:eastAsia="Times New Roman" w:hAnsi="Book Antiqua" w:cs="Times New Roman"/>
          <w:sz w:val="24"/>
          <w:szCs w:val="24"/>
        </w:rPr>
        <w:t xml:space="preserve"> indica que la imposición de un plazo mandatorio de diez días al tribunal para resolver</w:t>
      </w:r>
      <w:r w:rsidR="001555FE" w:rsidRPr="001555FE">
        <w:rPr>
          <w:rFonts w:ascii="Book Antiqua" w:eastAsia="Times New Roman" w:hAnsi="Book Antiqua" w:cs="Times New Roman"/>
          <w:sz w:val="24"/>
          <w:szCs w:val="24"/>
        </w:rPr>
        <w:t xml:space="preserve"> la moción podría ser cuestionada como una intromisión legislativa en la función judicial. Aunque </w:t>
      </w:r>
      <w:r w:rsidR="00A85481">
        <w:rPr>
          <w:rFonts w:ascii="Book Antiqua" w:eastAsia="Times New Roman" w:hAnsi="Book Antiqua" w:cs="Times New Roman"/>
          <w:sz w:val="24"/>
          <w:szCs w:val="24"/>
        </w:rPr>
        <w:t xml:space="preserve">reconocen que </w:t>
      </w:r>
      <w:r w:rsidR="001555FE" w:rsidRPr="001555FE">
        <w:rPr>
          <w:rFonts w:ascii="Book Antiqua" w:eastAsia="Times New Roman" w:hAnsi="Book Antiqua" w:cs="Times New Roman"/>
          <w:sz w:val="24"/>
          <w:szCs w:val="24"/>
        </w:rPr>
        <w:t xml:space="preserve">la Asamblea Legislativa puede establecer normas procesales, </w:t>
      </w:r>
      <w:r w:rsidR="00A85481">
        <w:rPr>
          <w:rFonts w:ascii="Book Antiqua" w:eastAsia="Times New Roman" w:hAnsi="Book Antiqua" w:cs="Times New Roman"/>
          <w:sz w:val="24"/>
          <w:szCs w:val="24"/>
        </w:rPr>
        <w:t xml:space="preserve">destacan que los </w:t>
      </w:r>
      <w:r w:rsidR="001555FE" w:rsidRPr="001555FE">
        <w:rPr>
          <w:rFonts w:ascii="Book Antiqua" w:eastAsia="Times New Roman" w:hAnsi="Book Antiqua" w:cs="Times New Roman"/>
          <w:sz w:val="24"/>
          <w:szCs w:val="24"/>
        </w:rPr>
        <w:t>tribunales tienen autonomía constitucional para manejar sus calendarios. Estimamos que dicha imposición podría afectar la doctrina de separación de poderes, por invadir la función judicial.</w:t>
      </w:r>
      <w:r w:rsidR="00D439DF">
        <w:rPr>
          <w:rFonts w:ascii="Book Antiqua" w:eastAsia="Times New Roman" w:hAnsi="Book Antiqua" w:cs="Times New Roman"/>
          <w:sz w:val="24"/>
          <w:szCs w:val="24"/>
        </w:rPr>
        <w:t xml:space="preserve"> Por ello, recomiendan que se elimine dicha enmienda contenida en la medida objeto de análisis.</w:t>
      </w:r>
      <w:r w:rsidR="00127CBA">
        <w:rPr>
          <w:rFonts w:ascii="Book Antiqua" w:eastAsia="Times New Roman" w:hAnsi="Book Antiqua" w:cs="Times New Roman"/>
          <w:sz w:val="24"/>
          <w:szCs w:val="24"/>
        </w:rPr>
        <w:t xml:space="preserve"> Asimismo, recomiendan que se aclaren los criterios que darían base para una pr</w:t>
      </w:r>
      <w:r w:rsidR="00127CBA">
        <w:rPr>
          <w:rFonts w:ascii="Book Antiqua" w:hAnsi="Book Antiqua"/>
          <w:sz w:val="24"/>
          <w:szCs w:val="24"/>
        </w:rPr>
        <w:t>órroga.</w:t>
      </w:r>
    </w:p>
    <w:p w14:paraId="183F7697" w14:textId="77777777" w:rsidR="00127CBA" w:rsidRDefault="00127CBA" w:rsidP="00176D07">
      <w:pPr>
        <w:tabs>
          <w:tab w:val="num" w:pos="720"/>
          <w:tab w:val="num" w:pos="1440"/>
        </w:tabs>
        <w:spacing w:after="0" w:line="240" w:lineRule="auto"/>
        <w:jc w:val="both"/>
        <w:rPr>
          <w:rFonts w:ascii="Book Antiqua" w:hAnsi="Book Antiqua"/>
          <w:sz w:val="24"/>
          <w:szCs w:val="24"/>
        </w:rPr>
      </w:pPr>
    </w:p>
    <w:p w14:paraId="3371835C" w14:textId="73650AA0" w:rsidR="00E912DD" w:rsidRDefault="00D42A99" w:rsidP="00176D07">
      <w:pPr>
        <w:ind w:left="17" w:right="30"/>
        <w:jc w:val="both"/>
        <w:rPr>
          <w:rFonts w:ascii="Book Antiqua" w:eastAsia="Times New Roman" w:hAnsi="Book Antiqua" w:cs="Times New Roman"/>
          <w:sz w:val="24"/>
          <w:szCs w:val="24"/>
        </w:rPr>
      </w:pPr>
      <w:r w:rsidRPr="007B7677">
        <w:rPr>
          <w:rFonts w:ascii="Book Antiqua" w:hAnsi="Book Antiqua"/>
          <w:sz w:val="24"/>
          <w:szCs w:val="24"/>
        </w:rPr>
        <w:t xml:space="preserve">Se destaca que, la Asamblea Legislativa </w:t>
      </w:r>
      <w:r w:rsidR="00E912DD" w:rsidRPr="007B7677">
        <w:rPr>
          <w:rFonts w:ascii="Book Antiqua" w:eastAsia="Times New Roman" w:hAnsi="Book Antiqua" w:cs="Times New Roman"/>
          <w:sz w:val="24"/>
          <w:szCs w:val="24"/>
        </w:rPr>
        <w:t xml:space="preserve">puede legislar sobre asuntos que ya han sido interpretados por el Tribunal Supremo, siempre que la legislación no contravenga la Constitución y respete los principios fundamentales, como el debido proceso de ley, la separación de poderes y otros derechos protegidos. En ese sentido, </w:t>
      </w:r>
      <w:r w:rsidR="00176D07">
        <w:rPr>
          <w:rFonts w:ascii="Book Antiqua" w:eastAsia="Times New Roman" w:hAnsi="Book Antiqua" w:cs="Times New Roman"/>
          <w:sz w:val="24"/>
          <w:szCs w:val="24"/>
        </w:rPr>
        <w:t xml:space="preserve">indican que </w:t>
      </w:r>
      <w:r w:rsidR="00E912DD" w:rsidRPr="007B7677">
        <w:rPr>
          <w:rFonts w:ascii="Book Antiqua" w:eastAsia="Times New Roman" w:hAnsi="Book Antiqua" w:cs="Times New Roman"/>
          <w:sz w:val="24"/>
          <w:szCs w:val="24"/>
        </w:rPr>
        <w:t xml:space="preserve">el Tribunal Supremo interpreta el derecho vigente. </w:t>
      </w:r>
      <w:r w:rsidR="00571D72">
        <w:rPr>
          <w:rFonts w:ascii="Book Antiqua" w:eastAsia="Times New Roman" w:hAnsi="Book Antiqua" w:cs="Times New Roman"/>
          <w:sz w:val="24"/>
          <w:szCs w:val="24"/>
        </w:rPr>
        <w:t>Por ello, s</w:t>
      </w:r>
      <w:r w:rsidR="00E912DD" w:rsidRPr="007B7677">
        <w:rPr>
          <w:rFonts w:ascii="Book Antiqua" w:eastAsia="Times New Roman" w:hAnsi="Book Antiqua" w:cs="Times New Roman"/>
          <w:sz w:val="24"/>
          <w:szCs w:val="24"/>
        </w:rPr>
        <w:t>i la Asamblea Legislativa modifica ese derecho mediante legislación nueva, el tribunal, en adelante, tendrá que aplicar la ley tal como fue enmendada</w:t>
      </w:r>
      <w:r w:rsidR="00571D72">
        <w:rPr>
          <w:rFonts w:ascii="Book Antiqua" w:eastAsia="Times New Roman" w:hAnsi="Book Antiqua" w:cs="Times New Roman"/>
          <w:sz w:val="24"/>
          <w:szCs w:val="24"/>
        </w:rPr>
        <w:t>, salvo que sea inconstitucional.</w:t>
      </w:r>
    </w:p>
    <w:p w14:paraId="7B6A12F0" w14:textId="136DEF38" w:rsidR="008E6A19" w:rsidRDefault="009E777D" w:rsidP="00176D07">
      <w:pPr>
        <w:ind w:left="17" w:right="30"/>
        <w:jc w:val="both"/>
        <w:rPr>
          <w:rFonts w:ascii="Book Antiqua" w:eastAsia="Times New Roman" w:hAnsi="Book Antiqua" w:cs="Times New Roman"/>
          <w:sz w:val="24"/>
          <w:szCs w:val="24"/>
        </w:rPr>
      </w:pPr>
      <w:r>
        <w:rPr>
          <w:rFonts w:ascii="Book Antiqua" w:eastAsia="Times New Roman" w:hAnsi="Book Antiqua" w:cs="Times New Roman"/>
          <w:sz w:val="24"/>
          <w:szCs w:val="24"/>
        </w:rPr>
        <w:t>Finalmente, atienden una recomendación de técnica legislativa, para corregir una oración de la exposición de motivos; de modo que se pueda comprender la intención del legislador.</w:t>
      </w:r>
    </w:p>
    <w:p w14:paraId="520E3064" w14:textId="3301BCED" w:rsidR="0030596E" w:rsidRPr="008B1703" w:rsidRDefault="00B45C03" w:rsidP="008B1703">
      <w:pPr>
        <w:ind w:left="17" w:right="30"/>
        <w:jc w:val="both"/>
        <w:rPr>
          <w:rFonts w:ascii="Book Antiqua" w:hAnsi="Book Antiqua"/>
          <w:sz w:val="24"/>
          <w:szCs w:val="24"/>
        </w:rPr>
      </w:pPr>
      <w:r w:rsidRPr="00295528">
        <w:rPr>
          <w:rFonts w:ascii="Book Antiqua" w:eastAsia="Times New Roman" w:hAnsi="Book Antiqua" w:cs="Times New Roman"/>
          <w:sz w:val="24"/>
          <w:szCs w:val="24"/>
        </w:rPr>
        <w:t xml:space="preserve">Concluyen indicando que </w:t>
      </w:r>
      <w:r w:rsidR="00295528" w:rsidRPr="00295528">
        <w:rPr>
          <w:rFonts w:ascii="Book Antiqua" w:eastAsia="Times New Roman" w:hAnsi="Book Antiqua" w:cs="Times New Roman"/>
          <w:sz w:val="24"/>
          <w:szCs w:val="24"/>
        </w:rPr>
        <w:t>la medida armoniza con el ordenamiento jurídico actual, refuerza la distinción entre procedimientos sumarios y ordinarios, y procura garantizar el balance procesal entre las partes e</w:t>
      </w:r>
      <w:r w:rsidR="00D362CD">
        <w:rPr>
          <w:rFonts w:ascii="Book Antiqua" w:eastAsia="Times New Roman" w:hAnsi="Book Antiqua" w:cs="Times New Roman"/>
          <w:sz w:val="24"/>
          <w:szCs w:val="24"/>
        </w:rPr>
        <w:t xml:space="preserve">n </w:t>
      </w:r>
      <w:r w:rsidR="00295528" w:rsidRPr="00295528">
        <w:rPr>
          <w:rFonts w:ascii="Book Antiqua" w:eastAsia="Times New Roman" w:hAnsi="Book Antiqua" w:cs="Times New Roman"/>
          <w:sz w:val="24"/>
          <w:szCs w:val="24"/>
        </w:rPr>
        <w:t xml:space="preserve">controversias laborales. </w:t>
      </w:r>
      <w:r w:rsidR="00C26BD4">
        <w:rPr>
          <w:rFonts w:ascii="Book Antiqua" w:eastAsia="Times New Roman" w:hAnsi="Book Antiqua" w:cs="Times New Roman"/>
          <w:sz w:val="24"/>
          <w:szCs w:val="24"/>
        </w:rPr>
        <w:t xml:space="preserve">A su vez, </w:t>
      </w:r>
      <w:r w:rsidR="008040EE">
        <w:rPr>
          <w:rFonts w:ascii="Book Antiqua" w:eastAsia="Times New Roman" w:hAnsi="Book Antiqua" w:cs="Times New Roman"/>
          <w:sz w:val="24"/>
          <w:szCs w:val="24"/>
        </w:rPr>
        <w:t xml:space="preserve">entienden que la </w:t>
      </w:r>
      <w:r w:rsidR="008040EE">
        <w:rPr>
          <w:rFonts w:ascii="Book Antiqua" w:eastAsia="Times New Roman" w:hAnsi="Book Antiqua" w:cs="Times New Roman"/>
          <w:sz w:val="24"/>
          <w:szCs w:val="24"/>
        </w:rPr>
        <w:lastRenderedPageBreak/>
        <w:t>medida</w:t>
      </w:r>
      <w:r w:rsidR="00295528" w:rsidRPr="00295528">
        <w:rPr>
          <w:rFonts w:ascii="Book Antiqua" w:eastAsia="Times New Roman" w:hAnsi="Book Antiqua" w:cs="Times New Roman"/>
          <w:sz w:val="24"/>
          <w:szCs w:val="24"/>
        </w:rPr>
        <w:t xml:space="preserve"> contribuye a fortalecer los principios de certeza jurídica, acceso efectivo a la justicia y debido proceso en el ámbito laboral.</w:t>
      </w:r>
    </w:p>
    <w:p w14:paraId="1F75E9CB" w14:textId="77777777" w:rsidR="001034CA" w:rsidRDefault="001034CA" w:rsidP="007B3187">
      <w:pPr>
        <w:spacing w:after="0" w:line="240" w:lineRule="auto"/>
        <w:jc w:val="center"/>
        <w:rPr>
          <w:rFonts w:ascii="Book Antiqua" w:hAnsi="Book Antiqua"/>
          <w:b/>
          <w:bCs/>
          <w:sz w:val="24"/>
          <w:szCs w:val="24"/>
        </w:rPr>
      </w:pPr>
    </w:p>
    <w:p w14:paraId="78640B26" w14:textId="2672DC30" w:rsidR="007B3187" w:rsidRPr="0023263A" w:rsidRDefault="007B3187" w:rsidP="007B3187">
      <w:pPr>
        <w:spacing w:after="0" w:line="240" w:lineRule="auto"/>
        <w:jc w:val="center"/>
        <w:rPr>
          <w:rFonts w:ascii="Book Antiqua" w:hAnsi="Book Antiqua"/>
          <w:b/>
          <w:bCs/>
          <w:sz w:val="24"/>
          <w:szCs w:val="24"/>
        </w:rPr>
      </w:pPr>
      <w:r w:rsidRPr="0023263A">
        <w:rPr>
          <w:rFonts w:ascii="Book Antiqua" w:hAnsi="Book Antiqua"/>
          <w:b/>
          <w:bCs/>
          <w:sz w:val="24"/>
          <w:szCs w:val="24"/>
        </w:rPr>
        <w:t xml:space="preserve">DEPARTAMENTO </w:t>
      </w:r>
      <w:r w:rsidR="003258E9">
        <w:rPr>
          <w:rFonts w:ascii="Book Antiqua" w:hAnsi="Book Antiqua"/>
          <w:b/>
          <w:bCs/>
          <w:sz w:val="24"/>
          <w:szCs w:val="24"/>
        </w:rPr>
        <w:t>DEL TRABAJO Y ASUNTOS LABORALES (DTRH</w:t>
      </w:r>
      <w:r w:rsidRPr="0023263A">
        <w:rPr>
          <w:rFonts w:ascii="Book Antiqua" w:hAnsi="Book Antiqua"/>
          <w:b/>
          <w:bCs/>
          <w:sz w:val="24"/>
          <w:szCs w:val="24"/>
        </w:rPr>
        <w:t>)</w:t>
      </w:r>
    </w:p>
    <w:p w14:paraId="310CB534" w14:textId="77777777" w:rsidR="007B3187" w:rsidRPr="0023263A" w:rsidRDefault="007B3187" w:rsidP="007B3187">
      <w:pPr>
        <w:spacing w:after="0" w:line="240" w:lineRule="auto"/>
        <w:jc w:val="center"/>
        <w:rPr>
          <w:rFonts w:ascii="Book Antiqua" w:hAnsi="Book Antiqua"/>
          <w:b/>
          <w:bCs/>
          <w:sz w:val="24"/>
          <w:szCs w:val="24"/>
        </w:rPr>
      </w:pPr>
    </w:p>
    <w:p w14:paraId="4F90643B" w14:textId="20C9CA8A" w:rsidR="007B3187" w:rsidRPr="0023263A" w:rsidRDefault="007B3187" w:rsidP="007B3187">
      <w:pPr>
        <w:tabs>
          <w:tab w:val="num" w:pos="720"/>
          <w:tab w:val="num" w:pos="1440"/>
        </w:tabs>
        <w:spacing w:after="0" w:line="240" w:lineRule="auto"/>
        <w:jc w:val="both"/>
        <w:rPr>
          <w:rFonts w:ascii="Book Antiqua" w:hAnsi="Book Antiqua"/>
          <w:sz w:val="24"/>
          <w:szCs w:val="24"/>
        </w:rPr>
      </w:pPr>
      <w:r w:rsidRPr="0023263A">
        <w:rPr>
          <w:rFonts w:ascii="Book Antiqua" w:eastAsia="Times New Roman" w:hAnsi="Book Antiqua"/>
          <w:bCs/>
          <w:sz w:val="24"/>
          <w:szCs w:val="24"/>
          <w:lang w:val="es-ES"/>
        </w:rPr>
        <w:t xml:space="preserve">El Departamento </w:t>
      </w:r>
      <w:r w:rsidR="003258E9">
        <w:rPr>
          <w:rFonts w:ascii="Book Antiqua" w:eastAsia="Times New Roman" w:hAnsi="Book Antiqua"/>
          <w:bCs/>
          <w:sz w:val="24"/>
          <w:szCs w:val="24"/>
          <w:lang w:val="es-ES"/>
        </w:rPr>
        <w:t>del Trabajo y Asuntos Laborales (DTRH</w:t>
      </w:r>
      <w:r w:rsidRPr="0023263A">
        <w:rPr>
          <w:rFonts w:ascii="Book Antiqua" w:eastAsia="Times New Roman" w:hAnsi="Book Antiqua"/>
          <w:bCs/>
          <w:sz w:val="24"/>
          <w:szCs w:val="24"/>
          <w:lang w:val="es-ES"/>
        </w:rPr>
        <w:t>),</w:t>
      </w:r>
      <w:r w:rsidRPr="0023263A">
        <w:rPr>
          <w:rFonts w:ascii="Book Antiqua" w:hAnsi="Book Antiqua"/>
          <w:sz w:val="24"/>
          <w:szCs w:val="24"/>
        </w:rPr>
        <w:t xml:space="preserve"> presentó su memorial explicativo para el P. de</w:t>
      </w:r>
      <w:r w:rsidR="003258E9">
        <w:rPr>
          <w:rFonts w:ascii="Book Antiqua" w:hAnsi="Book Antiqua"/>
          <w:sz w:val="24"/>
          <w:szCs w:val="24"/>
        </w:rPr>
        <w:t xml:space="preserve"> </w:t>
      </w:r>
      <w:r w:rsidRPr="0023263A">
        <w:rPr>
          <w:rFonts w:ascii="Book Antiqua" w:hAnsi="Book Antiqua"/>
          <w:sz w:val="24"/>
          <w:szCs w:val="24"/>
        </w:rPr>
        <w:t>l</w:t>
      </w:r>
      <w:r w:rsidR="003258E9">
        <w:rPr>
          <w:rFonts w:ascii="Book Antiqua" w:hAnsi="Book Antiqua"/>
          <w:sz w:val="24"/>
          <w:szCs w:val="24"/>
        </w:rPr>
        <w:t>a</w:t>
      </w:r>
      <w:r w:rsidRPr="0023263A">
        <w:rPr>
          <w:rFonts w:ascii="Book Antiqua" w:hAnsi="Book Antiqua"/>
          <w:sz w:val="24"/>
          <w:szCs w:val="24"/>
        </w:rPr>
        <w:t xml:space="preserve"> </w:t>
      </w:r>
      <w:r w:rsidR="003258E9">
        <w:rPr>
          <w:rFonts w:ascii="Book Antiqua" w:hAnsi="Book Antiqua"/>
          <w:sz w:val="24"/>
          <w:szCs w:val="24"/>
        </w:rPr>
        <w:t>C</w:t>
      </w:r>
      <w:r w:rsidRPr="0023263A">
        <w:rPr>
          <w:rFonts w:ascii="Book Antiqua" w:hAnsi="Book Antiqua"/>
          <w:sz w:val="24"/>
          <w:szCs w:val="24"/>
        </w:rPr>
        <w:t xml:space="preserve">. </w:t>
      </w:r>
      <w:r w:rsidR="00071AE2">
        <w:rPr>
          <w:rFonts w:ascii="Book Antiqua" w:hAnsi="Book Antiqua"/>
          <w:sz w:val="24"/>
          <w:szCs w:val="24"/>
        </w:rPr>
        <w:t>494</w:t>
      </w:r>
      <w:r w:rsidR="009A42DC">
        <w:rPr>
          <w:rFonts w:ascii="Book Antiqua" w:hAnsi="Book Antiqua"/>
          <w:sz w:val="24"/>
          <w:szCs w:val="24"/>
        </w:rPr>
        <w:t>,</w:t>
      </w:r>
      <w:r w:rsidR="00531DE3">
        <w:rPr>
          <w:rFonts w:ascii="Book Antiqua" w:hAnsi="Book Antiqua"/>
          <w:sz w:val="24"/>
          <w:szCs w:val="24"/>
        </w:rPr>
        <w:t xml:space="preserve"> por medio de su entonces secretaria interina, María del Pilar Vélez Casanova,</w:t>
      </w:r>
      <w:r w:rsidR="009A42DC">
        <w:rPr>
          <w:rFonts w:ascii="Book Antiqua" w:hAnsi="Book Antiqua"/>
          <w:sz w:val="24"/>
          <w:szCs w:val="24"/>
        </w:rPr>
        <w:t xml:space="preserve"> </w:t>
      </w:r>
      <w:r w:rsidR="006B4C5D" w:rsidRPr="00C25C4E">
        <w:rPr>
          <w:rFonts w:ascii="Book Antiqua" w:hAnsi="Book Antiqua"/>
          <w:sz w:val="24"/>
          <w:szCs w:val="24"/>
        </w:rPr>
        <w:t>presentando recomendaciones y comentarios a la misma</w:t>
      </w:r>
      <w:r w:rsidRPr="0023263A">
        <w:rPr>
          <w:rFonts w:ascii="Book Antiqua" w:hAnsi="Book Antiqua"/>
          <w:sz w:val="24"/>
          <w:szCs w:val="24"/>
        </w:rPr>
        <w:t>.</w:t>
      </w:r>
    </w:p>
    <w:p w14:paraId="0EA40C47" w14:textId="77777777" w:rsidR="007B3187" w:rsidRPr="0023263A" w:rsidRDefault="007B3187" w:rsidP="007B3187">
      <w:pPr>
        <w:spacing w:after="0" w:line="240" w:lineRule="auto"/>
        <w:jc w:val="both"/>
        <w:rPr>
          <w:rFonts w:ascii="Book Antiqua" w:hAnsi="Book Antiqua"/>
          <w:sz w:val="24"/>
          <w:szCs w:val="24"/>
        </w:rPr>
      </w:pPr>
    </w:p>
    <w:p w14:paraId="4677A5DB" w14:textId="3A7518D3" w:rsidR="007B3187" w:rsidRDefault="00360DE1" w:rsidP="007B3187">
      <w:pPr>
        <w:spacing w:after="0" w:line="240" w:lineRule="auto"/>
        <w:jc w:val="both"/>
        <w:rPr>
          <w:rFonts w:ascii="Book Antiqua" w:hAnsi="Book Antiqua"/>
          <w:sz w:val="24"/>
          <w:szCs w:val="24"/>
        </w:rPr>
      </w:pPr>
      <w:r>
        <w:rPr>
          <w:rFonts w:ascii="Book Antiqua" w:hAnsi="Book Antiqua"/>
          <w:sz w:val="24"/>
          <w:szCs w:val="24"/>
        </w:rPr>
        <w:t>La</w:t>
      </w:r>
      <w:r w:rsidR="007B3187" w:rsidRPr="0023263A">
        <w:rPr>
          <w:rFonts w:ascii="Book Antiqua" w:hAnsi="Book Antiqua"/>
          <w:sz w:val="24"/>
          <w:szCs w:val="24"/>
        </w:rPr>
        <w:t xml:space="preserve"> misión</w:t>
      </w:r>
      <w:r>
        <w:rPr>
          <w:rFonts w:ascii="Book Antiqua" w:hAnsi="Book Antiqua"/>
          <w:sz w:val="24"/>
          <w:szCs w:val="24"/>
        </w:rPr>
        <w:t xml:space="preserve"> del DTRH</w:t>
      </w:r>
      <w:r w:rsidR="007B3187" w:rsidRPr="0023263A">
        <w:rPr>
          <w:rFonts w:ascii="Book Antiqua" w:hAnsi="Book Antiqua"/>
          <w:sz w:val="24"/>
          <w:szCs w:val="24"/>
        </w:rPr>
        <w:t xml:space="preserve"> es </w:t>
      </w:r>
      <w:r w:rsidR="003B4D27">
        <w:rPr>
          <w:rFonts w:ascii="Book Antiqua" w:hAnsi="Book Antiqua"/>
          <w:sz w:val="24"/>
          <w:szCs w:val="24"/>
        </w:rPr>
        <w:t>un organismo público llamado a proteger los derechos de los trabajadores, crear un balance en la relación entre trabajadores y patronos</w:t>
      </w:r>
      <w:r w:rsidR="00195EEE">
        <w:rPr>
          <w:rFonts w:ascii="Book Antiqua" w:hAnsi="Book Antiqua"/>
          <w:sz w:val="24"/>
          <w:szCs w:val="24"/>
        </w:rPr>
        <w:t>, velar por el cumplimiento de las leyes del trabajo; así como fomentar la creación de oportunidades de empleo.</w:t>
      </w:r>
    </w:p>
    <w:p w14:paraId="0F25699A" w14:textId="77777777" w:rsidR="00044B26" w:rsidRDefault="00044B26" w:rsidP="007B3187">
      <w:pPr>
        <w:spacing w:after="0" w:line="240" w:lineRule="auto"/>
        <w:jc w:val="both"/>
        <w:rPr>
          <w:rFonts w:ascii="Book Antiqua" w:hAnsi="Book Antiqua"/>
          <w:sz w:val="24"/>
          <w:szCs w:val="24"/>
        </w:rPr>
      </w:pPr>
    </w:p>
    <w:p w14:paraId="2026216F" w14:textId="7E126F36" w:rsidR="00044B26" w:rsidRDefault="00044B26" w:rsidP="007B3187">
      <w:pPr>
        <w:spacing w:after="0" w:line="240" w:lineRule="auto"/>
        <w:jc w:val="both"/>
        <w:rPr>
          <w:rFonts w:ascii="Book Antiqua" w:hAnsi="Book Antiqua"/>
          <w:sz w:val="24"/>
          <w:szCs w:val="24"/>
        </w:rPr>
      </w:pPr>
      <w:r>
        <w:rPr>
          <w:rFonts w:ascii="Book Antiqua" w:hAnsi="Book Antiqua"/>
          <w:sz w:val="24"/>
          <w:szCs w:val="24"/>
        </w:rPr>
        <w:t>El DTRH realizó un recuento sobre el trasfondo histórico que enmarca la protección del procedimiento sumario laboral en Puerto Rico</w:t>
      </w:r>
      <w:r w:rsidR="00677212">
        <w:rPr>
          <w:rFonts w:ascii="Book Antiqua" w:hAnsi="Book Antiqua"/>
          <w:sz w:val="24"/>
          <w:szCs w:val="24"/>
        </w:rPr>
        <w:t xml:space="preserve"> y estableció que el Tribunal Supremo ha interpretado y validado dicho procedimiento en reiteradas ocasiones.</w:t>
      </w:r>
    </w:p>
    <w:p w14:paraId="7B21FDD3" w14:textId="77777777" w:rsidR="00677212" w:rsidRDefault="00677212" w:rsidP="007B3187">
      <w:pPr>
        <w:spacing w:after="0" w:line="240" w:lineRule="auto"/>
        <w:jc w:val="both"/>
        <w:rPr>
          <w:rFonts w:ascii="Book Antiqua" w:hAnsi="Book Antiqua"/>
          <w:sz w:val="24"/>
          <w:szCs w:val="24"/>
        </w:rPr>
      </w:pPr>
    </w:p>
    <w:p w14:paraId="1DCD82BE" w14:textId="60BA2233" w:rsidR="00406AC1" w:rsidRDefault="00D22042" w:rsidP="007B3187">
      <w:pPr>
        <w:spacing w:after="0" w:line="240" w:lineRule="auto"/>
        <w:jc w:val="both"/>
        <w:rPr>
          <w:rFonts w:ascii="Book Antiqua" w:hAnsi="Book Antiqua"/>
          <w:sz w:val="24"/>
          <w:szCs w:val="24"/>
        </w:rPr>
      </w:pPr>
      <w:r>
        <w:rPr>
          <w:rFonts w:ascii="Book Antiqua" w:hAnsi="Book Antiqua"/>
          <w:sz w:val="24"/>
          <w:szCs w:val="24"/>
        </w:rPr>
        <w:t xml:space="preserve">Se indica que de un examen del Diario de Sesiones realizado por el DTRH sobre el Proyecto del Senado 194 que dio paso a la Ley Núm. 2, </w:t>
      </w:r>
      <w:r>
        <w:rPr>
          <w:rFonts w:ascii="Book Antiqua" w:hAnsi="Book Antiqua"/>
          <w:i/>
          <w:iCs/>
          <w:sz w:val="24"/>
          <w:szCs w:val="24"/>
        </w:rPr>
        <w:t>supra</w:t>
      </w:r>
      <w:r>
        <w:rPr>
          <w:rFonts w:ascii="Book Antiqua" w:hAnsi="Book Antiqua"/>
          <w:sz w:val="24"/>
          <w:szCs w:val="24"/>
        </w:rPr>
        <w:t xml:space="preserve">, no surge textualmente la intención del legislador de circunscribir el procedimiento sumario a las reclamaciones de índole salarial por beneficios u horas </w:t>
      </w:r>
      <w:r w:rsidR="002070AD">
        <w:rPr>
          <w:rFonts w:ascii="Book Antiqua" w:hAnsi="Book Antiqua"/>
          <w:sz w:val="24"/>
          <w:szCs w:val="24"/>
        </w:rPr>
        <w:t xml:space="preserve">dejadas de pagar; </w:t>
      </w:r>
      <w:r w:rsidR="00AC7609">
        <w:rPr>
          <w:rFonts w:ascii="Book Antiqua" w:hAnsi="Book Antiqua"/>
          <w:sz w:val="24"/>
          <w:szCs w:val="24"/>
        </w:rPr>
        <w:t>más,</w:t>
      </w:r>
      <w:r w:rsidR="002070AD">
        <w:rPr>
          <w:rFonts w:ascii="Book Antiqua" w:hAnsi="Book Antiqua"/>
          <w:sz w:val="24"/>
          <w:szCs w:val="24"/>
        </w:rPr>
        <w:t xml:space="preserve"> sin embargo, del referido Diario se observa una referencia constante de los legisladores al procedimiento sumario como uno dirigido a la reclamación de salarios.</w:t>
      </w:r>
    </w:p>
    <w:p w14:paraId="5E4A94C6" w14:textId="77777777" w:rsidR="005F1909" w:rsidRDefault="005F1909" w:rsidP="007B3187">
      <w:pPr>
        <w:spacing w:after="0" w:line="240" w:lineRule="auto"/>
        <w:jc w:val="both"/>
        <w:rPr>
          <w:rFonts w:ascii="Book Antiqua" w:hAnsi="Book Antiqua"/>
          <w:sz w:val="24"/>
          <w:szCs w:val="24"/>
        </w:rPr>
      </w:pPr>
    </w:p>
    <w:p w14:paraId="246AABDF" w14:textId="3070BECE" w:rsidR="00AC7609" w:rsidRDefault="00AC7609" w:rsidP="007B3187">
      <w:pPr>
        <w:spacing w:after="0" w:line="240" w:lineRule="auto"/>
        <w:jc w:val="both"/>
        <w:rPr>
          <w:rFonts w:ascii="Book Antiqua" w:hAnsi="Book Antiqua"/>
          <w:sz w:val="24"/>
          <w:szCs w:val="24"/>
        </w:rPr>
      </w:pPr>
      <w:r>
        <w:rPr>
          <w:rFonts w:ascii="Book Antiqua" w:hAnsi="Book Antiqua"/>
          <w:sz w:val="24"/>
          <w:szCs w:val="24"/>
        </w:rPr>
        <w:t>Por otra parte, sostienen que el Tribunal Supremo de Puerto Rico ha extendido su interpretación para cobijar otras reclamaciones tales como salarios y beneficios</w:t>
      </w:r>
      <w:r w:rsidR="00012A2F">
        <w:rPr>
          <w:rFonts w:ascii="Book Antiqua" w:hAnsi="Book Antiqua"/>
          <w:sz w:val="24"/>
          <w:szCs w:val="24"/>
        </w:rPr>
        <w:t>, discrimen en el empleo, despido injustificado, hostigamiento sexual, represalias, incumplimiento del patrono con la reserva de empleo, entre otras</w:t>
      </w:r>
      <w:r w:rsidR="005B342F">
        <w:rPr>
          <w:rFonts w:ascii="Book Antiqua" w:hAnsi="Book Antiqua"/>
          <w:sz w:val="24"/>
          <w:szCs w:val="24"/>
        </w:rPr>
        <w:t>.</w:t>
      </w:r>
    </w:p>
    <w:p w14:paraId="7EE45BDA" w14:textId="77777777" w:rsidR="005B342F" w:rsidRDefault="005B342F" w:rsidP="007B3187">
      <w:pPr>
        <w:spacing w:after="0" w:line="240" w:lineRule="auto"/>
        <w:jc w:val="both"/>
        <w:rPr>
          <w:rFonts w:ascii="Book Antiqua" w:hAnsi="Book Antiqua"/>
          <w:sz w:val="24"/>
          <w:szCs w:val="24"/>
        </w:rPr>
      </w:pPr>
    </w:p>
    <w:p w14:paraId="5E5EFA82" w14:textId="3278C110" w:rsidR="005B342F" w:rsidRDefault="005B342F" w:rsidP="007B3187">
      <w:pPr>
        <w:spacing w:after="0" w:line="240" w:lineRule="auto"/>
        <w:jc w:val="both"/>
        <w:rPr>
          <w:rFonts w:ascii="Book Antiqua" w:hAnsi="Book Antiqua"/>
          <w:sz w:val="24"/>
          <w:szCs w:val="24"/>
        </w:rPr>
      </w:pPr>
      <w:r>
        <w:rPr>
          <w:rFonts w:ascii="Book Antiqua" w:hAnsi="Book Antiqua"/>
          <w:sz w:val="24"/>
          <w:szCs w:val="24"/>
        </w:rPr>
        <w:t>Continúan discutiendo jurisprudencia aplicable, la cual</w:t>
      </w:r>
      <w:r w:rsidR="00420AAA">
        <w:rPr>
          <w:rFonts w:ascii="Book Antiqua" w:hAnsi="Book Antiqua"/>
          <w:sz w:val="24"/>
          <w:szCs w:val="24"/>
        </w:rPr>
        <w:t xml:space="preserve"> atiende el análisis que el foro judicial debe realizar para determinar si el caso se atiende mediante procedimiento sumario u ordinario, y destacan que para hacer dicha determinación se debe realizar un </w:t>
      </w:r>
      <w:r w:rsidR="00347B88">
        <w:rPr>
          <w:rFonts w:ascii="Book Antiqua" w:hAnsi="Book Antiqua"/>
          <w:sz w:val="24"/>
          <w:szCs w:val="24"/>
        </w:rPr>
        <w:t>justo balance entre los intereses del patrono y los del obrero</w:t>
      </w:r>
      <w:r w:rsidR="00774395">
        <w:rPr>
          <w:rFonts w:ascii="Book Antiqua" w:hAnsi="Book Antiqua"/>
          <w:sz w:val="24"/>
          <w:szCs w:val="24"/>
        </w:rPr>
        <w:t xml:space="preserve">. Esto lo hacen en el ejercicio de su discreción </w:t>
      </w:r>
      <w:r w:rsidR="0004019C">
        <w:rPr>
          <w:rFonts w:ascii="Book Antiqua" w:hAnsi="Book Antiqua"/>
          <w:sz w:val="24"/>
          <w:szCs w:val="24"/>
        </w:rPr>
        <w:t xml:space="preserve">judicial y evaluando criterios entre los que se encuentran: si se requieren deposiciones a </w:t>
      </w:r>
      <w:r w:rsidR="00AA46A3">
        <w:rPr>
          <w:rFonts w:ascii="Book Antiqua" w:hAnsi="Book Antiqua"/>
          <w:sz w:val="24"/>
          <w:szCs w:val="24"/>
        </w:rPr>
        <w:t>múltiples</w:t>
      </w:r>
      <w:r w:rsidR="0004019C">
        <w:rPr>
          <w:rFonts w:ascii="Book Antiqua" w:hAnsi="Book Antiqua"/>
          <w:sz w:val="24"/>
          <w:szCs w:val="24"/>
        </w:rPr>
        <w:t xml:space="preserve"> testigos</w:t>
      </w:r>
      <w:r w:rsidR="00AA46A3">
        <w:rPr>
          <w:rFonts w:ascii="Book Antiqua" w:hAnsi="Book Antiqua"/>
          <w:sz w:val="24"/>
          <w:szCs w:val="24"/>
        </w:rPr>
        <w:t xml:space="preserve">; si requiere prueba pericial; </w:t>
      </w:r>
      <w:r w:rsidR="008E16FD">
        <w:rPr>
          <w:rFonts w:ascii="Book Antiqua" w:hAnsi="Book Antiqua"/>
          <w:sz w:val="24"/>
          <w:szCs w:val="24"/>
        </w:rPr>
        <w:t>necesidad de examinar expedientes, entre otros, que lo harían incompatible con el procedimiento sumario.</w:t>
      </w:r>
    </w:p>
    <w:p w14:paraId="61B0D8FD" w14:textId="77777777" w:rsidR="00253190" w:rsidRDefault="00253190" w:rsidP="007B3187">
      <w:pPr>
        <w:spacing w:after="0" w:line="240" w:lineRule="auto"/>
        <w:jc w:val="both"/>
        <w:rPr>
          <w:rFonts w:ascii="Book Antiqua" w:hAnsi="Book Antiqua"/>
          <w:sz w:val="24"/>
          <w:szCs w:val="24"/>
        </w:rPr>
      </w:pPr>
    </w:p>
    <w:p w14:paraId="740B81D2" w14:textId="17FA8419" w:rsidR="00253190" w:rsidRDefault="00253190" w:rsidP="007B3187">
      <w:pPr>
        <w:spacing w:after="0" w:line="240" w:lineRule="auto"/>
        <w:jc w:val="both"/>
        <w:rPr>
          <w:rFonts w:ascii="Book Antiqua" w:hAnsi="Book Antiqua"/>
          <w:sz w:val="24"/>
          <w:szCs w:val="24"/>
        </w:rPr>
      </w:pPr>
      <w:r>
        <w:rPr>
          <w:rFonts w:ascii="Book Antiqua" w:hAnsi="Book Antiqua"/>
          <w:sz w:val="24"/>
          <w:szCs w:val="24"/>
        </w:rPr>
        <w:t>Al analizar la intención legislativa de separar las controversias que se deban ver bajo procedimiento sumario del ordinario, traen a la atención los costos que conllevaría la bifurcación de reclamaciones laborales</w:t>
      </w:r>
    </w:p>
    <w:p w14:paraId="065D5846" w14:textId="5CEB9FC9" w:rsidR="00762086" w:rsidRDefault="00762086" w:rsidP="007B3187">
      <w:pPr>
        <w:spacing w:after="0" w:line="240" w:lineRule="auto"/>
        <w:jc w:val="both"/>
        <w:rPr>
          <w:rFonts w:ascii="Book Antiqua" w:hAnsi="Book Antiqua"/>
          <w:sz w:val="24"/>
          <w:szCs w:val="24"/>
        </w:rPr>
      </w:pPr>
      <w:r>
        <w:rPr>
          <w:rFonts w:ascii="Book Antiqua" w:hAnsi="Book Antiqua"/>
          <w:sz w:val="24"/>
          <w:szCs w:val="24"/>
        </w:rPr>
        <w:lastRenderedPageBreak/>
        <w:t xml:space="preserve"> No obstante, sí hacen mención </w:t>
      </w:r>
      <w:proofErr w:type="gramStart"/>
      <w:r>
        <w:rPr>
          <w:rFonts w:ascii="Book Antiqua" w:hAnsi="Book Antiqua"/>
          <w:sz w:val="24"/>
          <w:szCs w:val="24"/>
        </w:rPr>
        <w:t>a</w:t>
      </w:r>
      <w:proofErr w:type="gramEnd"/>
      <w:r>
        <w:rPr>
          <w:rFonts w:ascii="Book Antiqua" w:hAnsi="Book Antiqua"/>
          <w:sz w:val="24"/>
          <w:szCs w:val="24"/>
        </w:rPr>
        <w:t xml:space="preserve"> que los tribunales pueden tomar las medidas para que se incluyan en un calendario especial para que sean atendidas con carácter prioritario y evitan que el obrero se perjudique con la rápida adjudicación de la controversia.</w:t>
      </w:r>
    </w:p>
    <w:p w14:paraId="6F962163" w14:textId="77777777" w:rsidR="00E11DA5" w:rsidRDefault="00E11DA5" w:rsidP="007B3187">
      <w:pPr>
        <w:spacing w:after="0" w:line="240" w:lineRule="auto"/>
        <w:jc w:val="both"/>
        <w:rPr>
          <w:rFonts w:ascii="Book Antiqua" w:hAnsi="Book Antiqua"/>
          <w:sz w:val="24"/>
          <w:szCs w:val="24"/>
        </w:rPr>
      </w:pPr>
    </w:p>
    <w:p w14:paraId="28DD629C" w14:textId="4177000D" w:rsidR="00E11DA5" w:rsidRDefault="006B416A" w:rsidP="007B3187">
      <w:pPr>
        <w:spacing w:after="0" w:line="240" w:lineRule="auto"/>
        <w:jc w:val="both"/>
        <w:rPr>
          <w:rFonts w:ascii="Book Antiqua" w:hAnsi="Book Antiqua"/>
          <w:sz w:val="24"/>
          <w:szCs w:val="24"/>
        </w:rPr>
      </w:pPr>
      <w:r>
        <w:rPr>
          <w:rFonts w:ascii="Book Antiqua" w:hAnsi="Book Antiqua"/>
          <w:sz w:val="24"/>
          <w:szCs w:val="24"/>
        </w:rPr>
        <w:t xml:space="preserve">En su ejercicio de análisis, el DTRH le solicitó a la Oficina de Administración de Tribunales información sobre las estadísticas de casos presentados bajo la Ley de Procedimiento Sumario Laboral. No obstante, </w:t>
      </w:r>
      <w:r w:rsidR="00FD3CC7">
        <w:rPr>
          <w:rFonts w:ascii="Book Antiqua" w:hAnsi="Book Antiqua"/>
          <w:sz w:val="24"/>
          <w:szCs w:val="24"/>
        </w:rPr>
        <w:t>indicaron que evaluadas las mismas, no estaban en posición de apoyar la enmienda contenida en la Sección 1 de la medida</w:t>
      </w:r>
      <w:r w:rsidR="00162F81">
        <w:rPr>
          <w:rFonts w:ascii="Book Antiqua" w:hAnsi="Book Antiqua"/>
          <w:sz w:val="24"/>
          <w:szCs w:val="24"/>
        </w:rPr>
        <w:t xml:space="preserve"> toda vez que los datos no reflejan cómo se atendieron los casos, sino que se limita a establecer cómo se presentaron. Es decir, que no se sabe si </w:t>
      </w:r>
      <w:r w:rsidR="00B9530B">
        <w:rPr>
          <w:rFonts w:ascii="Book Antiqua" w:hAnsi="Book Antiqua"/>
          <w:sz w:val="24"/>
          <w:szCs w:val="24"/>
        </w:rPr>
        <w:t>culminó atendiéndose por la vía sumaria u ordinaria.</w:t>
      </w:r>
    </w:p>
    <w:p w14:paraId="7BB7F2D0" w14:textId="77777777" w:rsidR="00D91744" w:rsidRDefault="00D91744" w:rsidP="007B3187">
      <w:pPr>
        <w:spacing w:after="0" w:line="240" w:lineRule="auto"/>
        <w:jc w:val="both"/>
        <w:rPr>
          <w:rFonts w:ascii="Book Antiqua" w:hAnsi="Book Antiqua"/>
          <w:sz w:val="24"/>
          <w:szCs w:val="24"/>
        </w:rPr>
      </w:pPr>
    </w:p>
    <w:p w14:paraId="05CEC77A" w14:textId="30BF8DC5" w:rsidR="00D91744" w:rsidRDefault="00D91744" w:rsidP="007B3187">
      <w:pPr>
        <w:spacing w:after="0" w:line="240" w:lineRule="auto"/>
        <w:jc w:val="both"/>
        <w:rPr>
          <w:rFonts w:ascii="Book Antiqua" w:hAnsi="Book Antiqua"/>
          <w:sz w:val="24"/>
          <w:szCs w:val="24"/>
        </w:rPr>
      </w:pPr>
      <w:r>
        <w:rPr>
          <w:rFonts w:ascii="Book Antiqua" w:hAnsi="Book Antiqua"/>
          <w:sz w:val="24"/>
          <w:szCs w:val="24"/>
        </w:rPr>
        <w:t>El DTRH entiende que el ordenamiento procesal vigente ofrece un balance adecuado entre los intereses del trabajador y del patrono</w:t>
      </w:r>
      <w:r w:rsidR="004450A9">
        <w:rPr>
          <w:rFonts w:ascii="Book Antiqua" w:hAnsi="Book Antiqua"/>
          <w:sz w:val="24"/>
          <w:szCs w:val="24"/>
        </w:rPr>
        <w:t>.</w:t>
      </w:r>
    </w:p>
    <w:p w14:paraId="65D325C7" w14:textId="77777777" w:rsidR="0077595B" w:rsidRDefault="0077595B" w:rsidP="007B3187">
      <w:pPr>
        <w:spacing w:after="0" w:line="240" w:lineRule="auto"/>
        <w:jc w:val="both"/>
        <w:rPr>
          <w:rFonts w:ascii="Book Antiqua" w:hAnsi="Book Antiqua"/>
          <w:sz w:val="24"/>
          <w:szCs w:val="24"/>
        </w:rPr>
      </w:pPr>
    </w:p>
    <w:p w14:paraId="414A1AF8" w14:textId="794F07EF" w:rsidR="0077595B" w:rsidRPr="00D22042" w:rsidRDefault="0077595B" w:rsidP="007B3187">
      <w:pPr>
        <w:spacing w:after="0" w:line="240" w:lineRule="auto"/>
        <w:jc w:val="both"/>
        <w:rPr>
          <w:rFonts w:ascii="Book Antiqua" w:hAnsi="Book Antiqua"/>
          <w:sz w:val="24"/>
          <w:szCs w:val="24"/>
        </w:rPr>
      </w:pPr>
      <w:r>
        <w:rPr>
          <w:rFonts w:ascii="Book Antiqua" w:hAnsi="Book Antiqua"/>
          <w:sz w:val="24"/>
          <w:szCs w:val="24"/>
        </w:rPr>
        <w:t>En cuanto a la Sección 3 de la medida,</w:t>
      </w:r>
      <w:r w:rsidR="00004616">
        <w:rPr>
          <w:rFonts w:ascii="Book Antiqua" w:hAnsi="Book Antiqua"/>
          <w:sz w:val="24"/>
          <w:szCs w:val="24"/>
        </w:rPr>
        <w:t xml:space="preserve"> entienden que la naturaleza sumaria del </w:t>
      </w:r>
      <w:r w:rsidR="00973B54">
        <w:rPr>
          <w:rFonts w:ascii="Book Antiqua" w:hAnsi="Book Antiqua"/>
          <w:sz w:val="24"/>
          <w:szCs w:val="24"/>
        </w:rPr>
        <w:t>procedimiento</w:t>
      </w:r>
      <w:r w:rsidR="00004616">
        <w:rPr>
          <w:rFonts w:ascii="Book Antiqua" w:hAnsi="Book Antiqua"/>
          <w:sz w:val="24"/>
          <w:szCs w:val="24"/>
        </w:rPr>
        <w:t xml:space="preserve"> constituye su característica esencial y que los tribunales están llamados a promover y exigir diligencia y celeridad.</w:t>
      </w:r>
      <w:r w:rsidR="00973B54">
        <w:rPr>
          <w:rFonts w:ascii="Book Antiqua" w:hAnsi="Book Antiqua"/>
          <w:sz w:val="24"/>
          <w:szCs w:val="24"/>
        </w:rPr>
        <w:t xml:space="preserve"> Sostienen que solo aquellas mociones de desestimación que plantean falta de jurisdicción sobre la materia deben tener el efecto de interrumpir dicho término.</w:t>
      </w:r>
      <w:r w:rsidR="00D81785">
        <w:rPr>
          <w:rFonts w:ascii="Book Antiqua" w:hAnsi="Book Antiqua"/>
          <w:sz w:val="24"/>
          <w:szCs w:val="24"/>
        </w:rPr>
        <w:t xml:space="preserve"> Por ello, coinciden con la proponente de la medida en que requerir a una parte que conteste la querella, acumulando en una sola acción responsiva tanto su contestación como todas sus defensas, resulta ilógico y contrario a las normas fundamentales del derecho procesal.</w:t>
      </w:r>
      <w:r w:rsidR="006B37EA">
        <w:rPr>
          <w:rFonts w:ascii="Book Antiqua" w:hAnsi="Book Antiqua"/>
          <w:sz w:val="24"/>
          <w:szCs w:val="24"/>
        </w:rPr>
        <w:t xml:space="preserve"> En síntesis, indican que debe existir un balance adecuado entre la agilidad del trámite</w:t>
      </w:r>
      <w:r w:rsidR="003E1B3F">
        <w:rPr>
          <w:rFonts w:ascii="Book Antiqua" w:hAnsi="Book Antiqua"/>
          <w:sz w:val="24"/>
          <w:szCs w:val="24"/>
        </w:rPr>
        <w:t xml:space="preserve"> y la protección de los derechos fundamentales de las partes.</w:t>
      </w:r>
    </w:p>
    <w:p w14:paraId="2EAA397C" w14:textId="77777777" w:rsidR="00677212" w:rsidRDefault="00677212" w:rsidP="007B3187">
      <w:pPr>
        <w:spacing w:after="0" w:line="240" w:lineRule="auto"/>
        <w:jc w:val="both"/>
        <w:rPr>
          <w:rFonts w:ascii="Book Antiqua" w:hAnsi="Book Antiqua"/>
          <w:sz w:val="24"/>
          <w:szCs w:val="24"/>
        </w:rPr>
      </w:pPr>
    </w:p>
    <w:p w14:paraId="31BFA9D3" w14:textId="452C7C28" w:rsidR="00E349E9" w:rsidRPr="0023263A" w:rsidRDefault="00E349E9" w:rsidP="00E349E9">
      <w:pPr>
        <w:spacing w:after="0" w:line="240" w:lineRule="auto"/>
        <w:jc w:val="center"/>
        <w:rPr>
          <w:rFonts w:ascii="Book Antiqua" w:hAnsi="Book Antiqua"/>
          <w:b/>
          <w:bCs/>
          <w:sz w:val="24"/>
          <w:szCs w:val="24"/>
        </w:rPr>
      </w:pPr>
      <w:r>
        <w:rPr>
          <w:rFonts w:ascii="Book Antiqua" w:hAnsi="Book Antiqua"/>
          <w:b/>
          <w:bCs/>
          <w:sz w:val="24"/>
          <w:szCs w:val="24"/>
        </w:rPr>
        <w:t>OFICINA DE ADMINISTRACIÓN DE LOS TRIBUNALES (OAT</w:t>
      </w:r>
      <w:r w:rsidRPr="0023263A">
        <w:rPr>
          <w:rFonts w:ascii="Book Antiqua" w:hAnsi="Book Antiqua"/>
          <w:b/>
          <w:bCs/>
          <w:sz w:val="24"/>
          <w:szCs w:val="24"/>
        </w:rPr>
        <w:t>)</w:t>
      </w:r>
    </w:p>
    <w:p w14:paraId="20E2C4C4" w14:textId="77777777" w:rsidR="00E349E9" w:rsidRPr="0023263A" w:rsidRDefault="00E349E9" w:rsidP="00E349E9">
      <w:pPr>
        <w:spacing w:after="0" w:line="240" w:lineRule="auto"/>
        <w:jc w:val="center"/>
        <w:rPr>
          <w:rFonts w:ascii="Book Antiqua" w:hAnsi="Book Antiqua"/>
          <w:b/>
          <w:bCs/>
          <w:sz w:val="24"/>
          <w:szCs w:val="24"/>
        </w:rPr>
      </w:pPr>
    </w:p>
    <w:p w14:paraId="36A36720" w14:textId="26858B91" w:rsidR="00E349E9" w:rsidRDefault="00E349E9" w:rsidP="00E349E9">
      <w:pPr>
        <w:tabs>
          <w:tab w:val="num" w:pos="720"/>
          <w:tab w:val="num" w:pos="1440"/>
        </w:tabs>
        <w:spacing w:after="0" w:line="240" w:lineRule="auto"/>
        <w:jc w:val="both"/>
        <w:rPr>
          <w:rFonts w:ascii="Book Antiqua" w:hAnsi="Book Antiqua"/>
          <w:sz w:val="24"/>
          <w:szCs w:val="24"/>
        </w:rPr>
      </w:pPr>
      <w:r>
        <w:rPr>
          <w:rFonts w:ascii="Book Antiqua" w:eastAsia="Times New Roman" w:hAnsi="Book Antiqua"/>
          <w:bCs/>
          <w:sz w:val="24"/>
          <w:szCs w:val="24"/>
          <w:lang w:val="es-ES"/>
        </w:rPr>
        <w:t>La Oficina de Administración de los Tribunales (OAT</w:t>
      </w:r>
      <w:r w:rsidRPr="0023263A">
        <w:rPr>
          <w:rFonts w:ascii="Book Antiqua" w:eastAsia="Times New Roman" w:hAnsi="Book Antiqua"/>
          <w:bCs/>
          <w:sz w:val="24"/>
          <w:szCs w:val="24"/>
          <w:lang w:val="es-ES"/>
        </w:rPr>
        <w:t>),</w:t>
      </w:r>
      <w:r w:rsidRPr="0023263A">
        <w:rPr>
          <w:rFonts w:ascii="Book Antiqua" w:hAnsi="Book Antiqua"/>
          <w:sz w:val="24"/>
          <w:szCs w:val="24"/>
        </w:rPr>
        <w:t xml:space="preserve"> presentó su memorial explicativo para el P. de</w:t>
      </w:r>
      <w:r>
        <w:rPr>
          <w:rFonts w:ascii="Book Antiqua" w:hAnsi="Book Antiqua"/>
          <w:sz w:val="24"/>
          <w:szCs w:val="24"/>
        </w:rPr>
        <w:t xml:space="preserve"> </w:t>
      </w:r>
      <w:r w:rsidRPr="0023263A">
        <w:rPr>
          <w:rFonts w:ascii="Book Antiqua" w:hAnsi="Book Antiqua"/>
          <w:sz w:val="24"/>
          <w:szCs w:val="24"/>
        </w:rPr>
        <w:t>l</w:t>
      </w:r>
      <w:r>
        <w:rPr>
          <w:rFonts w:ascii="Book Antiqua" w:hAnsi="Book Antiqua"/>
          <w:sz w:val="24"/>
          <w:szCs w:val="24"/>
        </w:rPr>
        <w:t>a</w:t>
      </w:r>
      <w:r w:rsidRPr="0023263A">
        <w:rPr>
          <w:rFonts w:ascii="Book Antiqua" w:hAnsi="Book Antiqua"/>
          <w:sz w:val="24"/>
          <w:szCs w:val="24"/>
        </w:rPr>
        <w:t xml:space="preserve"> </w:t>
      </w:r>
      <w:r>
        <w:rPr>
          <w:rFonts w:ascii="Book Antiqua" w:hAnsi="Book Antiqua"/>
          <w:sz w:val="24"/>
          <w:szCs w:val="24"/>
        </w:rPr>
        <w:t>C</w:t>
      </w:r>
      <w:r w:rsidRPr="0023263A">
        <w:rPr>
          <w:rFonts w:ascii="Book Antiqua" w:hAnsi="Book Antiqua"/>
          <w:sz w:val="24"/>
          <w:szCs w:val="24"/>
        </w:rPr>
        <w:t xml:space="preserve">. </w:t>
      </w:r>
      <w:r>
        <w:rPr>
          <w:rFonts w:ascii="Book Antiqua" w:hAnsi="Book Antiqua"/>
          <w:sz w:val="24"/>
          <w:szCs w:val="24"/>
        </w:rPr>
        <w:t xml:space="preserve">494, por medio de </w:t>
      </w:r>
      <w:r w:rsidR="005928F9">
        <w:rPr>
          <w:rFonts w:ascii="Book Antiqua" w:hAnsi="Book Antiqua"/>
          <w:sz w:val="24"/>
          <w:szCs w:val="24"/>
        </w:rPr>
        <w:t xml:space="preserve">director, </w:t>
      </w:r>
      <w:proofErr w:type="spellStart"/>
      <w:r w:rsidR="005928F9">
        <w:rPr>
          <w:rFonts w:ascii="Book Antiqua" w:hAnsi="Book Antiqua"/>
          <w:sz w:val="24"/>
          <w:szCs w:val="24"/>
        </w:rPr>
        <w:t>Hon</w:t>
      </w:r>
      <w:proofErr w:type="spellEnd"/>
      <w:r w:rsidR="005928F9">
        <w:rPr>
          <w:rFonts w:ascii="Book Antiqua" w:hAnsi="Book Antiqua"/>
          <w:sz w:val="24"/>
          <w:szCs w:val="24"/>
        </w:rPr>
        <w:t xml:space="preserve">. Sigfrido </w:t>
      </w:r>
      <w:proofErr w:type="spellStart"/>
      <w:r w:rsidR="005928F9">
        <w:rPr>
          <w:rFonts w:ascii="Book Antiqua" w:hAnsi="Book Antiqua"/>
          <w:sz w:val="24"/>
          <w:szCs w:val="24"/>
        </w:rPr>
        <w:t>Steidel</w:t>
      </w:r>
      <w:proofErr w:type="spellEnd"/>
      <w:r w:rsidR="005928F9">
        <w:rPr>
          <w:rFonts w:ascii="Book Antiqua" w:hAnsi="Book Antiqua"/>
          <w:sz w:val="24"/>
          <w:szCs w:val="24"/>
        </w:rPr>
        <w:t xml:space="preserve"> Figueroa</w:t>
      </w:r>
      <w:r>
        <w:rPr>
          <w:rFonts w:ascii="Book Antiqua" w:hAnsi="Book Antiqua"/>
          <w:sz w:val="24"/>
          <w:szCs w:val="24"/>
        </w:rPr>
        <w:t xml:space="preserve">, </w:t>
      </w:r>
      <w:r w:rsidRPr="00C25C4E">
        <w:rPr>
          <w:rFonts w:ascii="Book Antiqua" w:hAnsi="Book Antiqua"/>
          <w:sz w:val="24"/>
          <w:szCs w:val="24"/>
        </w:rPr>
        <w:t>presentando recomendaciones y comentarios a la misma</w:t>
      </w:r>
      <w:r w:rsidRPr="0023263A">
        <w:rPr>
          <w:rFonts w:ascii="Book Antiqua" w:hAnsi="Book Antiqua"/>
          <w:sz w:val="24"/>
          <w:szCs w:val="24"/>
        </w:rPr>
        <w:t>.</w:t>
      </w:r>
    </w:p>
    <w:p w14:paraId="22B750EC" w14:textId="77777777" w:rsidR="005928F9" w:rsidRDefault="005928F9" w:rsidP="00E349E9">
      <w:pPr>
        <w:tabs>
          <w:tab w:val="num" w:pos="720"/>
          <w:tab w:val="num" w:pos="1440"/>
        </w:tabs>
        <w:spacing w:after="0" w:line="240" w:lineRule="auto"/>
        <w:jc w:val="both"/>
        <w:rPr>
          <w:rFonts w:ascii="Book Antiqua" w:hAnsi="Book Antiqua"/>
          <w:sz w:val="24"/>
          <w:szCs w:val="24"/>
        </w:rPr>
      </w:pPr>
    </w:p>
    <w:p w14:paraId="691143A1" w14:textId="571BAFCB" w:rsidR="005928F9" w:rsidRDefault="00E36930" w:rsidP="00E349E9">
      <w:pPr>
        <w:tabs>
          <w:tab w:val="num" w:pos="720"/>
          <w:tab w:val="num" w:pos="1440"/>
        </w:tabs>
        <w:spacing w:after="0" w:line="240" w:lineRule="auto"/>
        <w:jc w:val="both"/>
        <w:rPr>
          <w:rFonts w:ascii="Book Antiqua" w:hAnsi="Book Antiqua"/>
          <w:sz w:val="24"/>
          <w:szCs w:val="24"/>
        </w:rPr>
      </w:pPr>
      <w:r>
        <w:rPr>
          <w:rFonts w:ascii="Book Antiqua" w:hAnsi="Book Antiqua"/>
          <w:sz w:val="24"/>
          <w:szCs w:val="24"/>
        </w:rPr>
        <w:t>A solicitud de la Comisión, la OAT presentó</w:t>
      </w:r>
      <w:r w:rsidR="007F53AA">
        <w:rPr>
          <w:rFonts w:ascii="Book Antiqua" w:hAnsi="Book Antiqua"/>
          <w:sz w:val="24"/>
          <w:szCs w:val="24"/>
        </w:rPr>
        <w:t xml:space="preserve"> los Anuarios Estadísticos de los Años Fiscales 2022-2023 y 2023-2024, los cuales detallan las causas de acción de tipo laboral en las que figura el procedimiento sumario laboral. Evaluadas las mismas, advertimos que los datos incluyen </w:t>
      </w:r>
      <w:r w:rsidR="00290FD4">
        <w:rPr>
          <w:rFonts w:ascii="Book Antiqua" w:hAnsi="Book Antiqua"/>
          <w:sz w:val="24"/>
          <w:szCs w:val="24"/>
        </w:rPr>
        <w:t>la materia de cómo fue presentado por la parte querellante y no reflejan necesariamente si los casos fueron atendidos de forma sumaria o bajo el procedimiento ordinario.</w:t>
      </w:r>
    </w:p>
    <w:p w14:paraId="29B50F76" w14:textId="77777777" w:rsidR="00286D5F" w:rsidRDefault="00286D5F" w:rsidP="00E349E9">
      <w:pPr>
        <w:tabs>
          <w:tab w:val="num" w:pos="720"/>
          <w:tab w:val="num" w:pos="1440"/>
        </w:tabs>
        <w:spacing w:after="0" w:line="240" w:lineRule="auto"/>
        <w:jc w:val="both"/>
        <w:rPr>
          <w:rFonts w:ascii="Book Antiqua" w:hAnsi="Book Antiqua"/>
          <w:sz w:val="24"/>
          <w:szCs w:val="24"/>
        </w:rPr>
      </w:pPr>
    </w:p>
    <w:p w14:paraId="1835713E" w14:textId="4293FC39" w:rsidR="00286D5F" w:rsidRDefault="00286D5F" w:rsidP="00E349E9">
      <w:pPr>
        <w:tabs>
          <w:tab w:val="num" w:pos="720"/>
          <w:tab w:val="num" w:pos="1440"/>
        </w:tabs>
        <w:spacing w:after="0" w:line="240" w:lineRule="auto"/>
        <w:jc w:val="both"/>
        <w:rPr>
          <w:rFonts w:ascii="Book Antiqua" w:hAnsi="Book Antiqua"/>
          <w:sz w:val="24"/>
          <w:szCs w:val="24"/>
        </w:rPr>
      </w:pPr>
      <w:r w:rsidRPr="0082079D">
        <w:rPr>
          <w:rFonts w:ascii="Book Antiqua" w:hAnsi="Book Antiqua"/>
          <w:sz w:val="24"/>
          <w:szCs w:val="24"/>
        </w:rPr>
        <w:t xml:space="preserve">La OAT indica que </w:t>
      </w:r>
      <w:r w:rsidR="0082079D" w:rsidRPr="0082079D">
        <w:rPr>
          <w:rFonts w:ascii="Book Antiqua" w:hAnsi="Book Antiqua"/>
          <w:sz w:val="24"/>
          <w:szCs w:val="24"/>
        </w:rPr>
        <w:t>en lo referente a los comentarios que p</w:t>
      </w:r>
      <w:r w:rsidR="0095591C">
        <w:rPr>
          <w:rFonts w:ascii="Book Antiqua" w:hAnsi="Book Antiqua"/>
          <w:sz w:val="24"/>
          <w:szCs w:val="24"/>
        </w:rPr>
        <w:t>uedan</w:t>
      </w:r>
      <w:r w:rsidR="0082079D" w:rsidRPr="0082079D">
        <w:rPr>
          <w:rFonts w:ascii="Book Antiqua" w:hAnsi="Book Antiqua"/>
          <w:sz w:val="24"/>
          <w:szCs w:val="24"/>
        </w:rPr>
        <w:t xml:space="preserve"> tener sobre los méritos del P. de la C. 494, </w:t>
      </w:r>
      <w:r w:rsidR="0095591C">
        <w:rPr>
          <w:rFonts w:ascii="Book Antiqua" w:hAnsi="Book Antiqua"/>
          <w:sz w:val="24"/>
          <w:szCs w:val="24"/>
        </w:rPr>
        <w:t xml:space="preserve">su </w:t>
      </w:r>
      <w:r w:rsidR="0082079D" w:rsidRPr="0082079D">
        <w:rPr>
          <w:rFonts w:ascii="Book Antiqua" w:hAnsi="Book Antiqua"/>
          <w:sz w:val="24"/>
          <w:szCs w:val="24"/>
        </w:rPr>
        <w:t xml:space="preserve">criterio general es que el objetivo de fondo de la medida, a saber, limitar las causas de acciones laborales susceptibles de tramitarse por el vehículo procesal </w:t>
      </w:r>
      <w:r w:rsidR="0082079D" w:rsidRPr="0082079D">
        <w:rPr>
          <w:rFonts w:ascii="Book Antiqua" w:hAnsi="Book Antiqua"/>
          <w:sz w:val="24"/>
          <w:szCs w:val="24"/>
        </w:rPr>
        <w:lastRenderedPageBreak/>
        <w:t>sumario que brinda la Ley Núm. 2, es una determinación de política pública que se ubica dentro de las prerrogativas que ostenta la Asamblea Legislativa. La Oficina de Administración de los Tribunales tiene por norma general abstenerse de emitir comentarios sobre asuntos de política pública gubernamental de la competencia de los otros poderes del Gobierno</w:t>
      </w:r>
      <w:r w:rsidR="00711034">
        <w:rPr>
          <w:rFonts w:ascii="Book Antiqua" w:hAnsi="Book Antiqua"/>
          <w:sz w:val="24"/>
          <w:szCs w:val="24"/>
        </w:rPr>
        <w:t>.</w:t>
      </w:r>
    </w:p>
    <w:p w14:paraId="292D05D8" w14:textId="77777777" w:rsidR="00711034" w:rsidRDefault="00711034" w:rsidP="00E349E9">
      <w:pPr>
        <w:tabs>
          <w:tab w:val="num" w:pos="720"/>
          <w:tab w:val="num" w:pos="1440"/>
        </w:tabs>
        <w:spacing w:after="0" w:line="240" w:lineRule="auto"/>
        <w:jc w:val="both"/>
        <w:rPr>
          <w:rFonts w:ascii="Book Antiqua" w:hAnsi="Book Antiqua"/>
          <w:sz w:val="24"/>
          <w:szCs w:val="24"/>
        </w:rPr>
      </w:pPr>
    </w:p>
    <w:p w14:paraId="1CC5A36A" w14:textId="178D966D" w:rsidR="007B3187" w:rsidRDefault="00D7353F" w:rsidP="006D4416">
      <w:pPr>
        <w:tabs>
          <w:tab w:val="num" w:pos="720"/>
          <w:tab w:val="num" w:pos="1440"/>
        </w:tabs>
        <w:spacing w:after="0" w:line="240" w:lineRule="auto"/>
        <w:jc w:val="both"/>
        <w:rPr>
          <w:rFonts w:ascii="Book Antiqua" w:eastAsia="Times New Roman" w:hAnsi="Book Antiqua" w:cs="Times New Roman"/>
          <w:sz w:val="24"/>
          <w:szCs w:val="24"/>
        </w:rPr>
      </w:pPr>
      <w:r>
        <w:rPr>
          <w:rFonts w:ascii="Book Antiqua" w:hAnsi="Book Antiqua"/>
          <w:sz w:val="24"/>
          <w:szCs w:val="24"/>
        </w:rPr>
        <w:t>Finalmente</w:t>
      </w:r>
      <w:r w:rsidR="00711034">
        <w:rPr>
          <w:rFonts w:ascii="Book Antiqua" w:hAnsi="Book Antiqua"/>
          <w:sz w:val="24"/>
          <w:szCs w:val="24"/>
        </w:rPr>
        <w:t xml:space="preserve">, traen a la atención de esta Comisión lo resuelto por el Tribunal Supremo de Puerto Rico en el caso </w:t>
      </w:r>
      <w:r w:rsidR="00AC439C">
        <w:rPr>
          <w:rFonts w:ascii="Book Antiqua" w:eastAsia="Times New Roman" w:hAnsi="Book Antiqua" w:cs="Times New Roman"/>
          <w:i/>
          <w:iCs/>
          <w:sz w:val="24"/>
          <w:szCs w:val="24"/>
        </w:rPr>
        <w:t xml:space="preserve">Collazo Muñiz v. New </w:t>
      </w:r>
      <w:proofErr w:type="spellStart"/>
      <w:r w:rsidR="00AC439C">
        <w:rPr>
          <w:rFonts w:ascii="Book Antiqua" w:eastAsia="Times New Roman" w:hAnsi="Book Antiqua" w:cs="Times New Roman"/>
          <w:i/>
          <w:iCs/>
          <w:sz w:val="24"/>
          <w:szCs w:val="24"/>
        </w:rPr>
        <w:t>Fashion</w:t>
      </w:r>
      <w:proofErr w:type="spellEnd"/>
      <w:r w:rsidR="00AC439C">
        <w:rPr>
          <w:rFonts w:ascii="Book Antiqua" w:eastAsia="Times New Roman" w:hAnsi="Book Antiqua" w:cs="Times New Roman"/>
          <w:i/>
          <w:iCs/>
          <w:sz w:val="24"/>
          <w:szCs w:val="24"/>
        </w:rPr>
        <w:t xml:space="preserve"> </w:t>
      </w:r>
      <w:proofErr w:type="spellStart"/>
      <w:r w:rsidR="00AC439C">
        <w:rPr>
          <w:rFonts w:ascii="Book Antiqua" w:eastAsia="Times New Roman" w:hAnsi="Book Antiqua" w:cs="Times New Roman"/>
          <w:i/>
          <w:iCs/>
          <w:sz w:val="24"/>
          <w:szCs w:val="24"/>
        </w:rPr>
        <w:t>World</w:t>
      </w:r>
      <w:proofErr w:type="spellEnd"/>
      <w:r w:rsidR="00AC439C">
        <w:rPr>
          <w:rFonts w:ascii="Book Antiqua" w:eastAsia="Times New Roman" w:hAnsi="Book Antiqua" w:cs="Times New Roman"/>
          <w:i/>
          <w:iCs/>
          <w:sz w:val="24"/>
          <w:szCs w:val="24"/>
        </w:rPr>
        <w:t xml:space="preserve"> </w:t>
      </w:r>
      <w:proofErr w:type="spellStart"/>
      <w:r w:rsidR="00AC439C">
        <w:rPr>
          <w:rFonts w:ascii="Book Antiqua" w:eastAsia="Times New Roman" w:hAnsi="Book Antiqua" w:cs="Times New Roman"/>
          <w:i/>
          <w:iCs/>
          <w:sz w:val="24"/>
          <w:szCs w:val="24"/>
        </w:rPr>
        <w:t>Corporation</w:t>
      </w:r>
      <w:proofErr w:type="spellEnd"/>
      <w:r w:rsidR="00AC439C">
        <w:rPr>
          <w:rFonts w:ascii="Book Antiqua" w:eastAsia="Times New Roman" w:hAnsi="Book Antiqua" w:cs="Times New Roman"/>
          <w:i/>
          <w:iCs/>
          <w:sz w:val="24"/>
          <w:szCs w:val="24"/>
        </w:rPr>
        <w:t xml:space="preserve">, </w:t>
      </w:r>
      <w:r w:rsidR="00AC439C">
        <w:rPr>
          <w:rFonts w:ascii="Book Antiqua" w:eastAsia="Times New Roman" w:hAnsi="Book Antiqua" w:cs="Times New Roman"/>
          <w:sz w:val="24"/>
          <w:szCs w:val="24"/>
        </w:rPr>
        <w:t>2025 TSPR 22</w:t>
      </w:r>
      <w:r w:rsidR="007A54CE">
        <w:rPr>
          <w:rFonts w:ascii="Book Antiqua" w:eastAsia="Times New Roman" w:hAnsi="Book Antiqua" w:cs="Times New Roman"/>
          <w:sz w:val="24"/>
          <w:szCs w:val="24"/>
        </w:rPr>
        <w:t xml:space="preserve">, resuelto el 13 de marzo de 2025; en el cual nuestro Más Alto Foro tuvo a bien resolver una controversia sobre procedimiento sumario laboral. Allí concluyó que “permitir </w:t>
      </w:r>
      <w:r w:rsidR="006D4416">
        <w:rPr>
          <w:rFonts w:ascii="Book Antiqua" w:eastAsia="Times New Roman" w:hAnsi="Book Antiqua" w:cs="Times New Roman"/>
          <w:sz w:val="24"/>
          <w:szCs w:val="24"/>
        </w:rPr>
        <w:t>que</w:t>
      </w:r>
      <w:r w:rsidR="007A54CE">
        <w:rPr>
          <w:rFonts w:ascii="Book Antiqua" w:eastAsia="Times New Roman" w:hAnsi="Book Antiqua" w:cs="Times New Roman"/>
          <w:sz w:val="24"/>
          <w:szCs w:val="24"/>
        </w:rPr>
        <w:t xml:space="preserve"> un patrono querellado </w:t>
      </w:r>
      <w:r w:rsidR="006D4416">
        <w:rPr>
          <w:rFonts w:ascii="Book Antiqua" w:eastAsia="Times New Roman" w:hAnsi="Book Antiqua" w:cs="Times New Roman"/>
          <w:sz w:val="24"/>
          <w:szCs w:val="24"/>
        </w:rPr>
        <w:t>presente una moci</w:t>
      </w:r>
      <w:r w:rsidR="00E71D73">
        <w:rPr>
          <w:rFonts w:ascii="Book Antiqua" w:eastAsia="Times New Roman" w:hAnsi="Book Antiqua" w:cs="Times New Roman"/>
          <w:sz w:val="24"/>
          <w:szCs w:val="24"/>
        </w:rPr>
        <w:t>ón de desestimación previo a su alegación responsiva atenta en contra del carácter</w:t>
      </w:r>
      <w:r w:rsidR="005F009F">
        <w:rPr>
          <w:rFonts w:ascii="Book Antiqua" w:eastAsia="Times New Roman" w:hAnsi="Book Antiqua" w:cs="Times New Roman"/>
          <w:sz w:val="24"/>
          <w:szCs w:val="24"/>
        </w:rPr>
        <w:t xml:space="preserve"> sumario por el cual se ideó la Ley”.</w:t>
      </w:r>
    </w:p>
    <w:p w14:paraId="1EF00513" w14:textId="77777777" w:rsidR="000E00CA" w:rsidRDefault="000E00CA" w:rsidP="006D4416">
      <w:pPr>
        <w:tabs>
          <w:tab w:val="num" w:pos="720"/>
          <w:tab w:val="num" w:pos="1440"/>
        </w:tabs>
        <w:spacing w:after="0" w:line="240" w:lineRule="auto"/>
        <w:jc w:val="both"/>
        <w:rPr>
          <w:rFonts w:ascii="Book Antiqua" w:eastAsia="Times New Roman" w:hAnsi="Book Antiqua" w:cs="Times New Roman"/>
          <w:sz w:val="24"/>
          <w:szCs w:val="24"/>
        </w:rPr>
      </w:pPr>
    </w:p>
    <w:p w14:paraId="337A3730" w14:textId="718767C4" w:rsidR="00CD0B84" w:rsidRPr="0023263A" w:rsidRDefault="00CD0B84" w:rsidP="00CD0B84">
      <w:pPr>
        <w:spacing w:after="0" w:line="240" w:lineRule="auto"/>
        <w:jc w:val="center"/>
        <w:rPr>
          <w:rFonts w:ascii="Book Antiqua" w:hAnsi="Book Antiqua"/>
          <w:b/>
          <w:bCs/>
          <w:sz w:val="24"/>
          <w:szCs w:val="24"/>
        </w:rPr>
      </w:pPr>
      <w:r>
        <w:rPr>
          <w:rFonts w:ascii="Book Antiqua" w:hAnsi="Book Antiqua"/>
          <w:b/>
          <w:bCs/>
          <w:sz w:val="24"/>
          <w:szCs w:val="24"/>
        </w:rPr>
        <w:t xml:space="preserve">COLEGIO DE </w:t>
      </w:r>
      <w:proofErr w:type="gramStart"/>
      <w:r>
        <w:rPr>
          <w:rFonts w:ascii="Book Antiqua" w:hAnsi="Book Antiqua"/>
          <w:b/>
          <w:bCs/>
          <w:sz w:val="24"/>
          <w:szCs w:val="24"/>
        </w:rPr>
        <w:t>ABOGADOS Y ABOGADAS</w:t>
      </w:r>
      <w:proofErr w:type="gramEnd"/>
      <w:r>
        <w:rPr>
          <w:rFonts w:ascii="Book Antiqua" w:hAnsi="Book Antiqua"/>
          <w:b/>
          <w:bCs/>
          <w:sz w:val="24"/>
          <w:szCs w:val="24"/>
        </w:rPr>
        <w:t xml:space="preserve"> DE PUERTO RICO </w:t>
      </w:r>
    </w:p>
    <w:p w14:paraId="72A3FFAE" w14:textId="77777777" w:rsidR="00CD0B84" w:rsidRPr="0023263A" w:rsidRDefault="00CD0B84" w:rsidP="00CD0B84">
      <w:pPr>
        <w:spacing w:after="0" w:line="240" w:lineRule="auto"/>
        <w:jc w:val="center"/>
        <w:rPr>
          <w:rFonts w:ascii="Book Antiqua" w:hAnsi="Book Antiqua"/>
          <w:b/>
          <w:bCs/>
          <w:sz w:val="24"/>
          <w:szCs w:val="24"/>
        </w:rPr>
      </w:pPr>
    </w:p>
    <w:p w14:paraId="1894AED9" w14:textId="143E6E3C" w:rsidR="00CD0B84" w:rsidRDefault="00CD0B84" w:rsidP="00CD0B84">
      <w:pPr>
        <w:tabs>
          <w:tab w:val="num" w:pos="720"/>
          <w:tab w:val="num" w:pos="1440"/>
        </w:tabs>
        <w:spacing w:after="0" w:line="240" w:lineRule="auto"/>
        <w:jc w:val="both"/>
        <w:rPr>
          <w:rFonts w:ascii="Book Antiqua" w:hAnsi="Book Antiqua"/>
          <w:sz w:val="24"/>
          <w:szCs w:val="24"/>
        </w:rPr>
      </w:pPr>
      <w:r>
        <w:rPr>
          <w:rFonts w:ascii="Book Antiqua" w:eastAsia="Times New Roman" w:hAnsi="Book Antiqua"/>
          <w:bCs/>
          <w:sz w:val="24"/>
          <w:szCs w:val="24"/>
          <w:lang w:val="es-ES"/>
        </w:rPr>
        <w:t xml:space="preserve">El Colegio de </w:t>
      </w:r>
      <w:proofErr w:type="gramStart"/>
      <w:r>
        <w:rPr>
          <w:rFonts w:ascii="Book Antiqua" w:eastAsia="Times New Roman" w:hAnsi="Book Antiqua"/>
          <w:bCs/>
          <w:sz w:val="24"/>
          <w:szCs w:val="24"/>
          <w:lang w:val="es-ES"/>
        </w:rPr>
        <w:t>Abogados y Abogadas</w:t>
      </w:r>
      <w:proofErr w:type="gramEnd"/>
      <w:r>
        <w:rPr>
          <w:rFonts w:ascii="Book Antiqua" w:eastAsia="Times New Roman" w:hAnsi="Book Antiqua"/>
          <w:bCs/>
          <w:sz w:val="24"/>
          <w:szCs w:val="24"/>
          <w:lang w:val="es-ES"/>
        </w:rPr>
        <w:t xml:space="preserve"> de Puerto Rico (CAAPR</w:t>
      </w:r>
      <w:r w:rsidRPr="0023263A">
        <w:rPr>
          <w:rFonts w:ascii="Book Antiqua" w:eastAsia="Times New Roman" w:hAnsi="Book Antiqua"/>
          <w:bCs/>
          <w:sz w:val="24"/>
          <w:szCs w:val="24"/>
          <w:lang w:val="es-ES"/>
        </w:rPr>
        <w:t>),</w:t>
      </w:r>
      <w:r w:rsidRPr="0023263A">
        <w:rPr>
          <w:rFonts w:ascii="Book Antiqua" w:hAnsi="Book Antiqua"/>
          <w:sz w:val="24"/>
          <w:szCs w:val="24"/>
        </w:rPr>
        <w:t xml:space="preserve"> presentó su memorial explicativo para el P. de</w:t>
      </w:r>
      <w:r>
        <w:rPr>
          <w:rFonts w:ascii="Book Antiqua" w:hAnsi="Book Antiqua"/>
          <w:sz w:val="24"/>
          <w:szCs w:val="24"/>
        </w:rPr>
        <w:t xml:space="preserve"> </w:t>
      </w:r>
      <w:r w:rsidRPr="0023263A">
        <w:rPr>
          <w:rFonts w:ascii="Book Antiqua" w:hAnsi="Book Antiqua"/>
          <w:sz w:val="24"/>
          <w:szCs w:val="24"/>
        </w:rPr>
        <w:t>l</w:t>
      </w:r>
      <w:r>
        <w:rPr>
          <w:rFonts w:ascii="Book Antiqua" w:hAnsi="Book Antiqua"/>
          <w:sz w:val="24"/>
          <w:szCs w:val="24"/>
        </w:rPr>
        <w:t>a</w:t>
      </w:r>
      <w:r w:rsidRPr="0023263A">
        <w:rPr>
          <w:rFonts w:ascii="Book Antiqua" w:hAnsi="Book Antiqua"/>
          <w:sz w:val="24"/>
          <w:szCs w:val="24"/>
        </w:rPr>
        <w:t xml:space="preserve"> </w:t>
      </w:r>
      <w:r>
        <w:rPr>
          <w:rFonts w:ascii="Book Antiqua" w:hAnsi="Book Antiqua"/>
          <w:sz w:val="24"/>
          <w:szCs w:val="24"/>
        </w:rPr>
        <w:t>C</w:t>
      </w:r>
      <w:r w:rsidRPr="0023263A">
        <w:rPr>
          <w:rFonts w:ascii="Book Antiqua" w:hAnsi="Book Antiqua"/>
          <w:sz w:val="24"/>
          <w:szCs w:val="24"/>
        </w:rPr>
        <w:t xml:space="preserve">. </w:t>
      </w:r>
      <w:r>
        <w:rPr>
          <w:rFonts w:ascii="Book Antiqua" w:hAnsi="Book Antiqua"/>
          <w:sz w:val="24"/>
          <w:szCs w:val="24"/>
        </w:rPr>
        <w:t xml:space="preserve">494, por medio de </w:t>
      </w:r>
      <w:r w:rsidR="00CC28C3">
        <w:rPr>
          <w:rFonts w:ascii="Book Antiqua" w:hAnsi="Book Antiqua"/>
          <w:sz w:val="24"/>
          <w:szCs w:val="24"/>
        </w:rPr>
        <w:t xml:space="preserve">los licenciados Vivian </w:t>
      </w:r>
      <w:proofErr w:type="spellStart"/>
      <w:r w:rsidR="0004466F">
        <w:rPr>
          <w:rFonts w:ascii="Book Antiqua" w:hAnsi="Book Antiqua"/>
          <w:sz w:val="24"/>
          <w:szCs w:val="24"/>
        </w:rPr>
        <w:t>Godineaux</w:t>
      </w:r>
      <w:proofErr w:type="spellEnd"/>
      <w:r w:rsidR="0004466F">
        <w:rPr>
          <w:rFonts w:ascii="Book Antiqua" w:hAnsi="Book Antiqua"/>
          <w:sz w:val="24"/>
          <w:szCs w:val="24"/>
        </w:rPr>
        <w:t xml:space="preserve"> Villaronga, Félix </w:t>
      </w:r>
      <w:proofErr w:type="spellStart"/>
      <w:r w:rsidR="0004466F">
        <w:rPr>
          <w:rFonts w:ascii="Book Antiqua" w:hAnsi="Book Antiqua"/>
          <w:sz w:val="24"/>
          <w:szCs w:val="24"/>
        </w:rPr>
        <w:t>Bartolomei</w:t>
      </w:r>
      <w:proofErr w:type="spellEnd"/>
      <w:r w:rsidR="0004466F">
        <w:rPr>
          <w:rFonts w:ascii="Book Antiqua" w:hAnsi="Book Antiqua"/>
          <w:sz w:val="24"/>
          <w:szCs w:val="24"/>
        </w:rPr>
        <w:t xml:space="preserve"> Rodríguez y Víctor</w:t>
      </w:r>
      <w:r w:rsidR="000634A6">
        <w:rPr>
          <w:rFonts w:ascii="Book Antiqua" w:hAnsi="Book Antiqua"/>
          <w:sz w:val="24"/>
          <w:szCs w:val="24"/>
        </w:rPr>
        <w:t xml:space="preserve"> Bermúdez Pérez</w:t>
      </w:r>
      <w:r>
        <w:rPr>
          <w:rFonts w:ascii="Book Antiqua" w:hAnsi="Book Antiqua"/>
          <w:sz w:val="24"/>
          <w:szCs w:val="24"/>
        </w:rPr>
        <w:t>,</w:t>
      </w:r>
      <w:r w:rsidR="000634A6">
        <w:rPr>
          <w:rFonts w:ascii="Book Antiqua" w:hAnsi="Book Antiqua"/>
          <w:sz w:val="24"/>
          <w:szCs w:val="24"/>
        </w:rPr>
        <w:t xml:space="preserve"> </w:t>
      </w:r>
      <w:r w:rsidRPr="00C25C4E">
        <w:rPr>
          <w:rFonts w:ascii="Book Antiqua" w:hAnsi="Book Antiqua"/>
          <w:sz w:val="24"/>
          <w:szCs w:val="24"/>
        </w:rPr>
        <w:t xml:space="preserve">presentando recomendaciones y comentarios a la </w:t>
      </w:r>
      <w:r w:rsidR="00A47F13">
        <w:rPr>
          <w:rFonts w:ascii="Book Antiqua" w:hAnsi="Book Antiqua"/>
          <w:sz w:val="24"/>
          <w:szCs w:val="24"/>
        </w:rPr>
        <w:t>medida</w:t>
      </w:r>
      <w:r w:rsidR="00767527">
        <w:rPr>
          <w:rFonts w:ascii="Book Antiqua" w:hAnsi="Book Antiqua"/>
          <w:sz w:val="24"/>
          <w:szCs w:val="24"/>
        </w:rPr>
        <w:t xml:space="preserve"> y concluyendo que no se apoya </w:t>
      </w:r>
      <w:r w:rsidR="00AA756C">
        <w:rPr>
          <w:rFonts w:ascii="Book Antiqua" w:hAnsi="Book Antiqua"/>
          <w:sz w:val="24"/>
          <w:szCs w:val="24"/>
        </w:rPr>
        <w:t>su aprobación</w:t>
      </w:r>
      <w:r w:rsidRPr="0023263A">
        <w:rPr>
          <w:rFonts w:ascii="Book Antiqua" w:hAnsi="Book Antiqua"/>
          <w:sz w:val="24"/>
          <w:szCs w:val="24"/>
        </w:rPr>
        <w:t>.</w:t>
      </w:r>
    </w:p>
    <w:p w14:paraId="38EBF4EE" w14:textId="77777777" w:rsidR="00AA756C" w:rsidRDefault="00AA756C" w:rsidP="00CD0B84">
      <w:pPr>
        <w:tabs>
          <w:tab w:val="num" w:pos="720"/>
          <w:tab w:val="num" w:pos="1440"/>
        </w:tabs>
        <w:spacing w:after="0" w:line="240" w:lineRule="auto"/>
        <w:jc w:val="both"/>
        <w:rPr>
          <w:rFonts w:ascii="Book Antiqua" w:hAnsi="Book Antiqua"/>
          <w:sz w:val="24"/>
          <w:szCs w:val="24"/>
        </w:rPr>
      </w:pPr>
    </w:p>
    <w:p w14:paraId="1DF0B815" w14:textId="4BE46246" w:rsidR="00AA756C" w:rsidRDefault="00AA756C" w:rsidP="00CD0B84">
      <w:pPr>
        <w:tabs>
          <w:tab w:val="num" w:pos="720"/>
          <w:tab w:val="num" w:pos="1440"/>
        </w:tabs>
        <w:spacing w:after="0" w:line="240" w:lineRule="auto"/>
        <w:jc w:val="both"/>
        <w:rPr>
          <w:rFonts w:ascii="Book Antiqua" w:hAnsi="Book Antiqua"/>
          <w:sz w:val="24"/>
          <w:szCs w:val="24"/>
        </w:rPr>
      </w:pPr>
      <w:r>
        <w:rPr>
          <w:rFonts w:ascii="Book Antiqua" w:hAnsi="Book Antiqua"/>
          <w:sz w:val="24"/>
          <w:szCs w:val="24"/>
        </w:rPr>
        <w:t>El CAAPR</w:t>
      </w:r>
      <w:r w:rsidR="001C01EE">
        <w:rPr>
          <w:rFonts w:ascii="Book Antiqua" w:hAnsi="Book Antiqua"/>
          <w:sz w:val="24"/>
          <w:szCs w:val="24"/>
        </w:rPr>
        <w:t xml:space="preserve"> inicia su exposición realizando un recuento sobre el desarrollo legislativo y jurisprudencial del procedimiento sumario de reclamaciones laborales</w:t>
      </w:r>
      <w:r w:rsidR="00BA5573">
        <w:rPr>
          <w:rFonts w:ascii="Book Antiqua" w:hAnsi="Book Antiqua"/>
          <w:sz w:val="24"/>
          <w:szCs w:val="24"/>
        </w:rPr>
        <w:t xml:space="preserve"> y luego de su análisis, es su opinión que no se debe legislar para excluir las reclamaciones de discrimen, represalias, hostigamiento sexual, daños bajo la infundada premisa de que se tratan de reclamaciones complejas. Señalan que el análisis debe ser realizado por el foro judicial</w:t>
      </w:r>
      <w:r w:rsidR="005871FD">
        <w:rPr>
          <w:rFonts w:ascii="Book Antiqua" w:hAnsi="Book Antiqua"/>
          <w:sz w:val="24"/>
          <w:szCs w:val="24"/>
        </w:rPr>
        <w:t>.</w:t>
      </w:r>
    </w:p>
    <w:p w14:paraId="3A0FB6C6" w14:textId="77777777" w:rsidR="005871FD" w:rsidRDefault="005871FD" w:rsidP="00CD0B84">
      <w:pPr>
        <w:tabs>
          <w:tab w:val="num" w:pos="720"/>
          <w:tab w:val="num" w:pos="1440"/>
        </w:tabs>
        <w:spacing w:after="0" w:line="240" w:lineRule="auto"/>
        <w:jc w:val="both"/>
        <w:rPr>
          <w:rFonts w:ascii="Book Antiqua" w:hAnsi="Book Antiqua"/>
          <w:sz w:val="24"/>
          <w:szCs w:val="24"/>
        </w:rPr>
      </w:pPr>
    </w:p>
    <w:p w14:paraId="422E5853" w14:textId="7FB5BD2D" w:rsidR="005871FD" w:rsidRDefault="005871FD" w:rsidP="00CD0B84">
      <w:pPr>
        <w:tabs>
          <w:tab w:val="num" w:pos="720"/>
          <w:tab w:val="num" w:pos="1440"/>
        </w:tabs>
        <w:spacing w:after="0" w:line="240" w:lineRule="auto"/>
        <w:jc w:val="both"/>
        <w:rPr>
          <w:rFonts w:ascii="Book Antiqua" w:hAnsi="Book Antiqua"/>
          <w:sz w:val="24"/>
          <w:szCs w:val="24"/>
        </w:rPr>
      </w:pPr>
      <w:r>
        <w:rPr>
          <w:rFonts w:ascii="Book Antiqua" w:hAnsi="Book Antiqua"/>
          <w:sz w:val="24"/>
          <w:szCs w:val="24"/>
        </w:rPr>
        <w:t xml:space="preserve">En lo que concierne a la moción de desestimación, indican </w:t>
      </w:r>
      <w:proofErr w:type="gramStart"/>
      <w:r>
        <w:rPr>
          <w:rFonts w:ascii="Book Antiqua" w:hAnsi="Book Antiqua"/>
          <w:sz w:val="24"/>
          <w:szCs w:val="24"/>
        </w:rPr>
        <w:t>que</w:t>
      </w:r>
      <w:proofErr w:type="gramEnd"/>
      <w:r>
        <w:rPr>
          <w:rFonts w:ascii="Book Antiqua" w:hAnsi="Book Antiqua"/>
          <w:sz w:val="24"/>
          <w:szCs w:val="24"/>
        </w:rPr>
        <w:t xml:space="preserve"> de aceptarse la enmienda, se desvirtuaría el proceso sumario, convirtiéndolo, de facto, en uno ordinario</w:t>
      </w:r>
      <w:r w:rsidR="005946A3">
        <w:rPr>
          <w:rFonts w:ascii="Book Antiqua" w:hAnsi="Book Antiqua"/>
          <w:sz w:val="24"/>
          <w:szCs w:val="24"/>
        </w:rPr>
        <w:t>. Entienden que la medida tiene un subterfugio de querer alargar el procedimiento y ponerle trabas económicas al querellante</w:t>
      </w:r>
      <w:r w:rsidR="002F6694">
        <w:rPr>
          <w:rFonts w:ascii="Book Antiqua" w:hAnsi="Book Antiqua"/>
          <w:sz w:val="24"/>
          <w:szCs w:val="24"/>
        </w:rPr>
        <w:t xml:space="preserve">; aún cuando el trabajador es la parte mas débil. </w:t>
      </w:r>
      <w:r w:rsidR="004B404E">
        <w:rPr>
          <w:rFonts w:ascii="Book Antiqua" w:hAnsi="Book Antiqua"/>
          <w:sz w:val="24"/>
          <w:szCs w:val="24"/>
        </w:rPr>
        <w:t xml:space="preserve"> Concluyen indicando </w:t>
      </w:r>
      <w:proofErr w:type="gramStart"/>
      <w:r w:rsidR="004B404E">
        <w:rPr>
          <w:rFonts w:ascii="Book Antiqua" w:hAnsi="Book Antiqua"/>
          <w:sz w:val="24"/>
          <w:szCs w:val="24"/>
        </w:rPr>
        <w:t>que</w:t>
      </w:r>
      <w:proofErr w:type="gramEnd"/>
      <w:r w:rsidR="004B404E">
        <w:rPr>
          <w:rFonts w:ascii="Book Antiqua" w:hAnsi="Book Antiqua"/>
          <w:sz w:val="24"/>
          <w:szCs w:val="24"/>
        </w:rPr>
        <w:t xml:space="preserve"> de aprobarse la medida, seria una afrenta contra la política publica laboral que debe interpretarse libremente a favor del trabajador.</w:t>
      </w:r>
    </w:p>
    <w:p w14:paraId="57D4161C" w14:textId="77777777" w:rsidR="00A96A6F" w:rsidRDefault="00A96A6F" w:rsidP="00CD0B84">
      <w:pPr>
        <w:tabs>
          <w:tab w:val="num" w:pos="720"/>
          <w:tab w:val="num" w:pos="1440"/>
        </w:tabs>
        <w:spacing w:after="0" w:line="240" w:lineRule="auto"/>
        <w:jc w:val="both"/>
        <w:rPr>
          <w:rFonts w:ascii="Book Antiqua" w:hAnsi="Book Antiqua"/>
          <w:sz w:val="24"/>
          <w:szCs w:val="24"/>
        </w:rPr>
      </w:pPr>
    </w:p>
    <w:p w14:paraId="7C1B6466" w14:textId="77777777" w:rsidR="00162CC8" w:rsidRDefault="00A96A6F" w:rsidP="00A96A6F">
      <w:pPr>
        <w:spacing w:after="0" w:line="240" w:lineRule="auto"/>
        <w:jc w:val="center"/>
        <w:rPr>
          <w:rFonts w:ascii="Book Antiqua" w:hAnsi="Book Antiqua"/>
          <w:b/>
          <w:bCs/>
          <w:sz w:val="24"/>
          <w:szCs w:val="24"/>
        </w:rPr>
      </w:pPr>
      <w:r>
        <w:rPr>
          <w:rFonts w:ascii="Book Antiqua" w:hAnsi="Book Antiqua"/>
          <w:b/>
          <w:bCs/>
          <w:sz w:val="24"/>
          <w:szCs w:val="24"/>
        </w:rPr>
        <w:t>OFICINA DE ADMINISTRACIÓN Y TRANSFORMACI</w:t>
      </w:r>
      <w:r w:rsidR="00B86265">
        <w:rPr>
          <w:rFonts w:ascii="Book Antiqua" w:hAnsi="Book Antiqua"/>
          <w:b/>
          <w:bCs/>
          <w:sz w:val="24"/>
          <w:szCs w:val="24"/>
        </w:rPr>
        <w:t xml:space="preserve">ÓN </w:t>
      </w:r>
    </w:p>
    <w:p w14:paraId="62A95A83" w14:textId="3D86EC13" w:rsidR="00A96A6F" w:rsidRPr="0023263A" w:rsidRDefault="00B86265" w:rsidP="00A96A6F">
      <w:pPr>
        <w:spacing w:after="0" w:line="240" w:lineRule="auto"/>
        <w:jc w:val="center"/>
        <w:rPr>
          <w:rFonts w:ascii="Book Antiqua" w:hAnsi="Book Antiqua"/>
          <w:b/>
          <w:bCs/>
          <w:sz w:val="24"/>
          <w:szCs w:val="24"/>
        </w:rPr>
      </w:pPr>
      <w:r>
        <w:rPr>
          <w:rFonts w:ascii="Book Antiqua" w:hAnsi="Book Antiqua"/>
          <w:b/>
          <w:bCs/>
          <w:sz w:val="24"/>
          <w:szCs w:val="24"/>
        </w:rPr>
        <w:t xml:space="preserve">DE LOS RECURSOS HUMANOS </w:t>
      </w:r>
    </w:p>
    <w:p w14:paraId="16022E08" w14:textId="77777777" w:rsidR="00A96A6F" w:rsidRPr="0023263A" w:rsidRDefault="00A96A6F" w:rsidP="00A96A6F">
      <w:pPr>
        <w:spacing w:after="0" w:line="240" w:lineRule="auto"/>
        <w:jc w:val="center"/>
        <w:rPr>
          <w:rFonts w:ascii="Book Antiqua" w:hAnsi="Book Antiqua"/>
          <w:b/>
          <w:bCs/>
          <w:sz w:val="24"/>
          <w:szCs w:val="24"/>
        </w:rPr>
      </w:pPr>
    </w:p>
    <w:p w14:paraId="6CACA599" w14:textId="1061ACC8" w:rsidR="00A96A6F" w:rsidRDefault="00A96A6F" w:rsidP="00A96A6F">
      <w:pPr>
        <w:tabs>
          <w:tab w:val="num" w:pos="720"/>
          <w:tab w:val="num" w:pos="1440"/>
        </w:tabs>
        <w:spacing w:after="0" w:line="240" w:lineRule="auto"/>
        <w:jc w:val="both"/>
        <w:rPr>
          <w:rFonts w:ascii="Book Antiqua" w:hAnsi="Book Antiqua"/>
          <w:sz w:val="24"/>
          <w:szCs w:val="24"/>
        </w:rPr>
      </w:pPr>
      <w:r>
        <w:rPr>
          <w:rFonts w:ascii="Book Antiqua" w:eastAsia="Times New Roman" w:hAnsi="Book Antiqua"/>
          <w:bCs/>
          <w:sz w:val="24"/>
          <w:szCs w:val="24"/>
          <w:lang w:val="es-ES"/>
        </w:rPr>
        <w:t xml:space="preserve">La Oficina de Administración de </w:t>
      </w:r>
      <w:r w:rsidR="00162CC8">
        <w:rPr>
          <w:rFonts w:ascii="Book Antiqua" w:eastAsia="Times New Roman" w:hAnsi="Book Antiqua"/>
          <w:bCs/>
          <w:sz w:val="24"/>
          <w:szCs w:val="24"/>
          <w:lang w:val="es-ES"/>
        </w:rPr>
        <w:t>Administración y Transformación de los Recursos Humanos</w:t>
      </w:r>
      <w:r>
        <w:rPr>
          <w:rFonts w:ascii="Book Antiqua" w:eastAsia="Times New Roman" w:hAnsi="Book Antiqua"/>
          <w:bCs/>
          <w:sz w:val="24"/>
          <w:szCs w:val="24"/>
          <w:lang w:val="es-ES"/>
        </w:rPr>
        <w:t xml:space="preserve"> (OAT</w:t>
      </w:r>
      <w:r w:rsidR="00162CC8">
        <w:rPr>
          <w:rFonts w:ascii="Book Antiqua" w:eastAsia="Times New Roman" w:hAnsi="Book Antiqua"/>
          <w:bCs/>
          <w:sz w:val="24"/>
          <w:szCs w:val="24"/>
          <w:lang w:val="es-ES"/>
        </w:rPr>
        <w:t>RH</w:t>
      </w:r>
      <w:r w:rsidRPr="0023263A">
        <w:rPr>
          <w:rFonts w:ascii="Book Antiqua" w:eastAsia="Times New Roman" w:hAnsi="Book Antiqua"/>
          <w:bCs/>
          <w:sz w:val="24"/>
          <w:szCs w:val="24"/>
          <w:lang w:val="es-ES"/>
        </w:rPr>
        <w:t>),</w:t>
      </w:r>
      <w:r w:rsidRPr="0023263A">
        <w:rPr>
          <w:rFonts w:ascii="Book Antiqua" w:hAnsi="Book Antiqua"/>
          <w:sz w:val="24"/>
          <w:szCs w:val="24"/>
        </w:rPr>
        <w:t xml:space="preserve"> presentó su memorial explicativo para el P. de</w:t>
      </w:r>
      <w:r>
        <w:rPr>
          <w:rFonts w:ascii="Book Antiqua" w:hAnsi="Book Antiqua"/>
          <w:sz w:val="24"/>
          <w:szCs w:val="24"/>
        </w:rPr>
        <w:t xml:space="preserve"> </w:t>
      </w:r>
      <w:r w:rsidRPr="0023263A">
        <w:rPr>
          <w:rFonts w:ascii="Book Antiqua" w:hAnsi="Book Antiqua"/>
          <w:sz w:val="24"/>
          <w:szCs w:val="24"/>
        </w:rPr>
        <w:t>l</w:t>
      </w:r>
      <w:r>
        <w:rPr>
          <w:rFonts w:ascii="Book Antiqua" w:hAnsi="Book Antiqua"/>
          <w:sz w:val="24"/>
          <w:szCs w:val="24"/>
        </w:rPr>
        <w:t>a</w:t>
      </w:r>
      <w:r w:rsidRPr="0023263A">
        <w:rPr>
          <w:rFonts w:ascii="Book Antiqua" w:hAnsi="Book Antiqua"/>
          <w:sz w:val="24"/>
          <w:szCs w:val="24"/>
        </w:rPr>
        <w:t xml:space="preserve"> </w:t>
      </w:r>
      <w:r>
        <w:rPr>
          <w:rFonts w:ascii="Book Antiqua" w:hAnsi="Book Antiqua"/>
          <w:sz w:val="24"/>
          <w:szCs w:val="24"/>
        </w:rPr>
        <w:t>C</w:t>
      </w:r>
      <w:r w:rsidRPr="0023263A">
        <w:rPr>
          <w:rFonts w:ascii="Book Antiqua" w:hAnsi="Book Antiqua"/>
          <w:sz w:val="24"/>
          <w:szCs w:val="24"/>
        </w:rPr>
        <w:t xml:space="preserve">. </w:t>
      </w:r>
      <w:r>
        <w:rPr>
          <w:rFonts w:ascii="Book Antiqua" w:hAnsi="Book Antiqua"/>
          <w:sz w:val="24"/>
          <w:szCs w:val="24"/>
        </w:rPr>
        <w:t>494, por medio de</w:t>
      </w:r>
      <w:r w:rsidR="006E7AF7">
        <w:rPr>
          <w:rFonts w:ascii="Book Antiqua" w:hAnsi="Book Antiqua"/>
          <w:sz w:val="24"/>
          <w:szCs w:val="24"/>
        </w:rPr>
        <w:t>l</w:t>
      </w:r>
      <w:r>
        <w:rPr>
          <w:rFonts w:ascii="Book Antiqua" w:hAnsi="Book Antiqua"/>
          <w:sz w:val="24"/>
          <w:szCs w:val="24"/>
        </w:rPr>
        <w:t xml:space="preserve"> director, </w:t>
      </w:r>
      <w:r w:rsidR="006E7AF7">
        <w:rPr>
          <w:rFonts w:ascii="Book Antiqua" w:hAnsi="Book Antiqua"/>
          <w:sz w:val="24"/>
          <w:szCs w:val="24"/>
        </w:rPr>
        <w:t>Lcdo. Facundo Di Mauro Vázquez</w:t>
      </w:r>
      <w:r>
        <w:rPr>
          <w:rFonts w:ascii="Book Antiqua" w:hAnsi="Book Antiqua"/>
          <w:sz w:val="24"/>
          <w:szCs w:val="24"/>
        </w:rPr>
        <w:t xml:space="preserve">, </w:t>
      </w:r>
      <w:r w:rsidR="00474336">
        <w:rPr>
          <w:rFonts w:ascii="Book Antiqua" w:hAnsi="Book Antiqua"/>
          <w:sz w:val="24"/>
          <w:szCs w:val="24"/>
        </w:rPr>
        <w:t>quien solicitó se les excusara de comentar toda vez que lo propuesto queda fuera de la jurisdicción de su agencia que se limita a los recursos humanos en el servicio público</w:t>
      </w:r>
      <w:r w:rsidRPr="0023263A">
        <w:rPr>
          <w:rFonts w:ascii="Book Antiqua" w:hAnsi="Book Antiqua"/>
          <w:sz w:val="24"/>
          <w:szCs w:val="24"/>
        </w:rPr>
        <w:t>.</w:t>
      </w:r>
    </w:p>
    <w:p w14:paraId="6ADA2E2D" w14:textId="77777777" w:rsidR="006D4416" w:rsidRPr="0023263A" w:rsidRDefault="006D4416" w:rsidP="006D4416">
      <w:pPr>
        <w:tabs>
          <w:tab w:val="num" w:pos="720"/>
          <w:tab w:val="num" w:pos="1440"/>
        </w:tabs>
        <w:spacing w:after="0" w:line="240" w:lineRule="auto"/>
        <w:jc w:val="both"/>
        <w:rPr>
          <w:rFonts w:ascii="Book Antiqua" w:hAnsi="Book Antiqua"/>
          <w:sz w:val="24"/>
          <w:szCs w:val="24"/>
        </w:rPr>
      </w:pPr>
    </w:p>
    <w:p w14:paraId="14EAA962" w14:textId="77777777" w:rsidR="00421D9C" w:rsidRPr="0023263A" w:rsidRDefault="00421D9C" w:rsidP="007B3187">
      <w:pPr>
        <w:pStyle w:val="Heading3"/>
        <w:spacing w:after="120"/>
        <w:ind w:left="3540" w:firstLine="0"/>
        <w:jc w:val="left"/>
        <w:rPr>
          <w:rFonts w:ascii="Book Antiqua" w:hAnsi="Book Antiqua"/>
        </w:rPr>
      </w:pPr>
      <w:r w:rsidRPr="0023263A">
        <w:rPr>
          <w:rFonts w:ascii="Book Antiqua" w:hAnsi="Book Antiqua"/>
        </w:rPr>
        <w:lastRenderedPageBreak/>
        <w:t>CONCLUSIÓN</w:t>
      </w:r>
    </w:p>
    <w:p w14:paraId="1897BF91" w14:textId="511FB4C1" w:rsidR="007B3187" w:rsidRDefault="007B3187" w:rsidP="007B3187">
      <w:pPr>
        <w:spacing w:after="0" w:line="240" w:lineRule="auto"/>
        <w:jc w:val="both"/>
        <w:rPr>
          <w:rFonts w:ascii="Book Antiqua" w:hAnsi="Book Antiqua"/>
          <w:sz w:val="24"/>
          <w:szCs w:val="24"/>
        </w:rPr>
      </w:pPr>
      <w:r w:rsidRPr="0023263A">
        <w:rPr>
          <w:rFonts w:ascii="Book Antiqua" w:hAnsi="Book Antiqua"/>
          <w:sz w:val="24"/>
          <w:szCs w:val="24"/>
        </w:rPr>
        <w:t xml:space="preserve">La Comisión del Trabajo y Asuntos Laborales </w:t>
      </w:r>
      <w:r w:rsidR="009A42DC">
        <w:rPr>
          <w:rFonts w:ascii="Book Antiqua" w:hAnsi="Book Antiqua"/>
          <w:sz w:val="24"/>
          <w:szCs w:val="24"/>
        </w:rPr>
        <w:t>c</w:t>
      </w:r>
      <w:r w:rsidRPr="0023263A">
        <w:rPr>
          <w:rFonts w:ascii="Book Antiqua" w:hAnsi="Book Antiqua"/>
          <w:sz w:val="24"/>
          <w:szCs w:val="24"/>
        </w:rPr>
        <w:t xml:space="preserve">oncluye que la medida constituye una respuesta legislativa </w:t>
      </w:r>
      <w:r w:rsidR="0026315B">
        <w:rPr>
          <w:rFonts w:ascii="Book Antiqua" w:hAnsi="Book Antiqua"/>
          <w:sz w:val="24"/>
          <w:szCs w:val="24"/>
        </w:rPr>
        <w:t xml:space="preserve">necesaria para </w:t>
      </w:r>
      <w:r w:rsidR="006C35D3">
        <w:rPr>
          <w:rFonts w:ascii="Book Antiqua" w:hAnsi="Book Antiqua"/>
          <w:sz w:val="24"/>
          <w:szCs w:val="24"/>
        </w:rPr>
        <w:t>mantener un justo balance en lo que respecta a la</w:t>
      </w:r>
      <w:r w:rsidR="00EC5143">
        <w:rPr>
          <w:rFonts w:ascii="Book Antiqua" w:hAnsi="Book Antiqua"/>
          <w:sz w:val="24"/>
          <w:szCs w:val="24"/>
        </w:rPr>
        <w:t xml:space="preserve"> adjudicación de controversias entre patronos y empleados</w:t>
      </w:r>
      <w:r w:rsidRPr="0023263A">
        <w:rPr>
          <w:rFonts w:ascii="Book Antiqua" w:hAnsi="Book Antiqua"/>
          <w:sz w:val="24"/>
          <w:szCs w:val="24"/>
        </w:rPr>
        <w:t>. El P. de</w:t>
      </w:r>
      <w:r w:rsidR="00AE34C7">
        <w:rPr>
          <w:rFonts w:ascii="Book Antiqua" w:hAnsi="Book Antiqua"/>
          <w:sz w:val="24"/>
          <w:szCs w:val="24"/>
        </w:rPr>
        <w:t xml:space="preserve"> </w:t>
      </w:r>
      <w:r w:rsidRPr="0023263A">
        <w:rPr>
          <w:rFonts w:ascii="Book Antiqua" w:hAnsi="Book Antiqua"/>
          <w:sz w:val="24"/>
          <w:szCs w:val="24"/>
        </w:rPr>
        <w:t>l</w:t>
      </w:r>
      <w:r w:rsidR="00AE34C7">
        <w:rPr>
          <w:rFonts w:ascii="Book Antiqua" w:hAnsi="Book Antiqua"/>
          <w:sz w:val="24"/>
          <w:szCs w:val="24"/>
        </w:rPr>
        <w:t>a C</w:t>
      </w:r>
      <w:r w:rsidRPr="0023263A">
        <w:rPr>
          <w:rFonts w:ascii="Book Antiqua" w:hAnsi="Book Antiqua"/>
          <w:sz w:val="24"/>
          <w:szCs w:val="24"/>
        </w:rPr>
        <w:t xml:space="preserve">. </w:t>
      </w:r>
      <w:r w:rsidR="00071AE2">
        <w:rPr>
          <w:rFonts w:ascii="Book Antiqua" w:hAnsi="Book Antiqua"/>
          <w:sz w:val="24"/>
          <w:szCs w:val="24"/>
        </w:rPr>
        <w:t>494</w:t>
      </w:r>
      <w:r w:rsidRPr="0023263A">
        <w:rPr>
          <w:rFonts w:ascii="Book Antiqua" w:hAnsi="Book Antiqua"/>
          <w:sz w:val="24"/>
          <w:szCs w:val="24"/>
        </w:rPr>
        <w:t xml:space="preserve"> ofrece un marco legal </w:t>
      </w:r>
      <w:r w:rsidR="00AE34C7">
        <w:rPr>
          <w:rFonts w:ascii="Book Antiqua" w:hAnsi="Book Antiqua"/>
          <w:sz w:val="24"/>
          <w:szCs w:val="24"/>
        </w:rPr>
        <w:t xml:space="preserve">sencillo, que </w:t>
      </w:r>
      <w:r w:rsidR="00EC5143">
        <w:rPr>
          <w:rFonts w:ascii="Book Antiqua" w:hAnsi="Book Antiqua"/>
          <w:sz w:val="24"/>
          <w:szCs w:val="24"/>
        </w:rPr>
        <w:t xml:space="preserve">devuelve la intención del legislador cuando en su origen se aprobó la Ley </w:t>
      </w:r>
      <w:r w:rsidR="00A971FD">
        <w:rPr>
          <w:rFonts w:ascii="Book Antiqua" w:hAnsi="Book Antiqua"/>
          <w:sz w:val="24"/>
          <w:szCs w:val="24"/>
        </w:rPr>
        <w:t>Núm. 2, antes citada</w:t>
      </w:r>
      <w:r w:rsidRPr="0023263A">
        <w:rPr>
          <w:rFonts w:ascii="Book Antiqua" w:hAnsi="Book Antiqua"/>
          <w:sz w:val="24"/>
          <w:szCs w:val="24"/>
        </w:rPr>
        <w:t xml:space="preserve">. </w:t>
      </w:r>
    </w:p>
    <w:p w14:paraId="658BB633" w14:textId="77777777" w:rsidR="00EE4B17" w:rsidRDefault="00EE4B17" w:rsidP="007B3187">
      <w:pPr>
        <w:spacing w:after="0" w:line="240" w:lineRule="auto"/>
        <w:jc w:val="both"/>
        <w:rPr>
          <w:rFonts w:ascii="Book Antiqua" w:hAnsi="Book Antiqua"/>
          <w:sz w:val="24"/>
          <w:szCs w:val="24"/>
        </w:rPr>
      </w:pPr>
    </w:p>
    <w:p w14:paraId="28A0B92E" w14:textId="4D6A88B1" w:rsidR="00EE4B17" w:rsidRDefault="00EE4B17" w:rsidP="007B3187">
      <w:pPr>
        <w:spacing w:after="0" w:line="240" w:lineRule="auto"/>
        <w:jc w:val="both"/>
        <w:rPr>
          <w:rFonts w:ascii="Book Antiqua" w:hAnsi="Book Antiqua"/>
          <w:sz w:val="24"/>
          <w:szCs w:val="24"/>
        </w:rPr>
      </w:pPr>
      <w:r>
        <w:rPr>
          <w:rFonts w:ascii="Book Antiqua" w:hAnsi="Book Antiqua"/>
          <w:sz w:val="24"/>
          <w:szCs w:val="24"/>
        </w:rPr>
        <w:t>Es preciso recordar que</w:t>
      </w:r>
      <w:r w:rsidR="003370CA">
        <w:rPr>
          <w:rFonts w:ascii="Book Antiqua" w:hAnsi="Book Antiqua"/>
          <w:sz w:val="24"/>
          <w:szCs w:val="24"/>
        </w:rPr>
        <w:t>,</w:t>
      </w:r>
      <w:r>
        <w:rPr>
          <w:rFonts w:ascii="Book Antiqua" w:hAnsi="Book Antiqua"/>
          <w:sz w:val="24"/>
          <w:szCs w:val="24"/>
        </w:rPr>
        <w:t xml:space="preserve"> en el quehacer legislativo, es función de este Cuerpo el proteger los derechos de todos los ciudadanos</w:t>
      </w:r>
      <w:r w:rsidR="00D43D5E">
        <w:rPr>
          <w:rFonts w:ascii="Book Antiqua" w:hAnsi="Book Antiqua"/>
          <w:sz w:val="24"/>
          <w:szCs w:val="24"/>
        </w:rPr>
        <w:t>. Para ello, debemos comenzar por distinguir el</w:t>
      </w:r>
      <w:r w:rsidR="00AF2C54">
        <w:rPr>
          <w:rFonts w:ascii="Book Antiqua" w:hAnsi="Book Antiqua"/>
          <w:sz w:val="24"/>
          <w:szCs w:val="24"/>
        </w:rPr>
        <w:t xml:space="preserve"> Derecho del concepto de “Justicia Social”. Nos señala el </w:t>
      </w:r>
      <w:r w:rsidR="00A81E92">
        <w:rPr>
          <w:rFonts w:ascii="Book Antiqua" w:hAnsi="Book Antiqua"/>
          <w:sz w:val="24"/>
          <w:szCs w:val="24"/>
        </w:rPr>
        <w:t xml:space="preserve">Honorable Juez, Luis F. Estrella Martínez, en su libro </w:t>
      </w:r>
      <w:r w:rsidR="00474E8D">
        <w:rPr>
          <w:rFonts w:ascii="Book Antiqua" w:hAnsi="Book Antiqua"/>
          <w:sz w:val="24"/>
          <w:szCs w:val="24"/>
        </w:rPr>
        <w:t>“</w:t>
      </w:r>
      <w:r w:rsidR="00474E8D">
        <w:rPr>
          <w:rFonts w:ascii="Book Antiqua" w:hAnsi="Book Antiqua"/>
          <w:i/>
          <w:iCs/>
          <w:sz w:val="24"/>
          <w:szCs w:val="24"/>
        </w:rPr>
        <w:t>Acceso a la Justicia: Derecho Humano Fundamental”</w:t>
      </w:r>
      <w:r w:rsidR="00474E8D">
        <w:rPr>
          <w:rFonts w:ascii="Book Antiqua" w:hAnsi="Book Antiqua"/>
          <w:sz w:val="24"/>
          <w:szCs w:val="24"/>
        </w:rPr>
        <w:t xml:space="preserve">, </w:t>
      </w:r>
      <w:r w:rsidR="00344F84">
        <w:rPr>
          <w:rFonts w:ascii="Book Antiqua" w:hAnsi="Book Antiqua"/>
          <w:sz w:val="24"/>
          <w:szCs w:val="24"/>
        </w:rPr>
        <w:t xml:space="preserve">que “la Justicia Social es un presupuesto necesario para </w:t>
      </w:r>
      <w:r w:rsidR="003370CA">
        <w:rPr>
          <w:rFonts w:ascii="Book Antiqua" w:hAnsi="Book Antiqua"/>
          <w:sz w:val="24"/>
          <w:szCs w:val="24"/>
        </w:rPr>
        <w:t>lograr</w:t>
      </w:r>
      <w:r w:rsidR="00344F84">
        <w:rPr>
          <w:rFonts w:ascii="Book Antiqua" w:hAnsi="Book Antiqua"/>
          <w:sz w:val="24"/>
          <w:szCs w:val="24"/>
        </w:rPr>
        <w:t xml:space="preserve"> el acceso al reclamo de un derecho</w:t>
      </w:r>
      <w:r w:rsidR="006661F7">
        <w:rPr>
          <w:rFonts w:ascii="Book Antiqua" w:hAnsi="Book Antiqua"/>
          <w:sz w:val="24"/>
          <w:szCs w:val="24"/>
        </w:rPr>
        <w:t>. Por tanto, ambos son determinantes para descifrar el estado del acceso a la justicia como un derecho</w:t>
      </w:r>
      <w:r w:rsidR="003370CA">
        <w:rPr>
          <w:rFonts w:ascii="Book Antiqua" w:hAnsi="Book Antiqua"/>
          <w:sz w:val="24"/>
          <w:szCs w:val="24"/>
        </w:rPr>
        <w:t xml:space="preserve">…” Siendo esto así, no podemos divorciar el hecho de aplicar un Derecho del concepto de obtener </w:t>
      </w:r>
      <w:r w:rsidR="00EE2A41">
        <w:rPr>
          <w:rFonts w:ascii="Book Antiqua" w:hAnsi="Book Antiqua"/>
          <w:sz w:val="24"/>
          <w:szCs w:val="24"/>
        </w:rPr>
        <w:t>justicia social.</w:t>
      </w:r>
    </w:p>
    <w:p w14:paraId="0C861D11" w14:textId="77777777" w:rsidR="00EE2A41" w:rsidRDefault="00EE2A41" w:rsidP="007B3187">
      <w:pPr>
        <w:spacing w:after="0" w:line="240" w:lineRule="auto"/>
        <w:jc w:val="both"/>
        <w:rPr>
          <w:rFonts w:ascii="Book Antiqua" w:hAnsi="Book Antiqua"/>
          <w:sz w:val="24"/>
          <w:szCs w:val="24"/>
        </w:rPr>
      </w:pPr>
    </w:p>
    <w:p w14:paraId="2F8017AD" w14:textId="53C16EF2" w:rsidR="00EE2A41" w:rsidRDefault="00EE2A41" w:rsidP="007B3187">
      <w:pPr>
        <w:spacing w:after="0" w:line="240" w:lineRule="auto"/>
        <w:jc w:val="both"/>
        <w:rPr>
          <w:rFonts w:ascii="Book Antiqua" w:hAnsi="Book Antiqua"/>
          <w:sz w:val="24"/>
          <w:szCs w:val="24"/>
        </w:rPr>
      </w:pPr>
      <w:r>
        <w:rPr>
          <w:rFonts w:ascii="Book Antiqua" w:hAnsi="Book Antiqua"/>
          <w:sz w:val="24"/>
          <w:szCs w:val="24"/>
        </w:rPr>
        <w:t xml:space="preserve">En el caso del procedimiento sumario de reclamaciones laborales, </w:t>
      </w:r>
      <w:r w:rsidR="00932657">
        <w:rPr>
          <w:rFonts w:ascii="Book Antiqua" w:hAnsi="Book Antiqua"/>
          <w:sz w:val="24"/>
          <w:szCs w:val="24"/>
        </w:rPr>
        <w:t xml:space="preserve">el marco jurídico que </w:t>
      </w:r>
      <w:r w:rsidR="001A4FA1">
        <w:rPr>
          <w:rFonts w:ascii="Book Antiqua" w:hAnsi="Book Antiqua"/>
          <w:sz w:val="24"/>
          <w:szCs w:val="24"/>
        </w:rPr>
        <w:t>recoge el aspecto procesal de la Ley Núm. 2, antes citada, equivale a la política pública gubernamental</w:t>
      </w:r>
      <w:r w:rsidR="00063651">
        <w:rPr>
          <w:rFonts w:ascii="Book Antiqua" w:hAnsi="Book Antiqua"/>
          <w:sz w:val="24"/>
          <w:szCs w:val="24"/>
        </w:rPr>
        <w:t xml:space="preserve"> de lo que el Estado entiende es el Derecho. ¿Cómo se garantiza la “Justicia Social”? </w:t>
      </w:r>
      <w:r w:rsidR="00702E97">
        <w:rPr>
          <w:rFonts w:ascii="Book Antiqua" w:hAnsi="Book Antiqua"/>
          <w:sz w:val="24"/>
          <w:szCs w:val="24"/>
        </w:rPr>
        <w:t xml:space="preserve"> Le toca a la Asamblea Legislativa allanar el camino para que se logre dicho acceso a la justicia y se </w:t>
      </w:r>
      <w:r w:rsidR="004A5A96">
        <w:rPr>
          <w:rFonts w:ascii="Book Antiqua" w:hAnsi="Book Antiqua"/>
          <w:sz w:val="24"/>
          <w:szCs w:val="24"/>
        </w:rPr>
        <w:t>mantenga un justo balance entre las partes en controversia.</w:t>
      </w:r>
      <w:r w:rsidR="006E3549">
        <w:rPr>
          <w:rFonts w:ascii="Book Antiqua" w:hAnsi="Book Antiqua"/>
          <w:sz w:val="24"/>
          <w:szCs w:val="24"/>
        </w:rPr>
        <w:t xml:space="preserve"> Para ello, la Asamblea Legislativa </w:t>
      </w:r>
      <w:r w:rsidR="0074179B">
        <w:rPr>
          <w:rFonts w:ascii="Book Antiqua" w:hAnsi="Book Antiqua"/>
          <w:sz w:val="24"/>
          <w:szCs w:val="24"/>
        </w:rPr>
        <w:t>guarda con celo el equiparar a los litigantes para garantizarles igual acceso a la justicia.</w:t>
      </w:r>
    </w:p>
    <w:p w14:paraId="68988DF7" w14:textId="77777777" w:rsidR="0074179B" w:rsidRDefault="0074179B" w:rsidP="007B3187">
      <w:pPr>
        <w:spacing w:after="0" w:line="240" w:lineRule="auto"/>
        <w:jc w:val="both"/>
        <w:rPr>
          <w:rFonts w:ascii="Book Antiqua" w:hAnsi="Book Antiqua"/>
          <w:sz w:val="24"/>
          <w:szCs w:val="24"/>
        </w:rPr>
      </w:pPr>
    </w:p>
    <w:p w14:paraId="597727F9" w14:textId="6E5F60BB" w:rsidR="0074179B" w:rsidRPr="00474E8D" w:rsidRDefault="0074179B" w:rsidP="007B3187">
      <w:pPr>
        <w:spacing w:after="0" w:line="240" w:lineRule="auto"/>
        <w:jc w:val="both"/>
        <w:rPr>
          <w:rFonts w:ascii="Book Antiqua" w:hAnsi="Book Antiqua"/>
          <w:sz w:val="24"/>
          <w:szCs w:val="24"/>
        </w:rPr>
      </w:pPr>
      <w:r>
        <w:rPr>
          <w:rFonts w:ascii="Book Antiqua" w:hAnsi="Book Antiqua"/>
          <w:sz w:val="24"/>
          <w:szCs w:val="24"/>
        </w:rPr>
        <w:t xml:space="preserve">Si bien en las reclamaciones laborales se </w:t>
      </w:r>
      <w:r w:rsidR="0088380B">
        <w:rPr>
          <w:rFonts w:ascii="Book Antiqua" w:hAnsi="Book Antiqua"/>
          <w:sz w:val="24"/>
          <w:szCs w:val="24"/>
        </w:rPr>
        <w:t xml:space="preserve">busca proteger las desigualdades, principalmente protegiendo a la parte menos poderosa que es el empleado frente a su patrono, en el proceso no se debe pasar por alto aquellos reclamos que, de una manera </w:t>
      </w:r>
      <w:r w:rsidR="008A687B">
        <w:rPr>
          <w:rFonts w:ascii="Book Antiqua" w:hAnsi="Book Antiqua"/>
          <w:sz w:val="24"/>
          <w:szCs w:val="24"/>
        </w:rPr>
        <w:t>oportuna, pueden evitar gastos para cualquiera de las partes. En el caso de la medida ante nuestra consideración,</w:t>
      </w:r>
      <w:r w:rsidR="009A5BB7">
        <w:rPr>
          <w:rFonts w:ascii="Book Antiqua" w:hAnsi="Book Antiqua"/>
          <w:sz w:val="24"/>
          <w:szCs w:val="24"/>
        </w:rPr>
        <w:t xml:space="preserve"> </w:t>
      </w:r>
      <w:r w:rsidR="00D468FF">
        <w:rPr>
          <w:rFonts w:ascii="Book Antiqua" w:hAnsi="Book Antiqua"/>
          <w:sz w:val="24"/>
          <w:szCs w:val="24"/>
        </w:rPr>
        <w:t>la presentación de una moción de desestimación antes de tener que presentar la contestación a la querella con las defensas, pudiera disponer de la controversia por falta de jurisdicción del foro judicial.</w:t>
      </w:r>
      <w:r w:rsidR="00362188">
        <w:rPr>
          <w:rFonts w:ascii="Book Antiqua" w:hAnsi="Book Antiqua"/>
          <w:sz w:val="24"/>
          <w:szCs w:val="24"/>
        </w:rPr>
        <w:t xml:space="preserve"> Siendo esto así, somos del criterio de que ello no lesiona los derechos del querellante, pues no se le está impidiendo el acceso a la justicia y, a su vez, se busca equidad en el aspecto procesal</w:t>
      </w:r>
      <w:r w:rsidR="00FE43EC">
        <w:rPr>
          <w:rFonts w:ascii="Book Antiqua" w:hAnsi="Book Antiqua"/>
          <w:sz w:val="24"/>
          <w:szCs w:val="24"/>
        </w:rPr>
        <w:t>.</w:t>
      </w:r>
    </w:p>
    <w:p w14:paraId="1686DBA8" w14:textId="77777777" w:rsidR="007B3187" w:rsidRPr="0023263A" w:rsidRDefault="007B3187" w:rsidP="007B3187">
      <w:pPr>
        <w:spacing w:after="0" w:line="240" w:lineRule="auto"/>
        <w:jc w:val="both"/>
        <w:rPr>
          <w:rFonts w:ascii="Book Antiqua" w:hAnsi="Book Antiqua"/>
          <w:sz w:val="24"/>
          <w:szCs w:val="24"/>
        </w:rPr>
      </w:pPr>
    </w:p>
    <w:p w14:paraId="6D2DD5F9" w14:textId="017523A5" w:rsidR="00BF449E" w:rsidRDefault="0023263A" w:rsidP="009B0280">
      <w:pPr>
        <w:spacing w:after="0" w:line="240" w:lineRule="auto"/>
        <w:jc w:val="both"/>
        <w:rPr>
          <w:rFonts w:ascii="Book Antiqua" w:hAnsi="Book Antiqua"/>
          <w:sz w:val="24"/>
          <w:szCs w:val="24"/>
        </w:rPr>
      </w:pPr>
      <w:r w:rsidRPr="0023263A">
        <w:rPr>
          <w:rFonts w:ascii="Book Antiqua" w:hAnsi="Book Antiqua"/>
          <w:sz w:val="24"/>
          <w:szCs w:val="24"/>
        </w:rPr>
        <w:t>La aprobación</w:t>
      </w:r>
      <w:r w:rsidR="007B3187" w:rsidRPr="0023263A">
        <w:rPr>
          <w:rFonts w:ascii="Book Antiqua" w:hAnsi="Book Antiqua"/>
          <w:sz w:val="24"/>
          <w:szCs w:val="24"/>
        </w:rPr>
        <w:t xml:space="preserve"> </w:t>
      </w:r>
      <w:r w:rsidRPr="0023263A">
        <w:rPr>
          <w:rFonts w:ascii="Book Antiqua" w:hAnsi="Book Antiqua"/>
          <w:sz w:val="24"/>
          <w:szCs w:val="24"/>
        </w:rPr>
        <w:t>d</w:t>
      </w:r>
      <w:r w:rsidR="007B3187" w:rsidRPr="0023263A">
        <w:rPr>
          <w:rFonts w:ascii="Book Antiqua" w:hAnsi="Book Antiqua"/>
          <w:sz w:val="24"/>
          <w:szCs w:val="24"/>
        </w:rPr>
        <w:t>el Proyecto de</w:t>
      </w:r>
      <w:r w:rsidR="00BB0018">
        <w:rPr>
          <w:rFonts w:ascii="Book Antiqua" w:hAnsi="Book Antiqua"/>
          <w:sz w:val="24"/>
          <w:szCs w:val="24"/>
        </w:rPr>
        <w:t xml:space="preserve"> </w:t>
      </w:r>
      <w:r w:rsidR="007B3187" w:rsidRPr="0023263A">
        <w:rPr>
          <w:rFonts w:ascii="Book Antiqua" w:hAnsi="Book Antiqua"/>
          <w:sz w:val="24"/>
          <w:szCs w:val="24"/>
        </w:rPr>
        <w:t>l</w:t>
      </w:r>
      <w:r w:rsidR="00BB0018">
        <w:rPr>
          <w:rFonts w:ascii="Book Antiqua" w:hAnsi="Book Antiqua"/>
          <w:sz w:val="24"/>
          <w:szCs w:val="24"/>
        </w:rPr>
        <w:t>a</w:t>
      </w:r>
      <w:r w:rsidR="007B3187" w:rsidRPr="0023263A">
        <w:rPr>
          <w:rFonts w:ascii="Book Antiqua" w:hAnsi="Book Antiqua"/>
          <w:sz w:val="24"/>
          <w:szCs w:val="24"/>
        </w:rPr>
        <w:t xml:space="preserve"> </w:t>
      </w:r>
      <w:r w:rsidR="00BB0018">
        <w:rPr>
          <w:rFonts w:ascii="Book Antiqua" w:hAnsi="Book Antiqua"/>
          <w:sz w:val="24"/>
          <w:szCs w:val="24"/>
        </w:rPr>
        <w:t xml:space="preserve">Cámara </w:t>
      </w:r>
      <w:r w:rsidR="00071AE2">
        <w:rPr>
          <w:rFonts w:ascii="Book Antiqua" w:hAnsi="Book Antiqua"/>
          <w:sz w:val="24"/>
          <w:szCs w:val="24"/>
        </w:rPr>
        <w:t>494</w:t>
      </w:r>
      <w:r w:rsidR="001159A4">
        <w:rPr>
          <w:rFonts w:ascii="Book Antiqua" w:hAnsi="Book Antiqua"/>
          <w:sz w:val="24"/>
          <w:szCs w:val="24"/>
        </w:rPr>
        <w:t xml:space="preserve"> permite mantener un balance justo en los reclamos laborales que se presentan en nuestra Isla</w:t>
      </w:r>
      <w:r w:rsidR="007B3187" w:rsidRPr="0023263A">
        <w:rPr>
          <w:rFonts w:ascii="Book Antiqua" w:hAnsi="Book Antiqua"/>
          <w:sz w:val="24"/>
          <w:szCs w:val="24"/>
        </w:rPr>
        <w:t>.</w:t>
      </w:r>
      <w:bookmarkEnd w:id="0"/>
      <w:r w:rsidR="00450B70">
        <w:rPr>
          <w:rFonts w:ascii="Book Antiqua" w:hAnsi="Book Antiqua"/>
          <w:sz w:val="24"/>
          <w:szCs w:val="24"/>
        </w:rPr>
        <w:t xml:space="preserve"> Habiendo incorporado enmiendas sugeridas por los deponentes, entendemos que la medida </w:t>
      </w:r>
      <w:r w:rsidR="002B2715">
        <w:rPr>
          <w:rFonts w:ascii="Book Antiqua" w:hAnsi="Book Antiqua"/>
          <w:sz w:val="24"/>
          <w:szCs w:val="24"/>
        </w:rPr>
        <w:t>no deja desprotegido a sectores vulnerables</w:t>
      </w:r>
      <w:r w:rsidR="0015147F">
        <w:rPr>
          <w:rFonts w:ascii="Book Antiqua" w:hAnsi="Book Antiqua"/>
          <w:sz w:val="24"/>
          <w:szCs w:val="24"/>
        </w:rPr>
        <w:t xml:space="preserve">; </w:t>
      </w:r>
      <w:r w:rsidR="002B2715">
        <w:rPr>
          <w:rFonts w:ascii="Book Antiqua" w:hAnsi="Book Antiqua"/>
          <w:sz w:val="24"/>
          <w:szCs w:val="24"/>
        </w:rPr>
        <w:t>en este caso, los empleados</w:t>
      </w:r>
      <w:r w:rsidR="0015147F">
        <w:rPr>
          <w:rFonts w:ascii="Book Antiqua" w:hAnsi="Book Antiqua"/>
          <w:sz w:val="24"/>
          <w:szCs w:val="24"/>
        </w:rPr>
        <w:t xml:space="preserve">. </w:t>
      </w:r>
      <w:r w:rsidR="007E600D">
        <w:rPr>
          <w:rFonts w:ascii="Book Antiqua" w:hAnsi="Book Antiqua"/>
          <w:sz w:val="24"/>
          <w:szCs w:val="24"/>
        </w:rPr>
        <w:t>En cambio, atendemos uno de los retos que enfrentan los patronos, los pequeños y medianos comercios que ven incrementados los costos de hacer negocios en Puerto Rico</w:t>
      </w:r>
      <w:r w:rsidR="002F0747">
        <w:rPr>
          <w:rFonts w:ascii="Book Antiqua" w:hAnsi="Book Antiqua"/>
          <w:sz w:val="24"/>
          <w:szCs w:val="24"/>
        </w:rPr>
        <w:t xml:space="preserve">. </w:t>
      </w:r>
      <w:r w:rsidR="00AA5E1F">
        <w:rPr>
          <w:rFonts w:ascii="Book Antiqua" w:hAnsi="Book Antiqua"/>
          <w:sz w:val="24"/>
          <w:szCs w:val="24"/>
        </w:rPr>
        <w:t xml:space="preserve">Sobre todo, considerando los datos mencionados previamente, los cuales indican que </w:t>
      </w:r>
      <w:r w:rsidR="00AA5E1F" w:rsidRPr="00B14F66">
        <w:rPr>
          <w:rFonts w:ascii="Book Antiqua" w:hAnsi="Book Antiqua"/>
          <w:sz w:val="24"/>
          <w:szCs w:val="24"/>
        </w:rPr>
        <w:t xml:space="preserve">el 96% de los establecimientos privados en Puerto Rico son pequeñas y medianas empresas, las cuales aportan aproximadamente el 44% del </w:t>
      </w:r>
      <w:r w:rsidR="00AA5E1F" w:rsidRPr="00B14F66">
        <w:rPr>
          <w:rFonts w:ascii="Book Antiqua" w:hAnsi="Book Antiqua"/>
          <w:sz w:val="24"/>
          <w:szCs w:val="24"/>
        </w:rPr>
        <w:lastRenderedPageBreak/>
        <w:t>empleo privado cubierto en la Isla</w:t>
      </w:r>
      <w:r w:rsidR="00AA5E1F">
        <w:rPr>
          <w:rFonts w:ascii="Book Antiqua" w:hAnsi="Book Antiqua"/>
          <w:sz w:val="24"/>
          <w:szCs w:val="24"/>
        </w:rPr>
        <w:t>; lo que sugiere ser un aspecto para considerar al buscar el justo balance de intereses con la legislación que se pretende aprobar.</w:t>
      </w:r>
    </w:p>
    <w:p w14:paraId="37B16093" w14:textId="77777777" w:rsidR="00B25AEF" w:rsidRPr="009B0280" w:rsidRDefault="00B25AEF" w:rsidP="009B0280">
      <w:pPr>
        <w:spacing w:after="0" w:line="240" w:lineRule="auto"/>
        <w:jc w:val="both"/>
        <w:rPr>
          <w:rFonts w:ascii="Book Antiqua" w:hAnsi="Book Antiqua"/>
          <w:sz w:val="24"/>
          <w:szCs w:val="24"/>
        </w:rPr>
      </w:pPr>
    </w:p>
    <w:p w14:paraId="0CF2B439" w14:textId="1096AFC2" w:rsidR="003547E9" w:rsidRPr="0023263A" w:rsidRDefault="009A25C7" w:rsidP="0023263A">
      <w:pPr>
        <w:jc w:val="both"/>
        <w:rPr>
          <w:rFonts w:ascii="Book Antiqua" w:hAnsi="Book Antiqua"/>
          <w:bCs/>
          <w:sz w:val="24"/>
          <w:szCs w:val="24"/>
          <w:lang w:val="es-ES_tradnl"/>
        </w:rPr>
      </w:pPr>
      <w:r w:rsidRPr="0023263A">
        <w:rPr>
          <w:rFonts w:ascii="Book Antiqua" w:hAnsi="Book Antiqua"/>
          <w:bCs/>
          <w:iCs/>
          <w:sz w:val="24"/>
          <w:szCs w:val="24"/>
          <w:lang w:val="es-ES_tradnl" w:eastAsia="x-none"/>
        </w:rPr>
        <w:t>Por todo lo antes expuesto</w:t>
      </w:r>
      <w:r w:rsidRPr="0023263A">
        <w:rPr>
          <w:rFonts w:ascii="Book Antiqua" w:eastAsia="Times New Roman" w:hAnsi="Book Antiqua" w:cs="Times New Roman"/>
          <w:sz w:val="24"/>
          <w:szCs w:val="24"/>
        </w:rPr>
        <w:t xml:space="preserve">, la </w:t>
      </w:r>
      <w:r w:rsidRPr="0023263A">
        <w:rPr>
          <w:rFonts w:ascii="Book Antiqua" w:eastAsia="Times New Roman" w:hAnsi="Book Antiqua" w:cs="Times New Roman"/>
          <w:sz w:val="24"/>
          <w:szCs w:val="24"/>
          <w:lang w:val="es-ES_tradnl"/>
        </w:rPr>
        <w:t xml:space="preserve">Comisión </w:t>
      </w:r>
      <w:r w:rsidRPr="0023263A">
        <w:rPr>
          <w:rFonts w:ascii="Book Antiqua" w:eastAsia="Times New Roman" w:hAnsi="Book Antiqua" w:cs="Times New Roman"/>
          <w:sz w:val="24"/>
          <w:szCs w:val="24"/>
        </w:rPr>
        <w:t xml:space="preserve">del Trabajo y Asuntos Laborales de la Cámara de Representantes de </w:t>
      </w:r>
      <w:r w:rsidRPr="0023263A">
        <w:rPr>
          <w:rFonts w:ascii="Book Antiqua" w:eastAsia="Times New Roman" w:hAnsi="Book Antiqua" w:cs="Times New Roman"/>
          <w:sz w:val="24"/>
          <w:szCs w:val="24"/>
          <w:lang w:val="es-ES_tradnl"/>
        </w:rPr>
        <w:t>Puerto Rico</w:t>
      </w:r>
      <w:r w:rsidRPr="0023263A">
        <w:rPr>
          <w:rFonts w:ascii="Book Antiqua" w:eastAsia="Times New Roman" w:hAnsi="Book Antiqua" w:cs="Times New Roman"/>
          <w:sz w:val="24"/>
          <w:szCs w:val="24"/>
        </w:rPr>
        <w:t>, luego del estudio y consideración correspondiente, tiene a bien someter a este Alto Cuerpo</w:t>
      </w:r>
      <w:r w:rsidR="002531D9" w:rsidRPr="0023263A">
        <w:rPr>
          <w:rFonts w:ascii="Book Antiqua" w:eastAsia="Times New Roman" w:hAnsi="Book Antiqua" w:cs="Times New Roman"/>
          <w:sz w:val="24"/>
          <w:szCs w:val="24"/>
        </w:rPr>
        <w:t xml:space="preserve"> </w:t>
      </w:r>
      <w:r w:rsidR="00DE694D" w:rsidRPr="0023263A">
        <w:rPr>
          <w:rFonts w:ascii="Book Antiqua" w:eastAsia="Times New Roman" w:hAnsi="Book Antiqua" w:cs="Times New Roman"/>
          <w:sz w:val="24"/>
          <w:szCs w:val="24"/>
        </w:rPr>
        <w:t>el informe positivo</w:t>
      </w:r>
      <w:r w:rsidRPr="0023263A">
        <w:rPr>
          <w:rFonts w:ascii="Book Antiqua" w:eastAsia="Times New Roman" w:hAnsi="Book Antiqua" w:cs="Times New Roman"/>
          <w:sz w:val="24"/>
          <w:szCs w:val="24"/>
        </w:rPr>
        <w:t xml:space="preserve">, </w:t>
      </w:r>
      <w:r w:rsidRPr="0023263A">
        <w:rPr>
          <w:rFonts w:ascii="Book Antiqua" w:eastAsia="Times New Roman" w:hAnsi="Book Antiqua" w:cs="Times New Roman"/>
          <w:b/>
          <w:sz w:val="24"/>
          <w:szCs w:val="24"/>
        </w:rPr>
        <w:t>recomendando la aprobación</w:t>
      </w:r>
      <w:r w:rsidR="003547E9" w:rsidRPr="0023263A">
        <w:rPr>
          <w:rFonts w:ascii="Book Antiqua" w:eastAsia="Times New Roman" w:hAnsi="Book Antiqua" w:cs="Times New Roman"/>
          <w:b/>
          <w:sz w:val="24"/>
          <w:szCs w:val="24"/>
        </w:rPr>
        <w:t xml:space="preserve"> </w:t>
      </w:r>
      <w:r w:rsidR="00BB5C03" w:rsidRPr="0023263A">
        <w:rPr>
          <w:rFonts w:ascii="Book Antiqua" w:eastAsia="Times New Roman" w:hAnsi="Book Antiqua" w:cs="Times New Roman"/>
          <w:b/>
          <w:sz w:val="24"/>
          <w:szCs w:val="24"/>
        </w:rPr>
        <w:t>del P. de</w:t>
      </w:r>
      <w:r w:rsidR="00B25AEF">
        <w:rPr>
          <w:rFonts w:ascii="Book Antiqua" w:eastAsia="Times New Roman" w:hAnsi="Book Antiqua" w:cs="Times New Roman"/>
          <w:b/>
          <w:sz w:val="24"/>
          <w:szCs w:val="24"/>
        </w:rPr>
        <w:t xml:space="preserve"> </w:t>
      </w:r>
      <w:r w:rsidR="0023263A" w:rsidRPr="0023263A">
        <w:rPr>
          <w:rFonts w:ascii="Book Antiqua" w:eastAsia="Times New Roman" w:hAnsi="Book Antiqua" w:cs="Times New Roman"/>
          <w:b/>
          <w:sz w:val="24"/>
          <w:szCs w:val="24"/>
        </w:rPr>
        <w:t>l</w:t>
      </w:r>
      <w:r w:rsidR="00B25AEF">
        <w:rPr>
          <w:rFonts w:ascii="Book Antiqua" w:eastAsia="Times New Roman" w:hAnsi="Book Antiqua" w:cs="Times New Roman"/>
          <w:b/>
          <w:sz w:val="24"/>
          <w:szCs w:val="24"/>
        </w:rPr>
        <w:t>a</w:t>
      </w:r>
      <w:r w:rsidR="0023263A" w:rsidRPr="0023263A">
        <w:rPr>
          <w:rFonts w:ascii="Book Antiqua" w:eastAsia="Times New Roman" w:hAnsi="Book Antiqua" w:cs="Times New Roman"/>
          <w:b/>
          <w:sz w:val="24"/>
          <w:szCs w:val="24"/>
        </w:rPr>
        <w:t xml:space="preserve"> </w:t>
      </w:r>
      <w:r w:rsidR="00B25AEF">
        <w:rPr>
          <w:rFonts w:ascii="Book Antiqua" w:eastAsia="Times New Roman" w:hAnsi="Book Antiqua" w:cs="Times New Roman"/>
          <w:b/>
          <w:sz w:val="24"/>
          <w:szCs w:val="24"/>
        </w:rPr>
        <w:t>C</w:t>
      </w:r>
      <w:r w:rsidR="0023263A" w:rsidRPr="0023263A">
        <w:rPr>
          <w:rFonts w:ascii="Book Antiqua" w:eastAsia="Times New Roman" w:hAnsi="Book Antiqua" w:cs="Times New Roman"/>
          <w:b/>
          <w:sz w:val="24"/>
          <w:szCs w:val="24"/>
        </w:rPr>
        <w:t>.</w:t>
      </w:r>
      <w:r w:rsidR="00BB5C03" w:rsidRPr="0023263A">
        <w:rPr>
          <w:rFonts w:ascii="Book Antiqua" w:eastAsia="Times New Roman" w:hAnsi="Book Antiqua" w:cs="Times New Roman"/>
          <w:b/>
          <w:sz w:val="24"/>
          <w:szCs w:val="24"/>
        </w:rPr>
        <w:t xml:space="preserve"> </w:t>
      </w:r>
      <w:r w:rsidR="00071AE2">
        <w:rPr>
          <w:rFonts w:ascii="Book Antiqua" w:eastAsia="Times New Roman" w:hAnsi="Book Antiqua" w:cs="Times New Roman"/>
          <w:b/>
          <w:sz w:val="24"/>
          <w:szCs w:val="24"/>
        </w:rPr>
        <w:t>494</w:t>
      </w:r>
      <w:r w:rsidR="00BB5C03" w:rsidRPr="0023263A">
        <w:rPr>
          <w:rFonts w:ascii="Book Antiqua" w:eastAsia="Times New Roman" w:hAnsi="Book Antiqua" w:cs="Times New Roman"/>
          <w:b/>
          <w:sz w:val="24"/>
          <w:szCs w:val="24"/>
        </w:rPr>
        <w:t xml:space="preserve">, </w:t>
      </w:r>
      <w:r w:rsidR="00B25AEF">
        <w:rPr>
          <w:rFonts w:ascii="Book Antiqua" w:eastAsia="Times New Roman" w:hAnsi="Book Antiqua" w:cs="Times New Roman"/>
          <w:bCs/>
          <w:sz w:val="24"/>
          <w:szCs w:val="24"/>
        </w:rPr>
        <w:t>con las</w:t>
      </w:r>
      <w:r w:rsidR="0023263A" w:rsidRPr="0023263A">
        <w:rPr>
          <w:rFonts w:ascii="Book Antiqua" w:eastAsia="Times New Roman" w:hAnsi="Book Antiqua" w:cs="Times New Roman"/>
          <w:bCs/>
          <w:sz w:val="24"/>
          <w:szCs w:val="24"/>
        </w:rPr>
        <w:t xml:space="preserve"> enmiendas</w:t>
      </w:r>
      <w:r w:rsidR="00B25AEF">
        <w:rPr>
          <w:rFonts w:ascii="Book Antiqua" w:eastAsia="Times New Roman" w:hAnsi="Book Antiqua" w:cs="Times New Roman"/>
          <w:bCs/>
          <w:sz w:val="24"/>
          <w:szCs w:val="24"/>
        </w:rPr>
        <w:t xml:space="preserve"> incluidas en el </w:t>
      </w:r>
      <w:proofErr w:type="spellStart"/>
      <w:r w:rsidR="00B25AEF">
        <w:rPr>
          <w:rFonts w:ascii="Book Antiqua" w:eastAsia="Times New Roman" w:hAnsi="Book Antiqua" w:cs="Times New Roman"/>
          <w:bCs/>
          <w:sz w:val="24"/>
          <w:szCs w:val="24"/>
        </w:rPr>
        <w:t>entirillado</w:t>
      </w:r>
      <w:proofErr w:type="spellEnd"/>
      <w:r w:rsidR="00B25AEF">
        <w:rPr>
          <w:rFonts w:ascii="Book Antiqua" w:eastAsia="Times New Roman" w:hAnsi="Book Antiqua" w:cs="Times New Roman"/>
          <w:bCs/>
          <w:sz w:val="24"/>
          <w:szCs w:val="24"/>
        </w:rPr>
        <w:t xml:space="preserve"> electrónico que acompaña este informe</w:t>
      </w:r>
      <w:r w:rsidR="0023263A" w:rsidRPr="0023263A">
        <w:rPr>
          <w:rFonts w:ascii="Book Antiqua" w:eastAsia="Times New Roman" w:hAnsi="Book Antiqua" w:cs="Times New Roman"/>
          <w:bCs/>
          <w:sz w:val="24"/>
          <w:szCs w:val="24"/>
        </w:rPr>
        <w:t>.</w:t>
      </w:r>
    </w:p>
    <w:p w14:paraId="259CA63F"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p>
    <w:p w14:paraId="05A2988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17328B3E"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091496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HON. VIMARIE PEÑA DÁVILA</w:t>
      </w:r>
    </w:p>
    <w:p w14:paraId="433BF3C4"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Presidenta</w:t>
      </w:r>
    </w:p>
    <w:p w14:paraId="6E037A0C" w14:textId="77777777"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del Trabajo y Asuntos Laborales</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C461" w14:textId="77777777" w:rsidR="00E51B2C" w:rsidRDefault="00E51B2C">
      <w:pPr>
        <w:spacing w:after="0" w:line="240" w:lineRule="auto"/>
      </w:pPr>
      <w:r>
        <w:separator/>
      </w:r>
    </w:p>
  </w:endnote>
  <w:endnote w:type="continuationSeparator" w:id="0">
    <w:p w14:paraId="20510C45" w14:textId="77777777" w:rsidR="00E51B2C" w:rsidRDefault="00E51B2C">
      <w:pPr>
        <w:spacing w:after="0" w:line="240" w:lineRule="auto"/>
      </w:pPr>
      <w:r>
        <w:continuationSeparator/>
      </w:r>
    </w:p>
  </w:endnote>
  <w:endnote w:type="continuationNotice" w:id="1">
    <w:p w14:paraId="0C547C4D" w14:textId="77777777" w:rsidR="00E51B2C" w:rsidRDefault="00E51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777777"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del Trabajo y Asuntos Laborales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81AB" w14:textId="77777777" w:rsidR="00E51B2C" w:rsidRDefault="00E51B2C">
      <w:pPr>
        <w:spacing w:after="0" w:line="240" w:lineRule="auto"/>
      </w:pPr>
      <w:r>
        <w:separator/>
      </w:r>
    </w:p>
  </w:footnote>
  <w:footnote w:type="continuationSeparator" w:id="0">
    <w:p w14:paraId="0C858D93" w14:textId="77777777" w:rsidR="00E51B2C" w:rsidRDefault="00E51B2C">
      <w:pPr>
        <w:spacing w:after="0" w:line="240" w:lineRule="auto"/>
      </w:pPr>
      <w:r>
        <w:continuationSeparator/>
      </w:r>
    </w:p>
  </w:footnote>
  <w:footnote w:type="continuationNotice" w:id="1">
    <w:p w14:paraId="42C6A918" w14:textId="77777777" w:rsidR="00E51B2C" w:rsidRDefault="00E51B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4B8F776"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w:t>
    </w:r>
    <w:r w:rsidR="00721BDE">
      <w:rPr>
        <w:rFonts w:ascii="Book Antiqua" w:hAnsi="Book Antiqua"/>
        <w:b/>
        <w:i/>
        <w:color w:val="7F7F7F" w:themeColor="text1" w:themeTint="80"/>
        <w:spacing w:val="60"/>
        <w:lang w:val="es-PR"/>
      </w:rPr>
      <w:t>o</w:t>
    </w:r>
    <w:r w:rsidR="0015377F">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7B3187">
      <w:rPr>
        <w:rFonts w:ascii="Book Antiqua" w:hAnsi="Book Antiqua"/>
        <w:b/>
        <w:i/>
        <w:color w:val="7F7F7F" w:themeColor="text1" w:themeTint="80"/>
        <w:spacing w:val="60"/>
        <w:lang w:val="es-PR"/>
      </w:rPr>
      <w:t>e</w:t>
    </w:r>
    <w:r w:rsidR="00721BDE">
      <w:rPr>
        <w:rFonts w:ascii="Book Antiqua" w:hAnsi="Book Antiqua"/>
        <w:b/>
        <w:i/>
        <w:color w:val="7F7F7F" w:themeColor="text1" w:themeTint="80"/>
        <w:spacing w:val="60"/>
        <w:lang w:val="es-PR"/>
      </w:rPr>
      <w:t xml:space="preserve"> </w:t>
    </w:r>
    <w:r w:rsidR="007B3187">
      <w:rPr>
        <w:rFonts w:ascii="Book Antiqua" w:hAnsi="Book Antiqua"/>
        <w:b/>
        <w:i/>
        <w:color w:val="7F7F7F" w:themeColor="text1" w:themeTint="80"/>
        <w:spacing w:val="60"/>
        <w:lang w:val="es-PR"/>
      </w:rPr>
      <w:t>l</w:t>
    </w:r>
    <w:r w:rsidR="00721BDE">
      <w:rPr>
        <w:rFonts w:ascii="Book Antiqua" w:hAnsi="Book Antiqua"/>
        <w:b/>
        <w:i/>
        <w:color w:val="7F7F7F" w:themeColor="text1" w:themeTint="80"/>
        <w:spacing w:val="60"/>
        <w:lang w:val="es-PR"/>
      </w:rPr>
      <w:t>a</w:t>
    </w:r>
    <w:r w:rsidR="007B3187">
      <w:rPr>
        <w:rFonts w:ascii="Book Antiqua" w:hAnsi="Book Antiqua"/>
        <w:b/>
        <w:i/>
        <w:color w:val="7F7F7F" w:themeColor="text1" w:themeTint="80"/>
        <w:spacing w:val="60"/>
        <w:lang w:val="es-PR"/>
      </w:rPr>
      <w:t xml:space="preserve"> </w:t>
    </w:r>
    <w:r w:rsidR="00721BDE">
      <w:rPr>
        <w:rFonts w:ascii="Book Antiqua" w:hAnsi="Book Antiqua"/>
        <w:b/>
        <w:i/>
        <w:color w:val="7F7F7F" w:themeColor="text1" w:themeTint="80"/>
        <w:spacing w:val="60"/>
        <w:lang w:val="es-PR"/>
      </w:rPr>
      <w:t>C</w:t>
    </w:r>
    <w:r w:rsidR="007B3187">
      <w:rPr>
        <w:rFonts w:ascii="Book Antiqua" w:hAnsi="Book Antiqua"/>
        <w:b/>
        <w:i/>
        <w:color w:val="7F7F7F" w:themeColor="text1" w:themeTint="80"/>
        <w:spacing w:val="60"/>
        <w:lang w:val="es-PR"/>
      </w:rPr>
      <w:t xml:space="preserve">. </w:t>
    </w:r>
    <w:r w:rsidR="0011122F">
      <w:rPr>
        <w:rFonts w:ascii="Book Antiqua" w:hAnsi="Book Antiqua"/>
        <w:b/>
        <w:i/>
        <w:color w:val="7F7F7F" w:themeColor="text1" w:themeTint="80"/>
        <w:spacing w:val="60"/>
        <w:lang w:val="es-PR"/>
      </w:rPr>
      <w:t>494</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3"/>
  </w:num>
  <w:num w:numId="2" w16cid:durableId="61176380">
    <w:abstractNumId w:val="1"/>
  </w:num>
  <w:num w:numId="3" w16cid:durableId="1059595349">
    <w:abstractNumId w:val="0"/>
  </w:num>
  <w:num w:numId="4" w16cid:durableId="2061787766">
    <w:abstractNumId w:val="7"/>
  </w:num>
  <w:num w:numId="5" w16cid:durableId="1979995804">
    <w:abstractNumId w:val="2"/>
  </w:num>
  <w:num w:numId="6" w16cid:durableId="248587837">
    <w:abstractNumId w:val="4"/>
  </w:num>
  <w:num w:numId="7" w16cid:durableId="1013386577">
    <w:abstractNumId w:val="5"/>
  </w:num>
  <w:num w:numId="8" w16cid:durableId="192153168">
    <w:abstractNumId w:val="8"/>
  </w:num>
  <w:num w:numId="9" w16cid:durableId="13348431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16"/>
    <w:rsid w:val="0000466E"/>
    <w:rsid w:val="00012A2F"/>
    <w:rsid w:val="00015F9B"/>
    <w:rsid w:val="000304B5"/>
    <w:rsid w:val="00032057"/>
    <w:rsid w:val="00033FC1"/>
    <w:rsid w:val="0004019C"/>
    <w:rsid w:val="00040B2F"/>
    <w:rsid w:val="00041661"/>
    <w:rsid w:val="0004466F"/>
    <w:rsid w:val="00044B26"/>
    <w:rsid w:val="00047A01"/>
    <w:rsid w:val="00050EA2"/>
    <w:rsid w:val="00061727"/>
    <w:rsid w:val="000634A6"/>
    <w:rsid w:val="00063651"/>
    <w:rsid w:val="00065F8A"/>
    <w:rsid w:val="00070369"/>
    <w:rsid w:val="00071AE2"/>
    <w:rsid w:val="00075E8A"/>
    <w:rsid w:val="00077928"/>
    <w:rsid w:val="00087891"/>
    <w:rsid w:val="0009177F"/>
    <w:rsid w:val="0009268B"/>
    <w:rsid w:val="000939F8"/>
    <w:rsid w:val="000A00A2"/>
    <w:rsid w:val="000A1321"/>
    <w:rsid w:val="000A7D79"/>
    <w:rsid w:val="000B0775"/>
    <w:rsid w:val="000C3683"/>
    <w:rsid w:val="000C3C0B"/>
    <w:rsid w:val="000C4519"/>
    <w:rsid w:val="000D27C8"/>
    <w:rsid w:val="000D2AC7"/>
    <w:rsid w:val="000E00CA"/>
    <w:rsid w:val="000E5BA2"/>
    <w:rsid w:val="000E5FD5"/>
    <w:rsid w:val="000F1DB9"/>
    <w:rsid w:val="00100979"/>
    <w:rsid w:val="001034CA"/>
    <w:rsid w:val="00104CFC"/>
    <w:rsid w:val="001053AD"/>
    <w:rsid w:val="001061B4"/>
    <w:rsid w:val="0011122F"/>
    <w:rsid w:val="001159A4"/>
    <w:rsid w:val="0011677E"/>
    <w:rsid w:val="00117E0F"/>
    <w:rsid w:val="00124C65"/>
    <w:rsid w:val="00124D4E"/>
    <w:rsid w:val="0012509B"/>
    <w:rsid w:val="00125E9E"/>
    <w:rsid w:val="001270C2"/>
    <w:rsid w:val="00127CBA"/>
    <w:rsid w:val="001453DC"/>
    <w:rsid w:val="00146D4D"/>
    <w:rsid w:val="0015147F"/>
    <w:rsid w:val="0015377F"/>
    <w:rsid w:val="001555FE"/>
    <w:rsid w:val="00162CC8"/>
    <w:rsid w:val="00162F81"/>
    <w:rsid w:val="00164FDF"/>
    <w:rsid w:val="00166898"/>
    <w:rsid w:val="00170214"/>
    <w:rsid w:val="00172D4D"/>
    <w:rsid w:val="0017514B"/>
    <w:rsid w:val="0017673D"/>
    <w:rsid w:val="00176D07"/>
    <w:rsid w:val="0018253F"/>
    <w:rsid w:val="00186ECD"/>
    <w:rsid w:val="00193B05"/>
    <w:rsid w:val="00194554"/>
    <w:rsid w:val="00195EEE"/>
    <w:rsid w:val="001A16E7"/>
    <w:rsid w:val="001A296C"/>
    <w:rsid w:val="001A4FA1"/>
    <w:rsid w:val="001C01EE"/>
    <w:rsid w:val="001C545F"/>
    <w:rsid w:val="001C7AA1"/>
    <w:rsid w:val="001C7E62"/>
    <w:rsid w:val="001D2F9B"/>
    <w:rsid w:val="001D4D02"/>
    <w:rsid w:val="001E0DBA"/>
    <w:rsid w:val="001E470C"/>
    <w:rsid w:val="001F0CE2"/>
    <w:rsid w:val="002070AD"/>
    <w:rsid w:val="00207FDA"/>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90"/>
    <w:rsid w:val="002531D9"/>
    <w:rsid w:val="00256B0A"/>
    <w:rsid w:val="002573CC"/>
    <w:rsid w:val="00260526"/>
    <w:rsid w:val="0026315B"/>
    <w:rsid w:val="0026365C"/>
    <w:rsid w:val="00265E43"/>
    <w:rsid w:val="00270095"/>
    <w:rsid w:val="0027425D"/>
    <w:rsid w:val="0027486C"/>
    <w:rsid w:val="00274930"/>
    <w:rsid w:val="00274BDE"/>
    <w:rsid w:val="00286D5F"/>
    <w:rsid w:val="00290FD4"/>
    <w:rsid w:val="00295528"/>
    <w:rsid w:val="0029577C"/>
    <w:rsid w:val="00296371"/>
    <w:rsid w:val="0029730D"/>
    <w:rsid w:val="002A78E9"/>
    <w:rsid w:val="002B2715"/>
    <w:rsid w:val="002B417D"/>
    <w:rsid w:val="002B6F5D"/>
    <w:rsid w:val="002C42AD"/>
    <w:rsid w:val="002C4759"/>
    <w:rsid w:val="002C73CA"/>
    <w:rsid w:val="002D12EA"/>
    <w:rsid w:val="002D6515"/>
    <w:rsid w:val="002D7B2D"/>
    <w:rsid w:val="002E1CA2"/>
    <w:rsid w:val="002F0747"/>
    <w:rsid w:val="002F3F0B"/>
    <w:rsid w:val="002F6694"/>
    <w:rsid w:val="002F7082"/>
    <w:rsid w:val="00303634"/>
    <w:rsid w:val="0030596E"/>
    <w:rsid w:val="00311262"/>
    <w:rsid w:val="00314244"/>
    <w:rsid w:val="0032169C"/>
    <w:rsid w:val="003258E9"/>
    <w:rsid w:val="00334DC6"/>
    <w:rsid w:val="0033626E"/>
    <w:rsid w:val="003370CA"/>
    <w:rsid w:val="0033775C"/>
    <w:rsid w:val="00344F84"/>
    <w:rsid w:val="00347B88"/>
    <w:rsid w:val="00352238"/>
    <w:rsid w:val="003537E8"/>
    <w:rsid w:val="003547E9"/>
    <w:rsid w:val="003579CA"/>
    <w:rsid w:val="00360DE1"/>
    <w:rsid w:val="00362188"/>
    <w:rsid w:val="003657E1"/>
    <w:rsid w:val="00372B11"/>
    <w:rsid w:val="00373DAB"/>
    <w:rsid w:val="0037424B"/>
    <w:rsid w:val="00376380"/>
    <w:rsid w:val="00381646"/>
    <w:rsid w:val="00382143"/>
    <w:rsid w:val="00383202"/>
    <w:rsid w:val="00383B9C"/>
    <w:rsid w:val="00394B8D"/>
    <w:rsid w:val="00396185"/>
    <w:rsid w:val="003A2B3D"/>
    <w:rsid w:val="003A38EE"/>
    <w:rsid w:val="003A72A1"/>
    <w:rsid w:val="003A79C9"/>
    <w:rsid w:val="003B1FF2"/>
    <w:rsid w:val="003B2B79"/>
    <w:rsid w:val="003B4D27"/>
    <w:rsid w:val="003C0A97"/>
    <w:rsid w:val="003C1B1D"/>
    <w:rsid w:val="003C5548"/>
    <w:rsid w:val="003C7251"/>
    <w:rsid w:val="003C7E72"/>
    <w:rsid w:val="003E12EB"/>
    <w:rsid w:val="003E1B3F"/>
    <w:rsid w:val="003F2E94"/>
    <w:rsid w:val="003F5D18"/>
    <w:rsid w:val="00406232"/>
    <w:rsid w:val="00406AC1"/>
    <w:rsid w:val="00410ECE"/>
    <w:rsid w:val="004122EE"/>
    <w:rsid w:val="00412348"/>
    <w:rsid w:val="004136A3"/>
    <w:rsid w:val="00416DD1"/>
    <w:rsid w:val="00416F11"/>
    <w:rsid w:val="00417EA5"/>
    <w:rsid w:val="00420AAA"/>
    <w:rsid w:val="00421D9C"/>
    <w:rsid w:val="00422688"/>
    <w:rsid w:val="0042540A"/>
    <w:rsid w:val="00426402"/>
    <w:rsid w:val="00433B94"/>
    <w:rsid w:val="004351E0"/>
    <w:rsid w:val="004450A9"/>
    <w:rsid w:val="00445DB5"/>
    <w:rsid w:val="00447CEA"/>
    <w:rsid w:val="00450B70"/>
    <w:rsid w:val="00453020"/>
    <w:rsid w:val="004577FB"/>
    <w:rsid w:val="00457A04"/>
    <w:rsid w:val="004620B0"/>
    <w:rsid w:val="004626CA"/>
    <w:rsid w:val="00467A36"/>
    <w:rsid w:val="00470B60"/>
    <w:rsid w:val="00472407"/>
    <w:rsid w:val="00472793"/>
    <w:rsid w:val="00474336"/>
    <w:rsid w:val="00474E8D"/>
    <w:rsid w:val="00477BA6"/>
    <w:rsid w:val="0048070C"/>
    <w:rsid w:val="00486E65"/>
    <w:rsid w:val="00487B4C"/>
    <w:rsid w:val="00491786"/>
    <w:rsid w:val="00491844"/>
    <w:rsid w:val="00494E5A"/>
    <w:rsid w:val="004A4A0A"/>
    <w:rsid w:val="004A5A96"/>
    <w:rsid w:val="004B2EE4"/>
    <w:rsid w:val="004B36ED"/>
    <w:rsid w:val="004B404E"/>
    <w:rsid w:val="004C0940"/>
    <w:rsid w:val="004C1C8B"/>
    <w:rsid w:val="004C4B22"/>
    <w:rsid w:val="004E36CD"/>
    <w:rsid w:val="004E4121"/>
    <w:rsid w:val="004F2CF8"/>
    <w:rsid w:val="004F4F61"/>
    <w:rsid w:val="004F74F2"/>
    <w:rsid w:val="0050174D"/>
    <w:rsid w:val="005021E4"/>
    <w:rsid w:val="00502B33"/>
    <w:rsid w:val="00503E24"/>
    <w:rsid w:val="005055C0"/>
    <w:rsid w:val="00506057"/>
    <w:rsid w:val="00511F84"/>
    <w:rsid w:val="0051286B"/>
    <w:rsid w:val="00514543"/>
    <w:rsid w:val="005213F5"/>
    <w:rsid w:val="00530B50"/>
    <w:rsid w:val="00531DE3"/>
    <w:rsid w:val="005330A2"/>
    <w:rsid w:val="00533BD0"/>
    <w:rsid w:val="005454E4"/>
    <w:rsid w:val="00547C7B"/>
    <w:rsid w:val="0055155D"/>
    <w:rsid w:val="005536DA"/>
    <w:rsid w:val="00557834"/>
    <w:rsid w:val="00560A4F"/>
    <w:rsid w:val="00561732"/>
    <w:rsid w:val="00571D72"/>
    <w:rsid w:val="00581AA3"/>
    <w:rsid w:val="00584073"/>
    <w:rsid w:val="005871FD"/>
    <w:rsid w:val="005928F9"/>
    <w:rsid w:val="0059467F"/>
    <w:rsid w:val="005946A3"/>
    <w:rsid w:val="005A348A"/>
    <w:rsid w:val="005A45DD"/>
    <w:rsid w:val="005B0570"/>
    <w:rsid w:val="005B342F"/>
    <w:rsid w:val="005B649D"/>
    <w:rsid w:val="005B7D24"/>
    <w:rsid w:val="005C4ABB"/>
    <w:rsid w:val="005C76B7"/>
    <w:rsid w:val="005D10CD"/>
    <w:rsid w:val="005E0023"/>
    <w:rsid w:val="005E053D"/>
    <w:rsid w:val="005E532D"/>
    <w:rsid w:val="005E667D"/>
    <w:rsid w:val="005F009F"/>
    <w:rsid w:val="005F1909"/>
    <w:rsid w:val="006005E2"/>
    <w:rsid w:val="00601F6D"/>
    <w:rsid w:val="00602468"/>
    <w:rsid w:val="00612BDA"/>
    <w:rsid w:val="00613838"/>
    <w:rsid w:val="00615A07"/>
    <w:rsid w:val="00616A32"/>
    <w:rsid w:val="00620F0B"/>
    <w:rsid w:val="00622332"/>
    <w:rsid w:val="00623090"/>
    <w:rsid w:val="006271A3"/>
    <w:rsid w:val="0063442C"/>
    <w:rsid w:val="00635DE6"/>
    <w:rsid w:val="00640129"/>
    <w:rsid w:val="00644AD2"/>
    <w:rsid w:val="006471A0"/>
    <w:rsid w:val="00650CE2"/>
    <w:rsid w:val="00651B48"/>
    <w:rsid w:val="00652772"/>
    <w:rsid w:val="00654477"/>
    <w:rsid w:val="006560AF"/>
    <w:rsid w:val="0065616E"/>
    <w:rsid w:val="006574EC"/>
    <w:rsid w:val="006661F7"/>
    <w:rsid w:val="00666E22"/>
    <w:rsid w:val="0067067D"/>
    <w:rsid w:val="0067084B"/>
    <w:rsid w:val="00672C7E"/>
    <w:rsid w:val="00677212"/>
    <w:rsid w:val="006772BB"/>
    <w:rsid w:val="00677A22"/>
    <w:rsid w:val="00680204"/>
    <w:rsid w:val="00680B44"/>
    <w:rsid w:val="00686ED6"/>
    <w:rsid w:val="00690604"/>
    <w:rsid w:val="00695B6A"/>
    <w:rsid w:val="006A4187"/>
    <w:rsid w:val="006B031C"/>
    <w:rsid w:val="006B2162"/>
    <w:rsid w:val="006B37EA"/>
    <w:rsid w:val="006B416A"/>
    <w:rsid w:val="006B4C5D"/>
    <w:rsid w:val="006C0721"/>
    <w:rsid w:val="006C13D4"/>
    <w:rsid w:val="006C35D3"/>
    <w:rsid w:val="006D03E5"/>
    <w:rsid w:val="006D26CB"/>
    <w:rsid w:val="006D4416"/>
    <w:rsid w:val="006D48FC"/>
    <w:rsid w:val="006D4A95"/>
    <w:rsid w:val="006E199B"/>
    <w:rsid w:val="006E3549"/>
    <w:rsid w:val="006E7AF7"/>
    <w:rsid w:val="006F0BC0"/>
    <w:rsid w:val="006F58BD"/>
    <w:rsid w:val="00702995"/>
    <w:rsid w:val="00702E97"/>
    <w:rsid w:val="00704C2F"/>
    <w:rsid w:val="00711034"/>
    <w:rsid w:val="0071579E"/>
    <w:rsid w:val="00721472"/>
    <w:rsid w:val="00721BDE"/>
    <w:rsid w:val="007276B7"/>
    <w:rsid w:val="00731329"/>
    <w:rsid w:val="00734660"/>
    <w:rsid w:val="00735E78"/>
    <w:rsid w:val="0074179B"/>
    <w:rsid w:val="00743B3F"/>
    <w:rsid w:val="007501FD"/>
    <w:rsid w:val="00755D0F"/>
    <w:rsid w:val="00762086"/>
    <w:rsid w:val="00764BA1"/>
    <w:rsid w:val="00766288"/>
    <w:rsid w:val="00767527"/>
    <w:rsid w:val="007708BB"/>
    <w:rsid w:val="00774395"/>
    <w:rsid w:val="00774716"/>
    <w:rsid w:val="00774AC3"/>
    <w:rsid w:val="0077595B"/>
    <w:rsid w:val="00776A21"/>
    <w:rsid w:val="007777A1"/>
    <w:rsid w:val="00785F72"/>
    <w:rsid w:val="007A1C67"/>
    <w:rsid w:val="007A54CE"/>
    <w:rsid w:val="007A7A0A"/>
    <w:rsid w:val="007B0E5F"/>
    <w:rsid w:val="007B2CFB"/>
    <w:rsid w:val="007B2F1E"/>
    <w:rsid w:val="007B3187"/>
    <w:rsid w:val="007B6081"/>
    <w:rsid w:val="007B7677"/>
    <w:rsid w:val="007C4053"/>
    <w:rsid w:val="007D1990"/>
    <w:rsid w:val="007D2395"/>
    <w:rsid w:val="007D618B"/>
    <w:rsid w:val="007E58DD"/>
    <w:rsid w:val="007E600D"/>
    <w:rsid w:val="007F2B70"/>
    <w:rsid w:val="007F3360"/>
    <w:rsid w:val="007F4530"/>
    <w:rsid w:val="007F53AA"/>
    <w:rsid w:val="007F6B77"/>
    <w:rsid w:val="007F6B80"/>
    <w:rsid w:val="00800B5C"/>
    <w:rsid w:val="008040EE"/>
    <w:rsid w:val="00804C1C"/>
    <w:rsid w:val="00813DEF"/>
    <w:rsid w:val="00813E35"/>
    <w:rsid w:val="0081745A"/>
    <w:rsid w:val="0082079D"/>
    <w:rsid w:val="00823135"/>
    <w:rsid w:val="00825C96"/>
    <w:rsid w:val="00845428"/>
    <w:rsid w:val="0084732F"/>
    <w:rsid w:val="00850D8F"/>
    <w:rsid w:val="008518F6"/>
    <w:rsid w:val="00857770"/>
    <w:rsid w:val="00857A6A"/>
    <w:rsid w:val="00857C4D"/>
    <w:rsid w:val="00865118"/>
    <w:rsid w:val="00875E48"/>
    <w:rsid w:val="00876B8E"/>
    <w:rsid w:val="0088380B"/>
    <w:rsid w:val="00885A17"/>
    <w:rsid w:val="00890FAA"/>
    <w:rsid w:val="00891AA2"/>
    <w:rsid w:val="00892ACB"/>
    <w:rsid w:val="00892CBB"/>
    <w:rsid w:val="00894F91"/>
    <w:rsid w:val="008A0FEE"/>
    <w:rsid w:val="008A3ED8"/>
    <w:rsid w:val="008A687B"/>
    <w:rsid w:val="008A7491"/>
    <w:rsid w:val="008B1703"/>
    <w:rsid w:val="008B556E"/>
    <w:rsid w:val="008C01FF"/>
    <w:rsid w:val="008C2D0E"/>
    <w:rsid w:val="008C2E3C"/>
    <w:rsid w:val="008C56A2"/>
    <w:rsid w:val="008C6BBE"/>
    <w:rsid w:val="008C79EC"/>
    <w:rsid w:val="008D728C"/>
    <w:rsid w:val="008E16FD"/>
    <w:rsid w:val="008E22AD"/>
    <w:rsid w:val="008E3937"/>
    <w:rsid w:val="008E6A19"/>
    <w:rsid w:val="008F1D17"/>
    <w:rsid w:val="008F42AC"/>
    <w:rsid w:val="008F5D92"/>
    <w:rsid w:val="00906246"/>
    <w:rsid w:val="00906F79"/>
    <w:rsid w:val="009074FE"/>
    <w:rsid w:val="0091103A"/>
    <w:rsid w:val="0091508E"/>
    <w:rsid w:val="0091792A"/>
    <w:rsid w:val="0092099E"/>
    <w:rsid w:val="00920B1D"/>
    <w:rsid w:val="00922823"/>
    <w:rsid w:val="009259CF"/>
    <w:rsid w:val="009276C5"/>
    <w:rsid w:val="0093150A"/>
    <w:rsid w:val="00932657"/>
    <w:rsid w:val="009340BE"/>
    <w:rsid w:val="0093434C"/>
    <w:rsid w:val="00935730"/>
    <w:rsid w:val="009367A0"/>
    <w:rsid w:val="00936C03"/>
    <w:rsid w:val="00940D07"/>
    <w:rsid w:val="0095591C"/>
    <w:rsid w:val="00956C43"/>
    <w:rsid w:val="00960FEB"/>
    <w:rsid w:val="00963E72"/>
    <w:rsid w:val="00973B54"/>
    <w:rsid w:val="00975363"/>
    <w:rsid w:val="00977A75"/>
    <w:rsid w:val="009802D0"/>
    <w:rsid w:val="00982654"/>
    <w:rsid w:val="009866E0"/>
    <w:rsid w:val="00991CC5"/>
    <w:rsid w:val="00992D25"/>
    <w:rsid w:val="00993115"/>
    <w:rsid w:val="00993EB9"/>
    <w:rsid w:val="00996905"/>
    <w:rsid w:val="009A25C7"/>
    <w:rsid w:val="009A42DC"/>
    <w:rsid w:val="009A5BB7"/>
    <w:rsid w:val="009A5F8F"/>
    <w:rsid w:val="009A7177"/>
    <w:rsid w:val="009B0280"/>
    <w:rsid w:val="009B364F"/>
    <w:rsid w:val="009B7C9F"/>
    <w:rsid w:val="009C0504"/>
    <w:rsid w:val="009C1DD7"/>
    <w:rsid w:val="009C467F"/>
    <w:rsid w:val="009C468C"/>
    <w:rsid w:val="009C4A57"/>
    <w:rsid w:val="009D1631"/>
    <w:rsid w:val="009D1E43"/>
    <w:rsid w:val="009D4592"/>
    <w:rsid w:val="009D6158"/>
    <w:rsid w:val="009D6C16"/>
    <w:rsid w:val="009D708D"/>
    <w:rsid w:val="009E0811"/>
    <w:rsid w:val="009E4D8F"/>
    <w:rsid w:val="009E777D"/>
    <w:rsid w:val="00A075CE"/>
    <w:rsid w:val="00A1077A"/>
    <w:rsid w:val="00A246E2"/>
    <w:rsid w:val="00A269E6"/>
    <w:rsid w:val="00A272AE"/>
    <w:rsid w:val="00A30719"/>
    <w:rsid w:val="00A351A4"/>
    <w:rsid w:val="00A35ADF"/>
    <w:rsid w:val="00A411DE"/>
    <w:rsid w:val="00A41DA6"/>
    <w:rsid w:val="00A42EA8"/>
    <w:rsid w:val="00A442AC"/>
    <w:rsid w:val="00A46626"/>
    <w:rsid w:val="00A4749A"/>
    <w:rsid w:val="00A47F13"/>
    <w:rsid w:val="00A52B84"/>
    <w:rsid w:val="00A62BE8"/>
    <w:rsid w:val="00A630F2"/>
    <w:rsid w:val="00A67CF5"/>
    <w:rsid w:val="00A71C45"/>
    <w:rsid w:val="00A74FA0"/>
    <w:rsid w:val="00A77B02"/>
    <w:rsid w:val="00A81E92"/>
    <w:rsid w:val="00A8282B"/>
    <w:rsid w:val="00A85481"/>
    <w:rsid w:val="00A85B80"/>
    <w:rsid w:val="00A877B1"/>
    <w:rsid w:val="00A87E22"/>
    <w:rsid w:val="00A902A3"/>
    <w:rsid w:val="00A92B10"/>
    <w:rsid w:val="00A96A6F"/>
    <w:rsid w:val="00A971FD"/>
    <w:rsid w:val="00AA060B"/>
    <w:rsid w:val="00AA46A3"/>
    <w:rsid w:val="00AA5E1F"/>
    <w:rsid w:val="00AA756C"/>
    <w:rsid w:val="00AB2223"/>
    <w:rsid w:val="00AB2704"/>
    <w:rsid w:val="00AB4E48"/>
    <w:rsid w:val="00AB5613"/>
    <w:rsid w:val="00AC2BDD"/>
    <w:rsid w:val="00AC3607"/>
    <w:rsid w:val="00AC439C"/>
    <w:rsid w:val="00AC5728"/>
    <w:rsid w:val="00AC7609"/>
    <w:rsid w:val="00AD37CB"/>
    <w:rsid w:val="00AD4371"/>
    <w:rsid w:val="00AD6DF6"/>
    <w:rsid w:val="00AD6F99"/>
    <w:rsid w:val="00AE34C7"/>
    <w:rsid w:val="00AE6E12"/>
    <w:rsid w:val="00AE710F"/>
    <w:rsid w:val="00AE716B"/>
    <w:rsid w:val="00AE78A6"/>
    <w:rsid w:val="00AF2C54"/>
    <w:rsid w:val="00AF4E9C"/>
    <w:rsid w:val="00AF5CBC"/>
    <w:rsid w:val="00AF76BF"/>
    <w:rsid w:val="00B03008"/>
    <w:rsid w:val="00B03370"/>
    <w:rsid w:val="00B035FD"/>
    <w:rsid w:val="00B10212"/>
    <w:rsid w:val="00B130F1"/>
    <w:rsid w:val="00B16CA7"/>
    <w:rsid w:val="00B17A2F"/>
    <w:rsid w:val="00B2328A"/>
    <w:rsid w:val="00B23C14"/>
    <w:rsid w:val="00B25AEF"/>
    <w:rsid w:val="00B30598"/>
    <w:rsid w:val="00B306EA"/>
    <w:rsid w:val="00B31778"/>
    <w:rsid w:val="00B326C2"/>
    <w:rsid w:val="00B32D5B"/>
    <w:rsid w:val="00B32FEE"/>
    <w:rsid w:val="00B426DC"/>
    <w:rsid w:val="00B45C03"/>
    <w:rsid w:val="00B5296F"/>
    <w:rsid w:val="00B541DE"/>
    <w:rsid w:val="00B548DD"/>
    <w:rsid w:val="00B54C95"/>
    <w:rsid w:val="00B626E9"/>
    <w:rsid w:val="00B7102C"/>
    <w:rsid w:val="00B710C7"/>
    <w:rsid w:val="00B72D6D"/>
    <w:rsid w:val="00B73F26"/>
    <w:rsid w:val="00B74176"/>
    <w:rsid w:val="00B86265"/>
    <w:rsid w:val="00B875BE"/>
    <w:rsid w:val="00B87D26"/>
    <w:rsid w:val="00B9489B"/>
    <w:rsid w:val="00B951BC"/>
    <w:rsid w:val="00B9530B"/>
    <w:rsid w:val="00BA52E3"/>
    <w:rsid w:val="00BA5573"/>
    <w:rsid w:val="00BA5838"/>
    <w:rsid w:val="00BB0018"/>
    <w:rsid w:val="00BB0907"/>
    <w:rsid w:val="00BB1BA5"/>
    <w:rsid w:val="00BB3F58"/>
    <w:rsid w:val="00BB4FA8"/>
    <w:rsid w:val="00BB5C03"/>
    <w:rsid w:val="00BB6F81"/>
    <w:rsid w:val="00BC0BD5"/>
    <w:rsid w:val="00BC219E"/>
    <w:rsid w:val="00BC764D"/>
    <w:rsid w:val="00BD39A5"/>
    <w:rsid w:val="00BD429E"/>
    <w:rsid w:val="00BE429D"/>
    <w:rsid w:val="00BE4F3F"/>
    <w:rsid w:val="00BE5B3F"/>
    <w:rsid w:val="00BE5C00"/>
    <w:rsid w:val="00BF1528"/>
    <w:rsid w:val="00BF2010"/>
    <w:rsid w:val="00BF449E"/>
    <w:rsid w:val="00C001E7"/>
    <w:rsid w:val="00C03B7D"/>
    <w:rsid w:val="00C06548"/>
    <w:rsid w:val="00C10019"/>
    <w:rsid w:val="00C10EC0"/>
    <w:rsid w:val="00C12E7C"/>
    <w:rsid w:val="00C16A9C"/>
    <w:rsid w:val="00C219CA"/>
    <w:rsid w:val="00C23BB2"/>
    <w:rsid w:val="00C25C4E"/>
    <w:rsid w:val="00C26A6A"/>
    <w:rsid w:val="00C26BD4"/>
    <w:rsid w:val="00C26D35"/>
    <w:rsid w:val="00C272D4"/>
    <w:rsid w:val="00C3740E"/>
    <w:rsid w:val="00C43E29"/>
    <w:rsid w:val="00C55B6F"/>
    <w:rsid w:val="00C61D64"/>
    <w:rsid w:val="00C61EF2"/>
    <w:rsid w:val="00C70EBC"/>
    <w:rsid w:val="00C72EF4"/>
    <w:rsid w:val="00C740B5"/>
    <w:rsid w:val="00C77DA5"/>
    <w:rsid w:val="00C80A21"/>
    <w:rsid w:val="00C83FDF"/>
    <w:rsid w:val="00C8670B"/>
    <w:rsid w:val="00C9033D"/>
    <w:rsid w:val="00CB0189"/>
    <w:rsid w:val="00CB6663"/>
    <w:rsid w:val="00CC0EFA"/>
    <w:rsid w:val="00CC0F42"/>
    <w:rsid w:val="00CC12B8"/>
    <w:rsid w:val="00CC1801"/>
    <w:rsid w:val="00CC21E1"/>
    <w:rsid w:val="00CC28C3"/>
    <w:rsid w:val="00CC2EDA"/>
    <w:rsid w:val="00CC7420"/>
    <w:rsid w:val="00CD0B84"/>
    <w:rsid w:val="00CD337C"/>
    <w:rsid w:val="00CE293D"/>
    <w:rsid w:val="00CE2F7D"/>
    <w:rsid w:val="00CE746B"/>
    <w:rsid w:val="00CF0CC1"/>
    <w:rsid w:val="00CF348D"/>
    <w:rsid w:val="00CF5897"/>
    <w:rsid w:val="00CF751E"/>
    <w:rsid w:val="00D01635"/>
    <w:rsid w:val="00D0422A"/>
    <w:rsid w:val="00D0746A"/>
    <w:rsid w:val="00D07F57"/>
    <w:rsid w:val="00D123F9"/>
    <w:rsid w:val="00D12404"/>
    <w:rsid w:val="00D20C28"/>
    <w:rsid w:val="00D22042"/>
    <w:rsid w:val="00D27220"/>
    <w:rsid w:val="00D27704"/>
    <w:rsid w:val="00D301C6"/>
    <w:rsid w:val="00D3084D"/>
    <w:rsid w:val="00D3213B"/>
    <w:rsid w:val="00D32D5A"/>
    <w:rsid w:val="00D362CD"/>
    <w:rsid w:val="00D36D3A"/>
    <w:rsid w:val="00D42A99"/>
    <w:rsid w:val="00D439DF"/>
    <w:rsid w:val="00D43D5E"/>
    <w:rsid w:val="00D468FF"/>
    <w:rsid w:val="00D526C6"/>
    <w:rsid w:val="00D537E1"/>
    <w:rsid w:val="00D578A4"/>
    <w:rsid w:val="00D63605"/>
    <w:rsid w:val="00D65881"/>
    <w:rsid w:val="00D66A6D"/>
    <w:rsid w:val="00D7353F"/>
    <w:rsid w:val="00D77971"/>
    <w:rsid w:val="00D80F47"/>
    <w:rsid w:val="00D81785"/>
    <w:rsid w:val="00D84FBD"/>
    <w:rsid w:val="00D8549B"/>
    <w:rsid w:val="00D85B94"/>
    <w:rsid w:val="00D8709F"/>
    <w:rsid w:val="00D87F37"/>
    <w:rsid w:val="00D91744"/>
    <w:rsid w:val="00D92151"/>
    <w:rsid w:val="00D92C69"/>
    <w:rsid w:val="00D93450"/>
    <w:rsid w:val="00D94489"/>
    <w:rsid w:val="00D96B2E"/>
    <w:rsid w:val="00D97AF4"/>
    <w:rsid w:val="00D97C99"/>
    <w:rsid w:val="00DA2A2D"/>
    <w:rsid w:val="00DA4527"/>
    <w:rsid w:val="00DA7FC2"/>
    <w:rsid w:val="00DB1ACF"/>
    <w:rsid w:val="00DB4669"/>
    <w:rsid w:val="00DB4E3D"/>
    <w:rsid w:val="00DB6043"/>
    <w:rsid w:val="00DC6EF6"/>
    <w:rsid w:val="00DD0431"/>
    <w:rsid w:val="00DE0F64"/>
    <w:rsid w:val="00DE2195"/>
    <w:rsid w:val="00DE3D05"/>
    <w:rsid w:val="00DE4AD8"/>
    <w:rsid w:val="00DE694D"/>
    <w:rsid w:val="00DF3586"/>
    <w:rsid w:val="00DF66A6"/>
    <w:rsid w:val="00DF76B3"/>
    <w:rsid w:val="00E0723E"/>
    <w:rsid w:val="00E07576"/>
    <w:rsid w:val="00E11DA5"/>
    <w:rsid w:val="00E16079"/>
    <w:rsid w:val="00E226F1"/>
    <w:rsid w:val="00E276E6"/>
    <w:rsid w:val="00E312A7"/>
    <w:rsid w:val="00E349E9"/>
    <w:rsid w:val="00E36930"/>
    <w:rsid w:val="00E36DEC"/>
    <w:rsid w:val="00E41C75"/>
    <w:rsid w:val="00E43951"/>
    <w:rsid w:val="00E43C17"/>
    <w:rsid w:val="00E457D9"/>
    <w:rsid w:val="00E509E0"/>
    <w:rsid w:val="00E51B2C"/>
    <w:rsid w:val="00E52E31"/>
    <w:rsid w:val="00E53232"/>
    <w:rsid w:val="00E55005"/>
    <w:rsid w:val="00E56A2E"/>
    <w:rsid w:val="00E57562"/>
    <w:rsid w:val="00E6365A"/>
    <w:rsid w:val="00E65C8F"/>
    <w:rsid w:val="00E6795B"/>
    <w:rsid w:val="00E71D73"/>
    <w:rsid w:val="00E75AF4"/>
    <w:rsid w:val="00E81DC8"/>
    <w:rsid w:val="00E912DD"/>
    <w:rsid w:val="00EA1061"/>
    <w:rsid w:val="00EB7241"/>
    <w:rsid w:val="00EC5143"/>
    <w:rsid w:val="00EC659A"/>
    <w:rsid w:val="00EC767B"/>
    <w:rsid w:val="00ED15C8"/>
    <w:rsid w:val="00ED45D3"/>
    <w:rsid w:val="00ED6F18"/>
    <w:rsid w:val="00EE2A41"/>
    <w:rsid w:val="00EE4B17"/>
    <w:rsid w:val="00EE5DF0"/>
    <w:rsid w:val="00EF4097"/>
    <w:rsid w:val="00EF5320"/>
    <w:rsid w:val="00F02DE0"/>
    <w:rsid w:val="00F1152E"/>
    <w:rsid w:val="00F132BD"/>
    <w:rsid w:val="00F148E2"/>
    <w:rsid w:val="00F17C16"/>
    <w:rsid w:val="00F22A38"/>
    <w:rsid w:val="00F270E8"/>
    <w:rsid w:val="00F41DCD"/>
    <w:rsid w:val="00F44DCD"/>
    <w:rsid w:val="00F50E33"/>
    <w:rsid w:val="00F530A0"/>
    <w:rsid w:val="00F562AA"/>
    <w:rsid w:val="00F61DBC"/>
    <w:rsid w:val="00F65F7B"/>
    <w:rsid w:val="00F66BFD"/>
    <w:rsid w:val="00F7077C"/>
    <w:rsid w:val="00F814EF"/>
    <w:rsid w:val="00F83704"/>
    <w:rsid w:val="00F93D79"/>
    <w:rsid w:val="00F95A22"/>
    <w:rsid w:val="00FA028D"/>
    <w:rsid w:val="00FA0B9E"/>
    <w:rsid w:val="00FA5F5C"/>
    <w:rsid w:val="00FA7093"/>
    <w:rsid w:val="00FB4D06"/>
    <w:rsid w:val="00FB5682"/>
    <w:rsid w:val="00FD3CC7"/>
    <w:rsid w:val="00FD4A10"/>
    <w:rsid w:val="00FD65E7"/>
    <w:rsid w:val="00FE0B0E"/>
    <w:rsid w:val="00FE43EC"/>
    <w:rsid w:val="00FE4C21"/>
    <w:rsid w:val="00FE6DD7"/>
    <w:rsid w:val="00FF231A"/>
    <w:rsid w:val="00FF2A00"/>
    <w:rsid w:val="00FF30A9"/>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3320</Words>
  <Characters>18925</Characters>
  <Application>Microsoft Office Word</Application>
  <DocSecurity>4</DocSecurity>
  <Lines>157</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2025-06-25T16:53:00Z</dcterms:created>
  <dcterms:modified xsi:type="dcterms:W3CDTF">2025-06-25T16:53:00Z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