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A15E4B" w14:textId="77777777" w:rsidR="00ED30AA" w:rsidRPr="000E7F54" w:rsidRDefault="00ED30AA" w:rsidP="00ED30AA">
      <w:pPr>
        <w:jc w:val="center"/>
        <w:rPr>
          <w:rFonts w:ascii="Book Antiqua" w:hAnsi="Book Antiqua"/>
          <w:sz w:val="28"/>
          <w:szCs w:val="28"/>
          <w:lang w:val="es-ES"/>
        </w:rPr>
      </w:pPr>
      <w:r w:rsidRPr="000E7F54">
        <w:rPr>
          <w:rFonts w:ascii="Book Antiqua" w:hAnsi="Book Antiqua"/>
          <w:b/>
          <w:sz w:val="28"/>
          <w:szCs w:val="28"/>
          <w:lang w:val="es-ES"/>
        </w:rPr>
        <w:t>GOBIERNO DE PUERTO RICO</w:t>
      </w:r>
    </w:p>
    <w:p w14:paraId="73AB2208" w14:textId="77777777" w:rsidR="00ED30AA" w:rsidRPr="000E7F54" w:rsidRDefault="00ED30AA" w:rsidP="00ED30AA">
      <w:pPr>
        <w:rPr>
          <w:rFonts w:ascii="Book Antiqua" w:hAnsi="Book Antiqua"/>
          <w:sz w:val="28"/>
          <w:szCs w:val="28"/>
          <w:lang w:val="es-ES"/>
        </w:rPr>
      </w:pPr>
    </w:p>
    <w:tbl>
      <w:tblPr>
        <w:tblpPr w:leftFromText="180" w:rightFromText="180" w:bottomFromText="160" w:vertAnchor="text" w:horzAnchor="margin" w:tblpY="-40"/>
        <w:tblW w:w="0" w:type="auto"/>
        <w:tblLook w:val="01E0" w:firstRow="1" w:lastRow="1" w:firstColumn="1" w:lastColumn="1" w:noHBand="0" w:noVBand="0"/>
      </w:tblPr>
      <w:tblGrid>
        <w:gridCol w:w="3139"/>
        <w:gridCol w:w="3095"/>
        <w:gridCol w:w="3126"/>
      </w:tblGrid>
      <w:tr w:rsidR="00ED30AA" w:rsidRPr="000E7F54" w14:paraId="53F9BF01" w14:textId="77777777" w:rsidTr="00ED30AA">
        <w:tc>
          <w:tcPr>
            <w:tcW w:w="3139" w:type="dxa"/>
            <w:hideMark/>
          </w:tcPr>
          <w:p w14:paraId="0745955B" w14:textId="77777777" w:rsidR="00ED30AA" w:rsidRPr="000E7F54" w:rsidRDefault="00ED30AA" w:rsidP="00ED30AA">
            <w:pPr>
              <w:rPr>
                <w:rFonts w:ascii="Book Antiqua" w:hAnsi="Book Antiqua"/>
                <w:szCs w:val="24"/>
                <w:lang w:val="es-ES"/>
              </w:rPr>
            </w:pPr>
            <w:r w:rsidRPr="000E7F54">
              <w:rPr>
                <w:rFonts w:ascii="Book Antiqua" w:hAnsi="Book Antiqua"/>
                <w:szCs w:val="24"/>
                <w:lang w:val="es-ES"/>
              </w:rPr>
              <w:t>20</w:t>
            </w:r>
            <w:r w:rsidRPr="000E7F54">
              <w:rPr>
                <w:rFonts w:ascii="Book Antiqua" w:hAnsi="Book Antiqua"/>
                <w:szCs w:val="24"/>
                <w:vertAlign w:val="superscript"/>
                <w:lang w:val="es-ES"/>
              </w:rPr>
              <w:t>ma</w:t>
            </w:r>
            <w:r w:rsidRPr="000E7F54">
              <w:rPr>
                <w:rFonts w:ascii="Book Antiqua" w:hAnsi="Book Antiqua"/>
                <w:szCs w:val="24"/>
                <w:lang w:val="es-ES"/>
              </w:rPr>
              <w:t>Asamblea</w:t>
            </w:r>
          </w:p>
          <w:p w14:paraId="137F6EB2" w14:textId="4171334E" w:rsidR="00ED30AA" w:rsidRPr="000E7F54" w:rsidRDefault="00ED30AA" w:rsidP="00ED30AA">
            <w:pPr>
              <w:rPr>
                <w:rFonts w:ascii="Book Antiqua" w:hAnsi="Book Antiqua"/>
                <w:szCs w:val="24"/>
                <w:lang w:val="es-ES"/>
              </w:rPr>
            </w:pPr>
            <w:r w:rsidRPr="000E7F54">
              <w:rPr>
                <w:rFonts w:ascii="Book Antiqua" w:hAnsi="Book Antiqua"/>
                <w:szCs w:val="24"/>
                <w:lang w:val="es-ES"/>
              </w:rPr>
              <w:t xml:space="preserve">        Legislativa</w:t>
            </w:r>
          </w:p>
        </w:tc>
        <w:tc>
          <w:tcPr>
            <w:tcW w:w="3095" w:type="dxa"/>
          </w:tcPr>
          <w:p w14:paraId="1AC663B4" w14:textId="77777777" w:rsidR="00ED30AA" w:rsidRPr="000E7F54" w:rsidRDefault="00ED30AA" w:rsidP="00ED30AA">
            <w:pPr>
              <w:jc w:val="center"/>
              <w:rPr>
                <w:rFonts w:ascii="Book Antiqua" w:hAnsi="Book Antiqua"/>
                <w:szCs w:val="24"/>
                <w:lang w:val="es-ES"/>
              </w:rPr>
            </w:pPr>
          </w:p>
        </w:tc>
        <w:tc>
          <w:tcPr>
            <w:tcW w:w="3126" w:type="dxa"/>
            <w:hideMark/>
          </w:tcPr>
          <w:p w14:paraId="47EBBD58" w14:textId="1BD71AE8" w:rsidR="00ED30AA" w:rsidRPr="000E7F54" w:rsidRDefault="00ED30AA" w:rsidP="00ED30AA">
            <w:pPr>
              <w:jc w:val="center"/>
              <w:rPr>
                <w:rFonts w:ascii="Book Antiqua" w:hAnsi="Book Antiqua"/>
                <w:szCs w:val="24"/>
                <w:lang w:val="es-ES"/>
              </w:rPr>
            </w:pPr>
            <w:r w:rsidRPr="000E7F54">
              <w:rPr>
                <w:rFonts w:ascii="Book Antiqua" w:hAnsi="Book Antiqua"/>
                <w:szCs w:val="24"/>
                <w:lang w:val="es-ES"/>
              </w:rPr>
              <w:t xml:space="preserve">                </w:t>
            </w:r>
            <w:r w:rsidR="00A66CF3">
              <w:rPr>
                <w:rFonts w:ascii="Book Antiqua" w:hAnsi="Book Antiqua"/>
                <w:szCs w:val="24"/>
                <w:lang w:val="es-ES"/>
              </w:rPr>
              <w:t>3</w:t>
            </w:r>
            <w:r w:rsidR="00A66CF3" w:rsidRPr="00A66CF3">
              <w:rPr>
                <w:rFonts w:ascii="Book Antiqua" w:hAnsi="Book Antiqua"/>
                <w:szCs w:val="24"/>
                <w:vertAlign w:val="superscript"/>
                <w:lang w:val="es-ES"/>
              </w:rPr>
              <w:t>ra</w:t>
            </w:r>
            <w:r w:rsidRPr="000E7F54">
              <w:rPr>
                <w:rFonts w:ascii="Book Antiqua" w:hAnsi="Book Antiqua"/>
                <w:szCs w:val="24"/>
                <w:lang w:val="es-ES"/>
              </w:rPr>
              <w:t xml:space="preserve"> Sesión </w:t>
            </w:r>
          </w:p>
          <w:p w14:paraId="39CBA15A" w14:textId="076179CC" w:rsidR="00ED30AA" w:rsidRPr="000E7F54" w:rsidRDefault="00ED30AA" w:rsidP="00ED30AA">
            <w:pPr>
              <w:jc w:val="center"/>
              <w:rPr>
                <w:rFonts w:ascii="Book Antiqua" w:hAnsi="Book Antiqua"/>
                <w:szCs w:val="24"/>
                <w:lang w:val="es-ES"/>
              </w:rPr>
            </w:pPr>
            <w:r w:rsidRPr="000E7F54">
              <w:rPr>
                <w:rFonts w:ascii="Book Antiqua" w:hAnsi="Book Antiqua"/>
                <w:szCs w:val="24"/>
                <w:lang w:val="es-ES"/>
              </w:rPr>
              <w:t xml:space="preserve">                           Ordinaria</w:t>
            </w:r>
          </w:p>
        </w:tc>
      </w:tr>
    </w:tbl>
    <w:p w14:paraId="2F017266" w14:textId="77777777" w:rsidR="00ED30AA" w:rsidRPr="000E7F54" w:rsidRDefault="00ED30AA" w:rsidP="00ED30AA">
      <w:pPr>
        <w:jc w:val="center"/>
        <w:rPr>
          <w:rFonts w:ascii="Book Antiqua" w:hAnsi="Book Antiqua"/>
          <w:b/>
          <w:bCs/>
          <w:sz w:val="36"/>
          <w:szCs w:val="36"/>
          <w:lang w:val="es-ES"/>
        </w:rPr>
      </w:pPr>
      <w:r w:rsidRPr="000E7F54">
        <w:rPr>
          <w:rFonts w:ascii="Book Antiqua" w:hAnsi="Book Antiqua"/>
          <w:b/>
          <w:bCs/>
          <w:sz w:val="36"/>
          <w:szCs w:val="36"/>
          <w:lang w:val="es-ES"/>
        </w:rPr>
        <w:t>CÁMARA DE REPRESENTANTES</w:t>
      </w:r>
    </w:p>
    <w:p w14:paraId="658E8DB7" w14:textId="77777777" w:rsidR="00ED30AA" w:rsidRPr="000E7F54" w:rsidRDefault="00ED30AA" w:rsidP="00ED30AA">
      <w:pPr>
        <w:jc w:val="center"/>
        <w:rPr>
          <w:rFonts w:ascii="Book Antiqua" w:hAnsi="Book Antiqua"/>
          <w:sz w:val="28"/>
          <w:szCs w:val="28"/>
          <w:lang w:val="es-ES"/>
        </w:rPr>
      </w:pPr>
    </w:p>
    <w:p w14:paraId="28DF9D71" w14:textId="1DA9A36A" w:rsidR="00ED30AA" w:rsidRPr="000E7F54" w:rsidRDefault="00ED30AA" w:rsidP="00ED30AA">
      <w:pPr>
        <w:jc w:val="center"/>
        <w:rPr>
          <w:rFonts w:ascii="Book Antiqua" w:hAnsi="Book Antiqua"/>
          <w:b/>
          <w:sz w:val="52"/>
          <w:szCs w:val="52"/>
          <w:lang w:val="es-ES"/>
        </w:rPr>
      </w:pPr>
      <w:r w:rsidRPr="000E7F54">
        <w:rPr>
          <w:rFonts w:ascii="Book Antiqua" w:hAnsi="Book Antiqua"/>
          <w:b/>
          <w:sz w:val="52"/>
          <w:szCs w:val="52"/>
          <w:lang w:val="es-ES"/>
        </w:rPr>
        <w:t>P. de</w:t>
      </w:r>
      <w:r w:rsidR="00AA6704" w:rsidRPr="000E7F54">
        <w:rPr>
          <w:rFonts w:ascii="Book Antiqua" w:hAnsi="Book Antiqua"/>
          <w:b/>
          <w:sz w:val="52"/>
          <w:szCs w:val="52"/>
          <w:lang w:val="es-ES"/>
        </w:rPr>
        <w:t xml:space="preserve"> </w:t>
      </w:r>
      <w:r w:rsidRPr="000E7F54">
        <w:rPr>
          <w:rFonts w:ascii="Book Antiqua" w:hAnsi="Book Antiqua"/>
          <w:b/>
          <w:sz w:val="52"/>
          <w:szCs w:val="52"/>
          <w:lang w:val="es-ES"/>
        </w:rPr>
        <w:t>l</w:t>
      </w:r>
      <w:r w:rsidR="00AA6704" w:rsidRPr="000E7F54">
        <w:rPr>
          <w:rFonts w:ascii="Book Antiqua" w:hAnsi="Book Antiqua"/>
          <w:b/>
          <w:sz w:val="52"/>
          <w:szCs w:val="52"/>
          <w:lang w:val="es-ES"/>
        </w:rPr>
        <w:t>a</w:t>
      </w:r>
      <w:r w:rsidRPr="000E7F54">
        <w:rPr>
          <w:rFonts w:ascii="Book Antiqua" w:hAnsi="Book Antiqua"/>
          <w:b/>
          <w:sz w:val="52"/>
          <w:szCs w:val="52"/>
          <w:lang w:val="es-ES"/>
        </w:rPr>
        <w:t xml:space="preserve"> </w:t>
      </w:r>
      <w:r w:rsidR="00AA6704" w:rsidRPr="000E7F54">
        <w:rPr>
          <w:rFonts w:ascii="Book Antiqua" w:hAnsi="Book Antiqua"/>
          <w:b/>
          <w:sz w:val="52"/>
          <w:szCs w:val="52"/>
          <w:lang w:val="es-ES"/>
        </w:rPr>
        <w:t>C</w:t>
      </w:r>
      <w:r w:rsidRPr="000E7F54">
        <w:rPr>
          <w:rFonts w:ascii="Book Antiqua" w:hAnsi="Book Antiqua"/>
          <w:b/>
          <w:sz w:val="52"/>
          <w:szCs w:val="52"/>
          <w:lang w:val="es-ES"/>
        </w:rPr>
        <w:t xml:space="preserve">. </w:t>
      </w:r>
      <w:r w:rsidR="00B85AFA">
        <w:rPr>
          <w:rFonts w:ascii="Book Antiqua" w:hAnsi="Book Antiqua"/>
          <w:b/>
          <w:sz w:val="52"/>
          <w:szCs w:val="52"/>
          <w:lang w:val="es-ES"/>
        </w:rPr>
        <w:t>494</w:t>
      </w:r>
    </w:p>
    <w:p w14:paraId="35CFB7DE" w14:textId="77777777" w:rsidR="00ED30AA" w:rsidRPr="000E7F54" w:rsidRDefault="00ED30AA" w:rsidP="00ED30AA">
      <w:pPr>
        <w:jc w:val="center"/>
        <w:rPr>
          <w:rFonts w:ascii="Book Antiqua" w:hAnsi="Book Antiqua"/>
          <w:sz w:val="28"/>
          <w:szCs w:val="28"/>
          <w:lang w:val="es-ES"/>
        </w:rPr>
      </w:pPr>
    </w:p>
    <w:p w14:paraId="25A7CA79" w14:textId="54929F45" w:rsidR="00ED30AA" w:rsidRPr="000E7F54" w:rsidRDefault="00773864" w:rsidP="00ED30AA">
      <w:pPr>
        <w:jc w:val="center"/>
        <w:rPr>
          <w:rFonts w:ascii="Book Antiqua" w:hAnsi="Book Antiqua"/>
          <w:sz w:val="28"/>
          <w:szCs w:val="28"/>
          <w:lang w:val="es-ES"/>
        </w:rPr>
      </w:pPr>
      <w:r>
        <w:rPr>
          <w:rFonts w:ascii="Book Antiqua" w:hAnsi="Book Antiqua"/>
          <w:sz w:val="28"/>
          <w:szCs w:val="28"/>
          <w:lang w:val="es-ES"/>
        </w:rPr>
        <w:t>SEGUNDO INFORME</w:t>
      </w:r>
    </w:p>
    <w:p w14:paraId="310F564E" w14:textId="77777777" w:rsidR="00ED30AA" w:rsidRPr="000E7F54" w:rsidRDefault="00ED30AA" w:rsidP="00ED30AA">
      <w:pPr>
        <w:jc w:val="center"/>
        <w:rPr>
          <w:rFonts w:ascii="Book Antiqua" w:hAnsi="Book Antiqua"/>
          <w:bCs/>
          <w:sz w:val="28"/>
          <w:szCs w:val="28"/>
          <w:lang w:val="es-ES"/>
        </w:rPr>
      </w:pPr>
    </w:p>
    <w:p w14:paraId="346EB9B7" w14:textId="66D18160" w:rsidR="00ED30AA" w:rsidRPr="000E7F54" w:rsidRDefault="00256087" w:rsidP="00ED30AA">
      <w:pPr>
        <w:jc w:val="center"/>
        <w:rPr>
          <w:rFonts w:ascii="Book Antiqua" w:hAnsi="Book Antiqua"/>
          <w:szCs w:val="24"/>
          <w:lang w:val="es-ES"/>
        </w:rPr>
      </w:pPr>
      <w:r>
        <w:rPr>
          <w:rFonts w:ascii="Book Antiqua" w:hAnsi="Book Antiqua"/>
          <w:bCs/>
          <w:szCs w:val="24"/>
          <w:lang w:val="es-ES"/>
        </w:rPr>
        <w:t>27</w:t>
      </w:r>
      <w:r w:rsidR="00A66CF3">
        <w:rPr>
          <w:rFonts w:ascii="Book Antiqua" w:hAnsi="Book Antiqua"/>
          <w:bCs/>
          <w:szCs w:val="24"/>
          <w:lang w:val="es-ES"/>
        </w:rPr>
        <w:t xml:space="preserve"> DE </w:t>
      </w:r>
      <w:r w:rsidR="00AA1F12">
        <w:rPr>
          <w:rFonts w:ascii="Book Antiqua" w:hAnsi="Book Antiqua"/>
          <w:bCs/>
          <w:szCs w:val="24"/>
          <w:lang w:val="es-ES"/>
        </w:rPr>
        <w:t>MAYO</w:t>
      </w:r>
      <w:r w:rsidR="00A66CF3">
        <w:rPr>
          <w:rFonts w:ascii="Book Antiqua" w:hAnsi="Book Antiqua"/>
          <w:bCs/>
          <w:szCs w:val="24"/>
          <w:lang w:val="es-ES"/>
        </w:rPr>
        <w:t xml:space="preserve"> DE 2026</w:t>
      </w:r>
    </w:p>
    <w:p w14:paraId="62161C4E" w14:textId="77777777" w:rsidR="00ED30AA" w:rsidRPr="000E7F54" w:rsidRDefault="00ED30AA" w:rsidP="00AA6704">
      <w:pPr>
        <w:rPr>
          <w:rFonts w:ascii="Book Antiqua" w:hAnsi="Book Antiqua"/>
          <w:sz w:val="28"/>
          <w:szCs w:val="28"/>
          <w:lang w:val="es-ES"/>
        </w:rPr>
      </w:pPr>
    </w:p>
    <w:p w14:paraId="0548D559" w14:textId="77777777" w:rsidR="00ED30AA" w:rsidRPr="009C3FBC" w:rsidRDefault="00ED30AA" w:rsidP="00ED30AA">
      <w:pPr>
        <w:rPr>
          <w:rFonts w:ascii="Book Antiqua" w:hAnsi="Book Antiqua"/>
          <w:b/>
          <w:bCs/>
          <w:szCs w:val="24"/>
          <w:lang w:val="es-ES"/>
        </w:rPr>
      </w:pPr>
      <w:r w:rsidRPr="009C3FBC">
        <w:rPr>
          <w:rFonts w:ascii="Book Antiqua" w:hAnsi="Book Antiqua"/>
          <w:b/>
          <w:bCs/>
          <w:szCs w:val="24"/>
          <w:lang w:val="es-ES"/>
        </w:rPr>
        <w:t>A LA CÁMARA DE REPRESENTANTES DE PUERTO RICO:</w:t>
      </w:r>
    </w:p>
    <w:p w14:paraId="562D7838" w14:textId="77777777" w:rsidR="00ED30AA" w:rsidRPr="009C3FBC" w:rsidRDefault="00ED30AA" w:rsidP="00ED30AA">
      <w:pPr>
        <w:jc w:val="center"/>
        <w:rPr>
          <w:rFonts w:ascii="Book Antiqua" w:hAnsi="Book Antiqua"/>
          <w:b/>
          <w:bCs/>
          <w:szCs w:val="24"/>
          <w:lang w:val="es-ES"/>
        </w:rPr>
      </w:pPr>
    </w:p>
    <w:p w14:paraId="42DAFBE7" w14:textId="2878695B" w:rsidR="0086325E" w:rsidRDefault="00A32341" w:rsidP="0086325E">
      <w:pPr>
        <w:ind w:firstLine="720"/>
        <w:jc w:val="both"/>
        <w:rPr>
          <w:rFonts w:ascii="Book Antiqua" w:hAnsi="Book Antiqua"/>
          <w:szCs w:val="24"/>
          <w:lang w:val="es-ES"/>
        </w:rPr>
      </w:pPr>
      <w:r w:rsidRPr="009C3FBC">
        <w:rPr>
          <w:rFonts w:ascii="Book Antiqua" w:hAnsi="Book Antiqua"/>
          <w:szCs w:val="24"/>
          <w:lang w:val="es-ES"/>
        </w:rPr>
        <w:t xml:space="preserve">La Cámara de Representantes de Puerto Rico, </w:t>
      </w:r>
      <w:r>
        <w:rPr>
          <w:rFonts w:ascii="Book Antiqua" w:hAnsi="Book Antiqua"/>
          <w:szCs w:val="24"/>
          <w:lang w:val="es-ES"/>
        </w:rPr>
        <w:t xml:space="preserve">en sesión celebrada el </w:t>
      </w:r>
      <w:r w:rsidR="00750A4C">
        <w:rPr>
          <w:rFonts w:ascii="Book Antiqua" w:hAnsi="Book Antiqua"/>
          <w:szCs w:val="24"/>
          <w:lang w:val="es-ES"/>
        </w:rPr>
        <w:t>lunes 18</w:t>
      </w:r>
      <w:r>
        <w:rPr>
          <w:rFonts w:ascii="Book Antiqua" w:hAnsi="Book Antiqua"/>
          <w:szCs w:val="24"/>
          <w:lang w:val="es-ES"/>
        </w:rPr>
        <w:t xml:space="preserve"> de agosto de 2025, acordó el retiro del </w:t>
      </w:r>
      <w:r w:rsidRPr="00053A33">
        <w:rPr>
          <w:rFonts w:ascii="Book Antiqua" w:hAnsi="Book Antiqua"/>
          <w:b/>
          <w:bCs/>
          <w:szCs w:val="24"/>
          <w:lang w:val="es-ES"/>
        </w:rPr>
        <w:t xml:space="preserve">Informe </w:t>
      </w:r>
      <w:r w:rsidR="00971BCE">
        <w:rPr>
          <w:rFonts w:ascii="Book Antiqua" w:hAnsi="Book Antiqua"/>
          <w:b/>
          <w:bCs/>
          <w:szCs w:val="24"/>
          <w:lang w:val="es-ES"/>
        </w:rPr>
        <w:t>Posi</w:t>
      </w:r>
      <w:r w:rsidRPr="00053A33">
        <w:rPr>
          <w:rFonts w:ascii="Book Antiqua" w:hAnsi="Book Antiqua"/>
          <w:b/>
          <w:bCs/>
          <w:szCs w:val="24"/>
          <w:lang w:val="es-ES"/>
        </w:rPr>
        <w:t>tivo</w:t>
      </w:r>
      <w:r w:rsidRPr="008C1807">
        <w:rPr>
          <w:rFonts w:ascii="Book Antiqua" w:hAnsi="Book Antiqua"/>
          <w:b/>
          <w:bCs/>
          <w:szCs w:val="24"/>
          <w:vertAlign w:val="superscript"/>
          <w:lang w:val="es-ES"/>
        </w:rPr>
        <w:footnoteReference w:id="1"/>
      </w:r>
      <w:r w:rsidRPr="008C1807">
        <w:rPr>
          <w:rFonts w:ascii="Book Antiqua" w:hAnsi="Book Antiqua"/>
          <w:b/>
          <w:bCs/>
          <w:szCs w:val="24"/>
          <w:lang w:val="es-PR"/>
        </w:rPr>
        <w:t xml:space="preserve"> </w:t>
      </w:r>
      <w:r w:rsidRPr="00053A33">
        <w:rPr>
          <w:rFonts w:ascii="Book Antiqua" w:hAnsi="Book Antiqua"/>
          <w:b/>
          <w:bCs/>
          <w:szCs w:val="24"/>
          <w:lang w:val="es-ES"/>
        </w:rPr>
        <w:t xml:space="preserve"> del P. de la C. </w:t>
      </w:r>
      <w:r>
        <w:rPr>
          <w:rFonts w:ascii="Book Antiqua" w:hAnsi="Book Antiqua"/>
          <w:b/>
          <w:bCs/>
          <w:szCs w:val="24"/>
          <w:lang w:val="es-ES"/>
        </w:rPr>
        <w:t>494</w:t>
      </w:r>
      <w:r w:rsidR="00773864">
        <w:rPr>
          <w:rFonts w:ascii="Book Antiqua" w:hAnsi="Book Antiqua"/>
          <w:b/>
          <w:bCs/>
          <w:szCs w:val="24"/>
          <w:lang w:val="es-ES"/>
        </w:rPr>
        <w:t>.</w:t>
      </w:r>
      <w:r>
        <w:rPr>
          <w:rFonts w:ascii="Book Antiqua" w:hAnsi="Book Antiqua"/>
          <w:szCs w:val="24"/>
          <w:lang w:val="es-ES"/>
        </w:rPr>
        <w:t xml:space="preserve"> </w:t>
      </w:r>
      <w:r w:rsidR="00316360">
        <w:rPr>
          <w:rFonts w:ascii="Book Antiqua" w:hAnsi="Book Antiqua"/>
          <w:szCs w:val="24"/>
          <w:lang w:val="es-ES"/>
        </w:rPr>
        <w:t xml:space="preserve">La </w:t>
      </w:r>
      <w:r w:rsidR="00773864" w:rsidRPr="00773864">
        <w:rPr>
          <w:rFonts w:ascii="Book Antiqua" w:hAnsi="Book Antiqua"/>
          <w:szCs w:val="24"/>
          <w:lang w:val="es-ES"/>
        </w:rPr>
        <w:t xml:space="preserve">Comisión </w:t>
      </w:r>
      <w:r w:rsidR="00316360">
        <w:rPr>
          <w:rFonts w:ascii="Book Antiqua" w:hAnsi="Book Antiqua"/>
          <w:szCs w:val="24"/>
          <w:lang w:val="es-ES"/>
        </w:rPr>
        <w:t xml:space="preserve">del Trabajo y Asuntos Laborales de la Cámara de Representantes de Puerto Rico, </w:t>
      </w:r>
      <w:r w:rsidR="00773864" w:rsidRPr="00773864">
        <w:rPr>
          <w:rFonts w:ascii="Book Antiqua" w:hAnsi="Book Antiqua"/>
          <w:szCs w:val="24"/>
          <w:lang w:val="es-ES"/>
        </w:rPr>
        <w:t xml:space="preserve">luego de la evaluación y estudio pertinente, </w:t>
      </w:r>
      <w:r w:rsidR="00773864" w:rsidRPr="00773864">
        <w:rPr>
          <w:rFonts w:ascii="Book Antiqua" w:hAnsi="Book Antiqua"/>
          <w:szCs w:val="24"/>
          <w:lang w:val="es-PR"/>
        </w:rPr>
        <w:t xml:space="preserve">tiene a bien someter a este Augusto Cuerpo su </w:t>
      </w:r>
      <w:r w:rsidR="00773864" w:rsidRPr="004C5667">
        <w:rPr>
          <w:rFonts w:ascii="Book Antiqua" w:hAnsi="Book Antiqua"/>
          <w:b/>
          <w:bCs/>
          <w:szCs w:val="24"/>
          <w:lang w:val="es-PR"/>
        </w:rPr>
        <w:t>Segundo Informe, recomendando que el proyecto no sea aprobado</w:t>
      </w:r>
      <w:r w:rsidR="00773864" w:rsidRPr="00773864">
        <w:rPr>
          <w:rFonts w:ascii="Book Antiqua" w:hAnsi="Book Antiqua"/>
          <w:szCs w:val="24"/>
          <w:lang w:val="es-ES"/>
        </w:rPr>
        <w:t xml:space="preserve">.  </w:t>
      </w:r>
    </w:p>
    <w:p w14:paraId="5143F95D" w14:textId="77777777" w:rsidR="00773864" w:rsidRDefault="00773864" w:rsidP="0086325E">
      <w:pPr>
        <w:ind w:firstLine="720"/>
        <w:jc w:val="both"/>
        <w:rPr>
          <w:rFonts w:ascii="Book Antiqua" w:hAnsi="Book Antiqua"/>
          <w:b/>
          <w:bCs/>
          <w:szCs w:val="24"/>
          <w:lang w:val="es-ES"/>
        </w:rPr>
      </w:pPr>
    </w:p>
    <w:p w14:paraId="0B7B1DF1" w14:textId="4EC3B6A9" w:rsidR="00ED30AA" w:rsidRPr="009C3FBC" w:rsidRDefault="00ED30AA" w:rsidP="00ED30AA">
      <w:pPr>
        <w:jc w:val="center"/>
        <w:rPr>
          <w:rFonts w:ascii="Book Antiqua" w:hAnsi="Book Antiqua"/>
          <w:b/>
          <w:bCs/>
          <w:szCs w:val="24"/>
          <w:lang w:val="es-ES"/>
        </w:rPr>
      </w:pPr>
      <w:r w:rsidRPr="009C3FBC">
        <w:rPr>
          <w:rFonts w:ascii="Book Antiqua" w:hAnsi="Book Antiqua"/>
          <w:b/>
          <w:bCs/>
          <w:szCs w:val="24"/>
          <w:lang w:val="es-ES"/>
        </w:rPr>
        <w:t>ALCANCE DE LA MEDIDA</w:t>
      </w:r>
    </w:p>
    <w:p w14:paraId="0D3861BF" w14:textId="77777777" w:rsidR="00ED30AA" w:rsidRPr="009C3FBC" w:rsidRDefault="00ED30AA" w:rsidP="00ED30AA">
      <w:pPr>
        <w:jc w:val="center"/>
        <w:rPr>
          <w:rFonts w:ascii="Book Antiqua" w:hAnsi="Book Antiqua"/>
          <w:szCs w:val="24"/>
          <w:lang w:val="es-ES"/>
        </w:rPr>
      </w:pPr>
    </w:p>
    <w:p w14:paraId="3FF83D0F" w14:textId="6175362A" w:rsidR="008D4ABA" w:rsidRDefault="00750A4C" w:rsidP="00750A4C">
      <w:pPr>
        <w:ind w:firstLine="720"/>
        <w:jc w:val="both"/>
        <w:rPr>
          <w:rFonts w:ascii="Book Antiqua" w:hAnsi="Book Antiqua"/>
          <w:bCs/>
          <w:szCs w:val="24"/>
          <w:lang w:val="es-ES"/>
        </w:rPr>
      </w:pPr>
      <w:r w:rsidRPr="00750A4C">
        <w:rPr>
          <w:rFonts w:ascii="Book Antiqua" w:hAnsi="Book Antiqua"/>
          <w:bCs/>
          <w:szCs w:val="24"/>
          <w:lang w:val="es-ES"/>
        </w:rPr>
        <w:t>El</w:t>
      </w:r>
      <w:r w:rsidR="00773864">
        <w:rPr>
          <w:rFonts w:ascii="Book Antiqua" w:hAnsi="Book Antiqua"/>
          <w:bCs/>
          <w:szCs w:val="24"/>
          <w:lang w:val="es-ES"/>
        </w:rPr>
        <w:t xml:space="preserve"> P. de la C.</w:t>
      </w:r>
      <w:r w:rsidRPr="00750A4C">
        <w:rPr>
          <w:rFonts w:ascii="Book Antiqua" w:hAnsi="Book Antiqua"/>
          <w:bCs/>
          <w:szCs w:val="24"/>
          <w:lang w:val="es-ES"/>
        </w:rPr>
        <w:t xml:space="preserve"> 494 tiene el propósito de aclarar la intención legislativa y política pública que rige el procedimiento sumario ante los Tribunales de Puerto Rico; aclarar y establecer que solamente podrán presentarse bajo este procedimiento las reclamaciones de salarios dejados de devengar, licencias adeudadas, bono de navidad, tiempo extra o cualquier otra compensación salarial adeudada al empleado, reclamaciones de despido injustificado al amparo de la Ley Núm. 80 del 30 de mayo de 1976, según enmendada; excluir del proceso sumario las reclamaciones de discrimen, represalia, daños, hostigamiento sexual, acoso laboral y cualquier otra reclamación laboral que no esté incluida en el listado previamente establecido; establecer las circunstancias en las que se puede conceder una prórroga; y establecer los procedimientos ante la presentación de una moción de desestimación.</w:t>
      </w:r>
    </w:p>
    <w:p w14:paraId="2158EC3B" w14:textId="77777777" w:rsidR="00750A4C" w:rsidRPr="009C3FBC" w:rsidRDefault="00750A4C" w:rsidP="00750A4C">
      <w:pPr>
        <w:ind w:firstLine="720"/>
        <w:jc w:val="both"/>
        <w:rPr>
          <w:rFonts w:ascii="Book Antiqua" w:hAnsi="Book Antiqua"/>
          <w:b/>
          <w:szCs w:val="24"/>
          <w:lang w:val="es-ES"/>
        </w:rPr>
      </w:pPr>
    </w:p>
    <w:p w14:paraId="3E24882B" w14:textId="1A88AF7E" w:rsidR="00353B03" w:rsidRDefault="00ED30AA" w:rsidP="00353B03">
      <w:pPr>
        <w:jc w:val="center"/>
        <w:rPr>
          <w:rFonts w:ascii="Book Antiqua" w:hAnsi="Book Antiqua"/>
          <w:b/>
          <w:szCs w:val="24"/>
          <w:lang w:val="es-ES"/>
        </w:rPr>
      </w:pPr>
      <w:r w:rsidRPr="009C3FBC">
        <w:rPr>
          <w:rFonts w:ascii="Book Antiqua" w:hAnsi="Book Antiqua"/>
          <w:b/>
          <w:szCs w:val="24"/>
          <w:lang w:val="es-ES"/>
        </w:rPr>
        <w:t>ANÁLISIS DE LA MEDIDA</w:t>
      </w:r>
    </w:p>
    <w:p w14:paraId="38DD6DC8" w14:textId="25B01950" w:rsidR="001C0C85" w:rsidRPr="007D44E4" w:rsidRDefault="001C0C85" w:rsidP="00750A4C">
      <w:pPr>
        <w:ind w:firstLine="720"/>
        <w:jc w:val="both"/>
        <w:rPr>
          <w:rFonts w:ascii="Book Antiqua" w:hAnsi="Book Antiqua"/>
          <w:b/>
          <w:szCs w:val="24"/>
          <w:lang w:val="es-ES"/>
        </w:rPr>
      </w:pPr>
      <w:r w:rsidRPr="009C3FBC">
        <w:rPr>
          <w:rFonts w:ascii="Book Antiqua" w:hAnsi="Book Antiqua"/>
          <w:bCs/>
          <w:szCs w:val="24"/>
          <w:lang w:val="es-ES"/>
        </w:rPr>
        <w:lastRenderedPageBreak/>
        <w:t xml:space="preserve">La Comisión </w:t>
      </w:r>
      <w:r w:rsidR="007D44E4">
        <w:rPr>
          <w:rFonts w:ascii="Book Antiqua" w:hAnsi="Book Antiqua"/>
          <w:bCs/>
          <w:szCs w:val="24"/>
          <w:lang w:val="es-ES"/>
        </w:rPr>
        <w:t>del Trabajo y Asuntos Laborales</w:t>
      </w:r>
      <w:r w:rsidRPr="009C3FBC">
        <w:rPr>
          <w:rFonts w:ascii="Book Antiqua" w:hAnsi="Book Antiqua"/>
          <w:bCs/>
          <w:szCs w:val="24"/>
          <w:lang w:val="es-ES"/>
        </w:rPr>
        <w:t xml:space="preserve"> de la Cámara de Representantes de Puerto Rico, </w:t>
      </w:r>
      <w:r w:rsidR="00265F4C">
        <w:rPr>
          <w:rFonts w:ascii="Book Antiqua" w:hAnsi="Book Antiqua"/>
          <w:bCs/>
          <w:szCs w:val="24"/>
          <w:lang w:val="es-ES"/>
        </w:rPr>
        <w:t xml:space="preserve">solicitó memorial al </w:t>
      </w:r>
      <w:r w:rsidR="00265F4C" w:rsidRPr="00265F4C">
        <w:rPr>
          <w:rFonts w:ascii="Book Antiqua" w:hAnsi="Book Antiqua"/>
          <w:b/>
          <w:szCs w:val="24"/>
          <w:lang w:val="es-ES"/>
        </w:rPr>
        <w:t xml:space="preserve">Departamento </w:t>
      </w:r>
      <w:r w:rsidR="00750A4C">
        <w:rPr>
          <w:rFonts w:ascii="Book Antiqua" w:hAnsi="Book Antiqua"/>
          <w:b/>
          <w:szCs w:val="24"/>
          <w:lang w:val="es-ES"/>
        </w:rPr>
        <w:t>de Justicia (DJ)</w:t>
      </w:r>
      <w:r w:rsidR="00750A4C" w:rsidRPr="00750A4C">
        <w:rPr>
          <w:rFonts w:ascii="Book Antiqua" w:hAnsi="Book Antiqua"/>
          <w:b/>
          <w:bCs/>
          <w:szCs w:val="24"/>
          <w:vertAlign w:val="superscript"/>
          <w:lang w:val="es-ES"/>
        </w:rPr>
        <w:t xml:space="preserve"> </w:t>
      </w:r>
      <w:r w:rsidR="00750A4C" w:rsidRPr="008C1807">
        <w:rPr>
          <w:rFonts w:ascii="Book Antiqua" w:hAnsi="Book Antiqua"/>
          <w:b/>
          <w:bCs/>
          <w:szCs w:val="24"/>
          <w:vertAlign w:val="superscript"/>
          <w:lang w:val="es-ES"/>
        </w:rPr>
        <w:footnoteReference w:id="2"/>
      </w:r>
      <w:r w:rsidR="00750A4C">
        <w:rPr>
          <w:rFonts w:ascii="Book Antiqua" w:hAnsi="Book Antiqua"/>
          <w:b/>
          <w:bCs/>
          <w:szCs w:val="24"/>
          <w:vertAlign w:val="superscript"/>
          <w:lang w:val="es-ES"/>
        </w:rPr>
        <w:t xml:space="preserve">  </w:t>
      </w:r>
      <w:r w:rsidR="00750A4C">
        <w:rPr>
          <w:rFonts w:ascii="Book Antiqua" w:hAnsi="Book Antiqua"/>
          <w:b/>
          <w:szCs w:val="24"/>
          <w:lang w:val="es-ES"/>
        </w:rPr>
        <w:t>,O</w:t>
      </w:r>
      <w:r w:rsidR="00750A4C" w:rsidRPr="00750A4C">
        <w:rPr>
          <w:rFonts w:ascii="Book Antiqua" w:hAnsi="Book Antiqua"/>
          <w:b/>
          <w:szCs w:val="24"/>
          <w:lang w:val="es-ES"/>
        </w:rPr>
        <w:t>ficina de la Administración y Transformación de los Recursos Humanos (OATRH)</w:t>
      </w:r>
      <w:r w:rsidR="00750A4C" w:rsidRPr="00750A4C">
        <w:rPr>
          <w:rFonts w:ascii="Book Antiqua" w:hAnsi="Book Antiqua"/>
          <w:b/>
          <w:bCs/>
          <w:szCs w:val="24"/>
          <w:vertAlign w:val="superscript"/>
          <w:lang w:val="es-ES"/>
        </w:rPr>
        <w:t xml:space="preserve"> </w:t>
      </w:r>
      <w:r w:rsidR="00750A4C" w:rsidRPr="008C1807">
        <w:rPr>
          <w:rFonts w:ascii="Book Antiqua" w:hAnsi="Book Antiqua"/>
          <w:b/>
          <w:bCs/>
          <w:szCs w:val="24"/>
          <w:vertAlign w:val="superscript"/>
          <w:lang w:val="es-ES"/>
        </w:rPr>
        <w:footnoteReference w:id="3"/>
      </w:r>
      <w:r w:rsidR="00750A4C">
        <w:rPr>
          <w:rFonts w:ascii="Book Antiqua" w:hAnsi="Book Antiqua"/>
          <w:bCs/>
          <w:szCs w:val="24"/>
          <w:lang w:val="es-ES"/>
        </w:rPr>
        <w:t xml:space="preserve"> ,</w:t>
      </w:r>
      <w:r w:rsidR="00750A4C" w:rsidRPr="00750A4C">
        <w:rPr>
          <w:rFonts w:ascii="Book Antiqua" w:hAnsi="Book Antiqua"/>
          <w:b/>
          <w:szCs w:val="24"/>
          <w:lang w:val="es-ES"/>
        </w:rPr>
        <w:t xml:space="preserve"> Departamento del Trabajo y Recursos Humanos</w:t>
      </w:r>
      <w:r w:rsidR="00773864">
        <w:rPr>
          <w:rFonts w:ascii="Book Antiqua" w:hAnsi="Book Antiqua"/>
          <w:b/>
          <w:szCs w:val="24"/>
          <w:lang w:val="es-ES"/>
        </w:rPr>
        <w:t xml:space="preserve"> </w:t>
      </w:r>
      <w:r w:rsidR="00750A4C">
        <w:rPr>
          <w:rFonts w:ascii="Book Antiqua" w:hAnsi="Book Antiqua"/>
          <w:b/>
          <w:szCs w:val="24"/>
          <w:lang w:val="es-ES"/>
        </w:rPr>
        <w:t>(DTRH)</w:t>
      </w:r>
      <w:r w:rsidR="00750A4C" w:rsidRPr="00750A4C">
        <w:rPr>
          <w:rFonts w:ascii="Book Antiqua" w:hAnsi="Book Antiqua"/>
          <w:b/>
          <w:bCs/>
          <w:szCs w:val="24"/>
          <w:vertAlign w:val="superscript"/>
          <w:lang w:val="es-ES"/>
        </w:rPr>
        <w:t xml:space="preserve"> </w:t>
      </w:r>
      <w:r w:rsidR="00750A4C" w:rsidRPr="008C1807">
        <w:rPr>
          <w:rFonts w:ascii="Book Antiqua" w:hAnsi="Book Antiqua"/>
          <w:b/>
          <w:bCs/>
          <w:szCs w:val="24"/>
          <w:vertAlign w:val="superscript"/>
          <w:lang w:val="es-ES"/>
        </w:rPr>
        <w:footnoteReference w:id="4"/>
      </w:r>
      <w:r w:rsidR="00750A4C">
        <w:rPr>
          <w:rFonts w:ascii="Book Antiqua" w:hAnsi="Book Antiqua"/>
          <w:bCs/>
          <w:szCs w:val="24"/>
          <w:lang w:val="es-ES"/>
        </w:rPr>
        <w:t xml:space="preserve"> , </w:t>
      </w:r>
      <w:r w:rsidR="00EF3604">
        <w:rPr>
          <w:rFonts w:ascii="Book Antiqua" w:hAnsi="Book Antiqua"/>
          <w:b/>
          <w:szCs w:val="24"/>
          <w:lang w:val="es-ES"/>
        </w:rPr>
        <w:t xml:space="preserve">Colegio de </w:t>
      </w:r>
      <w:proofErr w:type="gramStart"/>
      <w:r w:rsidR="00EF3604">
        <w:rPr>
          <w:rFonts w:ascii="Book Antiqua" w:hAnsi="Book Antiqua"/>
          <w:b/>
          <w:szCs w:val="24"/>
          <w:lang w:val="es-ES"/>
        </w:rPr>
        <w:t>Abogados y Abogadas</w:t>
      </w:r>
      <w:proofErr w:type="gramEnd"/>
      <w:r w:rsidR="00EF3604">
        <w:rPr>
          <w:rFonts w:ascii="Book Antiqua" w:hAnsi="Book Antiqua"/>
          <w:b/>
          <w:szCs w:val="24"/>
          <w:lang w:val="es-ES"/>
        </w:rPr>
        <w:t xml:space="preserve"> de PR</w:t>
      </w:r>
      <w:r w:rsidR="00EF3604" w:rsidRPr="00750A4C">
        <w:rPr>
          <w:rFonts w:ascii="Book Antiqua" w:hAnsi="Book Antiqua"/>
          <w:b/>
          <w:bCs/>
          <w:szCs w:val="24"/>
          <w:vertAlign w:val="superscript"/>
          <w:lang w:val="es-ES"/>
        </w:rPr>
        <w:t xml:space="preserve"> </w:t>
      </w:r>
      <w:r w:rsidR="00EF3604" w:rsidRPr="008C1807">
        <w:rPr>
          <w:rFonts w:ascii="Book Antiqua" w:hAnsi="Book Antiqua"/>
          <w:b/>
          <w:bCs/>
          <w:szCs w:val="24"/>
          <w:vertAlign w:val="superscript"/>
          <w:lang w:val="es-ES"/>
        </w:rPr>
        <w:footnoteReference w:id="5"/>
      </w:r>
      <w:r w:rsidR="00EF3604">
        <w:rPr>
          <w:rFonts w:ascii="Book Antiqua" w:hAnsi="Book Antiqua"/>
          <w:bCs/>
          <w:szCs w:val="24"/>
          <w:lang w:val="es-ES"/>
        </w:rPr>
        <w:t xml:space="preserve"> y a la Oficina</w:t>
      </w:r>
      <w:r w:rsidR="00EF3604">
        <w:rPr>
          <w:rFonts w:ascii="Book Antiqua" w:hAnsi="Book Antiqua"/>
          <w:b/>
          <w:szCs w:val="24"/>
          <w:lang w:val="es-ES"/>
        </w:rPr>
        <w:t xml:space="preserve"> de Administración de Tribunales</w:t>
      </w:r>
      <w:r w:rsidR="00EF3604" w:rsidRPr="00750A4C">
        <w:rPr>
          <w:rFonts w:ascii="Book Antiqua" w:hAnsi="Book Antiqua"/>
          <w:b/>
          <w:bCs/>
          <w:szCs w:val="24"/>
          <w:vertAlign w:val="superscript"/>
          <w:lang w:val="es-ES"/>
        </w:rPr>
        <w:t xml:space="preserve"> </w:t>
      </w:r>
      <w:r w:rsidR="00EF3604" w:rsidRPr="008C1807">
        <w:rPr>
          <w:rFonts w:ascii="Book Antiqua" w:hAnsi="Book Antiqua"/>
          <w:b/>
          <w:bCs/>
          <w:szCs w:val="24"/>
          <w:vertAlign w:val="superscript"/>
          <w:lang w:val="es-ES"/>
        </w:rPr>
        <w:footnoteReference w:id="6"/>
      </w:r>
      <w:r w:rsidR="00EF3604">
        <w:rPr>
          <w:rFonts w:ascii="Book Antiqua" w:hAnsi="Book Antiqua"/>
          <w:bCs/>
          <w:szCs w:val="24"/>
          <w:lang w:val="es-ES"/>
        </w:rPr>
        <w:t>.</w:t>
      </w:r>
    </w:p>
    <w:p w14:paraId="12492547" w14:textId="77777777" w:rsidR="00EF3604" w:rsidRDefault="00EF3604" w:rsidP="00EF3604">
      <w:pPr>
        <w:ind w:firstLine="720"/>
        <w:jc w:val="center"/>
        <w:rPr>
          <w:rFonts w:ascii="Book Antiqua" w:hAnsi="Book Antiqua"/>
          <w:b/>
          <w:szCs w:val="24"/>
          <w:u w:val="single"/>
          <w:lang w:val="es-ES"/>
        </w:rPr>
      </w:pPr>
    </w:p>
    <w:p w14:paraId="5F381C60" w14:textId="77777777" w:rsidR="00EF3604" w:rsidRDefault="00EF3604" w:rsidP="00EF3604">
      <w:pPr>
        <w:ind w:firstLine="720"/>
        <w:jc w:val="center"/>
        <w:rPr>
          <w:rFonts w:ascii="Book Antiqua" w:hAnsi="Book Antiqua"/>
          <w:b/>
          <w:szCs w:val="24"/>
          <w:u w:val="single"/>
          <w:lang w:val="es-ES"/>
        </w:rPr>
      </w:pPr>
    </w:p>
    <w:p w14:paraId="5B166567" w14:textId="4435F342" w:rsidR="00EF3604" w:rsidRDefault="00EF3604" w:rsidP="00EF3604">
      <w:pPr>
        <w:ind w:firstLine="720"/>
        <w:jc w:val="center"/>
        <w:rPr>
          <w:rFonts w:ascii="Book Antiqua" w:hAnsi="Book Antiqua"/>
          <w:b/>
          <w:szCs w:val="24"/>
          <w:u w:val="single"/>
          <w:lang w:val="es-ES"/>
        </w:rPr>
      </w:pPr>
      <w:r w:rsidRPr="00EF3604">
        <w:rPr>
          <w:rFonts w:ascii="Book Antiqua" w:hAnsi="Book Antiqua"/>
          <w:b/>
          <w:szCs w:val="24"/>
          <w:u w:val="single"/>
          <w:lang w:val="es-ES"/>
        </w:rPr>
        <w:t>Oficina de la Administración y Transformación de los Recursos Humanos</w:t>
      </w:r>
      <w:r w:rsidRPr="004A659C">
        <w:rPr>
          <w:rFonts w:ascii="Book Antiqua" w:hAnsi="Book Antiqua"/>
          <w:b/>
          <w:szCs w:val="24"/>
          <w:u w:val="single"/>
          <w:lang w:val="es-ES"/>
        </w:rPr>
        <w:t xml:space="preserve"> </w:t>
      </w:r>
    </w:p>
    <w:p w14:paraId="053CFB3C" w14:textId="5358412D" w:rsidR="00EF3604" w:rsidRDefault="00EF3604" w:rsidP="00EF3604">
      <w:pPr>
        <w:ind w:firstLine="720"/>
        <w:jc w:val="center"/>
        <w:rPr>
          <w:rFonts w:ascii="Book Antiqua" w:hAnsi="Book Antiqua"/>
          <w:bCs/>
          <w:szCs w:val="24"/>
          <w:lang w:val="es-ES"/>
        </w:rPr>
      </w:pPr>
      <w:r w:rsidRPr="009C3FBC">
        <w:rPr>
          <w:rFonts w:ascii="Book Antiqua" w:hAnsi="Book Antiqua"/>
          <w:bCs/>
          <w:szCs w:val="24"/>
          <w:lang w:val="es-ES"/>
        </w:rPr>
        <w:t>(</w:t>
      </w:r>
      <w:r>
        <w:rPr>
          <w:rFonts w:ascii="Book Antiqua" w:hAnsi="Book Antiqua"/>
          <w:bCs/>
          <w:szCs w:val="24"/>
          <w:lang w:val="es-ES"/>
        </w:rPr>
        <w:t>19 de mayo de 2025)</w:t>
      </w:r>
    </w:p>
    <w:p w14:paraId="4A825C26" w14:textId="77777777" w:rsidR="00BC5A56" w:rsidRDefault="00BC5A56" w:rsidP="00EF3604">
      <w:pPr>
        <w:ind w:firstLine="720"/>
        <w:jc w:val="center"/>
        <w:rPr>
          <w:rFonts w:ascii="Book Antiqua" w:hAnsi="Book Antiqua"/>
          <w:bCs/>
          <w:szCs w:val="24"/>
          <w:lang w:val="es-ES"/>
        </w:rPr>
      </w:pPr>
    </w:p>
    <w:p w14:paraId="14E11A12" w14:textId="43471209" w:rsidR="00BC5A56" w:rsidRDefault="00BC5A56" w:rsidP="00BC5A56">
      <w:pPr>
        <w:ind w:firstLine="720"/>
        <w:jc w:val="both"/>
        <w:rPr>
          <w:rFonts w:ascii="Book Antiqua" w:hAnsi="Book Antiqua"/>
          <w:bCs/>
          <w:szCs w:val="24"/>
          <w:lang w:val="es-ES"/>
        </w:rPr>
      </w:pPr>
      <w:r>
        <w:rPr>
          <w:rFonts w:ascii="Book Antiqua" w:hAnsi="Book Antiqua"/>
          <w:bCs/>
          <w:szCs w:val="24"/>
          <w:lang w:val="es-ES"/>
        </w:rPr>
        <w:t xml:space="preserve">La OATRH de manera resumida recomendó en su memorial que, para brindar un análisis ponderado, se ausculte la opinión del DTRH y DJ, ya que la medida incide directamente en las facultades y jurisdicción de estas. </w:t>
      </w:r>
    </w:p>
    <w:p w14:paraId="7E8070EF" w14:textId="77777777" w:rsidR="00BC5A56" w:rsidRDefault="00BC5A56" w:rsidP="00BC5A56">
      <w:pPr>
        <w:ind w:firstLine="720"/>
        <w:jc w:val="both"/>
        <w:rPr>
          <w:rFonts w:ascii="Book Antiqua" w:hAnsi="Book Antiqua"/>
          <w:bCs/>
          <w:szCs w:val="24"/>
          <w:lang w:val="es-ES"/>
        </w:rPr>
      </w:pPr>
    </w:p>
    <w:p w14:paraId="342BEE00" w14:textId="20CA1D01" w:rsidR="00BC5A56" w:rsidRDefault="00BC5A56" w:rsidP="00BC5A56">
      <w:pPr>
        <w:ind w:firstLine="720"/>
        <w:jc w:val="center"/>
        <w:rPr>
          <w:rFonts w:ascii="Book Antiqua" w:hAnsi="Book Antiqua"/>
          <w:b/>
          <w:szCs w:val="24"/>
          <w:u w:val="single"/>
          <w:lang w:val="es-ES"/>
        </w:rPr>
      </w:pPr>
      <w:r>
        <w:rPr>
          <w:rFonts w:ascii="Book Antiqua" w:hAnsi="Book Antiqua"/>
          <w:b/>
          <w:szCs w:val="24"/>
          <w:u w:val="single"/>
          <w:lang w:val="es-ES"/>
        </w:rPr>
        <w:t>Departamento de Justicia</w:t>
      </w:r>
      <w:r w:rsidRPr="004A659C">
        <w:rPr>
          <w:rFonts w:ascii="Book Antiqua" w:hAnsi="Book Antiqua"/>
          <w:b/>
          <w:szCs w:val="24"/>
          <w:u w:val="single"/>
          <w:lang w:val="es-ES"/>
        </w:rPr>
        <w:t xml:space="preserve"> </w:t>
      </w:r>
    </w:p>
    <w:p w14:paraId="145651F1" w14:textId="77777777" w:rsidR="00BC5A56" w:rsidRDefault="00BC5A56" w:rsidP="00BC5A56">
      <w:pPr>
        <w:ind w:firstLine="720"/>
        <w:jc w:val="center"/>
        <w:rPr>
          <w:rFonts w:ascii="Book Antiqua" w:hAnsi="Book Antiqua"/>
          <w:bCs/>
          <w:szCs w:val="24"/>
          <w:lang w:val="es-ES"/>
        </w:rPr>
      </w:pPr>
      <w:r w:rsidRPr="009C3FBC">
        <w:rPr>
          <w:rFonts w:ascii="Book Antiqua" w:hAnsi="Book Antiqua"/>
          <w:bCs/>
          <w:szCs w:val="24"/>
          <w:lang w:val="es-ES"/>
        </w:rPr>
        <w:t>(</w:t>
      </w:r>
      <w:r>
        <w:rPr>
          <w:rFonts w:ascii="Book Antiqua" w:hAnsi="Book Antiqua"/>
          <w:bCs/>
          <w:szCs w:val="24"/>
          <w:lang w:val="es-ES"/>
        </w:rPr>
        <w:t>19 de mayo de 2025)</w:t>
      </w:r>
    </w:p>
    <w:p w14:paraId="7E16B610" w14:textId="77777777" w:rsidR="00BC5A56" w:rsidRDefault="00BC5A56" w:rsidP="00BC5A56">
      <w:pPr>
        <w:ind w:firstLine="720"/>
        <w:jc w:val="both"/>
        <w:rPr>
          <w:rFonts w:ascii="Book Antiqua" w:hAnsi="Book Antiqua"/>
          <w:bCs/>
          <w:szCs w:val="24"/>
          <w:lang w:val="es-ES"/>
        </w:rPr>
      </w:pPr>
    </w:p>
    <w:p w14:paraId="036D23AE" w14:textId="2339797F" w:rsidR="00BC5A56" w:rsidRPr="00BC5A56" w:rsidRDefault="00BC5A56" w:rsidP="00BC5A56">
      <w:pPr>
        <w:ind w:firstLine="720"/>
        <w:jc w:val="both"/>
        <w:rPr>
          <w:rFonts w:ascii="Book Antiqua" w:hAnsi="Book Antiqua"/>
          <w:bCs/>
          <w:szCs w:val="24"/>
          <w:lang w:val="es-ES"/>
        </w:rPr>
      </w:pPr>
      <w:r w:rsidRPr="00BC5A56">
        <w:rPr>
          <w:rFonts w:ascii="Book Antiqua" w:hAnsi="Book Antiqua"/>
          <w:bCs/>
          <w:szCs w:val="24"/>
          <w:lang w:val="es-ES"/>
        </w:rPr>
        <w:t>El Departamento de Justicia</w:t>
      </w:r>
      <w:r w:rsidR="00773864">
        <w:rPr>
          <w:rFonts w:ascii="Book Antiqua" w:hAnsi="Book Antiqua"/>
          <w:bCs/>
          <w:szCs w:val="24"/>
          <w:lang w:val="es-ES"/>
        </w:rPr>
        <w:t xml:space="preserve"> (DJ)</w:t>
      </w:r>
      <w:r w:rsidRPr="00BC5A56">
        <w:rPr>
          <w:rFonts w:ascii="Book Antiqua" w:hAnsi="Book Antiqua"/>
          <w:bCs/>
          <w:szCs w:val="24"/>
          <w:lang w:val="es-ES"/>
        </w:rPr>
        <w:t xml:space="preserve">, aunque adopta un tono más institucional, también expone serias reservas jurídicas y estructurales respecto al </w:t>
      </w:r>
      <w:r>
        <w:rPr>
          <w:rFonts w:ascii="Book Antiqua" w:hAnsi="Book Antiqua"/>
          <w:bCs/>
          <w:szCs w:val="24"/>
          <w:lang w:val="es-ES"/>
        </w:rPr>
        <w:t xml:space="preserve">P. de la C. </w:t>
      </w:r>
      <w:r w:rsidRPr="00BC5A56">
        <w:rPr>
          <w:rFonts w:ascii="Book Antiqua" w:hAnsi="Book Antiqua"/>
          <w:bCs/>
          <w:szCs w:val="24"/>
          <w:lang w:val="es-ES"/>
        </w:rPr>
        <w:t>494. En su memorial, el DJ reconoce que la Asamblea Legislativa posee la facultad de establecer normas procesales; no obstante, advierte que dicha facultad debe ejercerse con cautela para no interferir indebidamente con la función judicial ni con el balance procesal desarrollado por la jurisprudencia.</w:t>
      </w:r>
    </w:p>
    <w:p w14:paraId="0CFE6BEF" w14:textId="77777777" w:rsidR="00BC5A56" w:rsidRPr="00BC5A56" w:rsidRDefault="00BC5A56" w:rsidP="00BC5A56">
      <w:pPr>
        <w:ind w:firstLine="720"/>
        <w:jc w:val="both"/>
        <w:rPr>
          <w:rFonts w:ascii="Book Antiqua" w:hAnsi="Book Antiqua"/>
          <w:bCs/>
          <w:szCs w:val="24"/>
          <w:lang w:val="es-ES"/>
        </w:rPr>
      </w:pPr>
    </w:p>
    <w:p w14:paraId="177F5943" w14:textId="0A64415A" w:rsidR="00BC5A56" w:rsidRPr="00BC5A56" w:rsidRDefault="00BC5A56" w:rsidP="00BC5A56">
      <w:pPr>
        <w:ind w:firstLine="720"/>
        <w:jc w:val="both"/>
        <w:rPr>
          <w:rFonts w:ascii="Book Antiqua" w:hAnsi="Book Antiqua"/>
          <w:bCs/>
          <w:szCs w:val="24"/>
          <w:lang w:val="es-ES"/>
        </w:rPr>
      </w:pPr>
      <w:r w:rsidRPr="00BC5A56">
        <w:rPr>
          <w:rFonts w:ascii="Book Antiqua" w:hAnsi="Book Antiqua"/>
          <w:bCs/>
          <w:szCs w:val="24"/>
          <w:lang w:val="es-ES"/>
        </w:rPr>
        <w:t>El DJ señala que la Ley Núm. 2</w:t>
      </w:r>
      <w:r w:rsidR="00712F45">
        <w:rPr>
          <w:rFonts w:ascii="Book Antiqua" w:hAnsi="Book Antiqua"/>
          <w:bCs/>
          <w:szCs w:val="24"/>
          <w:lang w:val="es-ES"/>
        </w:rPr>
        <w:t>- 1961</w:t>
      </w:r>
      <w:r w:rsidRPr="00BC5A56">
        <w:rPr>
          <w:rFonts w:ascii="Book Antiqua" w:hAnsi="Book Antiqua"/>
          <w:bCs/>
          <w:szCs w:val="24"/>
          <w:lang w:val="es-ES"/>
        </w:rPr>
        <w:t xml:space="preserve"> fue concebida como un mecanismo expedito para atender reclamaciones laborales, pero que su alcance ha sido interpretado y ampliado válidamente por el Tribunal Supremo a lo largo del tiempo, precisamente para garantizar un acceso efectivo a la justicia. Desde esa perspectiva, el Departamento entiende que una exclusión legislativa amplia y categórica de ciertas reclamaciones podría generar controversias constitucionales, particularmente en torno al debido proceso de ley y al acceso equitativo a los tribunales.</w:t>
      </w:r>
    </w:p>
    <w:p w14:paraId="0B9023FA" w14:textId="77777777" w:rsidR="00BC5A56" w:rsidRPr="00BC5A56" w:rsidRDefault="00BC5A56" w:rsidP="00BC5A56">
      <w:pPr>
        <w:ind w:firstLine="720"/>
        <w:jc w:val="both"/>
        <w:rPr>
          <w:rFonts w:ascii="Book Antiqua" w:hAnsi="Book Antiqua"/>
          <w:bCs/>
          <w:szCs w:val="24"/>
          <w:lang w:val="es-ES"/>
        </w:rPr>
      </w:pPr>
    </w:p>
    <w:p w14:paraId="33C0EFFC" w14:textId="77777777" w:rsidR="00BC5A56" w:rsidRPr="00BC5A56" w:rsidRDefault="00BC5A56" w:rsidP="00BC5A56">
      <w:pPr>
        <w:ind w:firstLine="720"/>
        <w:jc w:val="both"/>
        <w:rPr>
          <w:rFonts w:ascii="Book Antiqua" w:hAnsi="Book Antiqua"/>
          <w:bCs/>
          <w:szCs w:val="24"/>
          <w:lang w:val="es-ES"/>
        </w:rPr>
      </w:pPr>
      <w:r w:rsidRPr="00BC5A56">
        <w:rPr>
          <w:rFonts w:ascii="Book Antiqua" w:hAnsi="Book Antiqua"/>
          <w:bCs/>
          <w:szCs w:val="24"/>
          <w:lang w:val="es-ES"/>
        </w:rPr>
        <w:t xml:space="preserve">En cuanto a las enmiendas relacionadas con las mociones de desestimación y los términos procesales, el DJ advierte que imponer términos rígidos al tribunal para resolver este tipo de mociones podría interpretarse como una intromisión en la función adjudicativa del Poder Judicial. De igual forma, reconoce que el esquema vigente ya </w:t>
      </w:r>
      <w:r w:rsidRPr="00BC5A56">
        <w:rPr>
          <w:rFonts w:ascii="Book Antiqua" w:hAnsi="Book Antiqua"/>
          <w:bCs/>
          <w:szCs w:val="24"/>
          <w:lang w:val="es-ES"/>
        </w:rPr>
        <w:lastRenderedPageBreak/>
        <w:t>provee herramientas suficientes para atender planteamientos jurisdiccionales o procesales sin sacrificar la agilidad del procedimiento sumario.</w:t>
      </w:r>
    </w:p>
    <w:p w14:paraId="0BC358F0" w14:textId="77777777" w:rsidR="00BC5A56" w:rsidRPr="00BC5A56" w:rsidRDefault="00BC5A56" w:rsidP="00BC5A56">
      <w:pPr>
        <w:ind w:firstLine="720"/>
        <w:jc w:val="both"/>
        <w:rPr>
          <w:rFonts w:ascii="Book Antiqua" w:hAnsi="Book Antiqua"/>
          <w:bCs/>
          <w:szCs w:val="24"/>
          <w:lang w:val="es-ES"/>
        </w:rPr>
      </w:pPr>
    </w:p>
    <w:p w14:paraId="750FCB42" w14:textId="6037A01D" w:rsidR="00BC5A56" w:rsidRDefault="00BC5A56" w:rsidP="00BC5A56">
      <w:pPr>
        <w:ind w:firstLine="720"/>
        <w:jc w:val="both"/>
        <w:rPr>
          <w:rFonts w:ascii="Book Antiqua" w:hAnsi="Book Antiqua"/>
          <w:bCs/>
          <w:szCs w:val="24"/>
          <w:lang w:val="es-ES"/>
        </w:rPr>
      </w:pPr>
      <w:r w:rsidRPr="00BC5A56">
        <w:rPr>
          <w:rFonts w:ascii="Book Antiqua" w:hAnsi="Book Antiqua"/>
          <w:bCs/>
          <w:szCs w:val="24"/>
          <w:lang w:val="es-ES"/>
        </w:rPr>
        <w:t>En síntesis, el Departamento de Justicia no avala la aprobación del proyecto en su forma actual y sugiere que la medida, lejos de aclarar el derecho, podría generar mayor litigiosidad e incertidumbre jurídica.</w:t>
      </w:r>
    </w:p>
    <w:p w14:paraId="43895961" w14:textId="77777777" w:rsidR="00BC5A56" w:rsidRDefault="00BC5A56" w:rsidP="00BC5A56">
      <w:pPr>
        <w:ind w:firstLine="720"/>
        <w:jc w:val="both"/>
        <w:rPr>
          <w:rFonts w:ascii="Book Antiqua" w:hAnsi="Book Antiqua"/>
          <w:bCs/>
          <w:szCs w:val="24"/>
          <w:lang w:val="es-ES"/>
        </w:rPr>
      </w:pPr>
    </w:p>
    <w:p w14:paraId="56470F55" w14:textId="2B506007" w:rsidR="00BC5A56" w:rsidRDefault="00BC5A56" w:rsidP="00BC5A56">
      <w:pPr>
        <w:ind w:firstLine="720"/>
        <w:jc w:val="center"/>
        <w:rPr>
          <w:rFonts w:ascii="Book Antiqua" w:hAnsi="Book Antiqua"/>
          <w:b/>
          <w:szCs w:val="24"/>
          <w:u w:val="single"/>
          <w:lang w:val="es-ES"/>
        </w:rPr>
      </w:pPr>
      <w:r>
        <w:rPr>
          <w:rFonts w:ascii="Book Antiqua" w:hAnsi="Book Antiqua"/>
          <w:b/>
          <w:szCs w:val="24"/>
          <w:u w:val="single"/>
          <w:lang w:val="es-ES"/>
        </w:rPr>
        <w:t xml:space="preserve">Colegio de </w:t>
      </w:r>
      <w:proofErr w:type="gramStart"/>
      <w:r>
        <w:rPr>
          <w:rFonts w:ascii="Book Antiqua" w:hAnsi="Book Antiqua"/>
          <w:b/>
          <w:szCs w:val="24"/>
          <w:u w:val="single"/>
          <w:lang w:val="es-ES"/>
        </w:rPr>
        <w:t>Abogados y Abogadas</w:t>
      </w:r>
      <w:proofErr w:type="gramEnd"/>
      <w:r w:rsidRPr="004A659C">
        <w:rPr>
          <w:rFonts w:ascii="Book Antiqua" w:hAnsi="Book Antiqua"/>
          <w:b/>
          <w:szCs w:val="24"/>
          <w:u w:val="single"/>
          <w:lang w:val="es-ES"/>
        </w:rPr>
        <w:t xml:space="preserve"> </w:t>
      </w:r>
    </w:p>
    <w:p w14:paraId="7F240EA9" w14:textId="77777777" w:rsidR="00BC5A56" w:rsidRDefault="00BC5A56" w:rsidP="00BC5A56">
      <w:pPr>
        <w:ind w:firstLine="720"/>
        <w:jc w:val="center"/>
        <w:rPr>
          <w:rFonts w:ascii="Book Antiqua" w:hAnsi="Book Antiqua"/>
          <w:bCs/>
          <w:szCs w:val="24"/>
          <w:lang w:val="es-ES"/>
        </w:rPr>
      </w:pPr>
      <w:r w:rsidRPr="009C3FBC">
        <w:rPr>
          <w:rFonts w:ascii="Book Antiqua" w:hAnsi="Book Antiqua"/>
          <w:bCs/>
          <w:szCs w:val="24"/>
          <w:lang w:val="es-ES"/>
        </w:rPr>
        <w:t>(</w:t>
      </w:r>
      <w:r>
        <w:rPr>
          <w:rFonts w:ascii="Book Antiqua" w:hAnsi="Book Antiqua"/>
          <w:bCs/>
          <w:szCs w:val="24"/>
          <w:lang w:val="es-ES"/>
        </w:rPr>
        <w:t>19 de mayo de 2025)</w:t>
      </w:r>
    </w:p>
    <w:p w14:paraId="564CAAF3" w14:textId="77777777" w:rsidR="00BC5A56" w:rsidRDefault="00BC5A56" w:rsidP="00BC5A56">
      <w:pPr>
        <w:ind w:firstLine="720"/>
        <w:jc w:val="both"/>
        <w:rPr>
          <w:rFonts w:ascii="Book Antiqua" w:hAnsi="Book Antiqua"/>
          <w:bCs/>
          <w:szCs w:val="24"/>
          <w:lang w:val="es-ES"/>
        </w:rPr>
      </w:pPr>
    </w:p>
    <w:p w14:paraId="25C559E0" w14:textId="4079DF80" w:rsidR="00BC5A56" w:rsidRPr="00BC5A56" w:rsidRDefault="00BC5A56" w:rsidP="00BC5A56">
      <w:pPr>
        <w:ind w:firstLine="720"/>
        <w:jc w:val="both"/>
        <w:rPr>
          <w:rFonts w:ascii="Book Antiqua" w:hAnsi="Book Antiqua"/>
          <w:bCs/>
          <w:szCs w:val="24"/>
          <w:lang w:val="es-ES"/>
        </w:rPr>
      </w:pPr>
      <w:r w:rsidRPr="00BC5A56">
        <w:rPr>
          <w:rFonts w:ascii="Book Antiqua" w:hAnsi="Book Antiqua"/>
          <w:bCs/>
          <w:szCs w:val="24"/>
          <w:lang w:val="es-ES"/>
        </w:rPr>
        <w:t xml:space="preserve">El Colegio de </w:t>
      </w:r>
      <w:proofErr w:type="gramStart"/>
      <w:r w:rsidRPr="00BC5A56">
        <w:rPr>
          <w:rFonts w:ascii="Book Antiqua" w:hAnsi="Book Antiqua"/>
          <w:bCs/>
          <w:szCs w:val="24"/>
          <w:lang w:val="es-ES"/>
        </w:rPr>
        <w:t>Abogados y Abogadas</w:t>
      </w:r>
      <w:proofErr w:type="gramEnd"/>
      <w:r w:rsidRPr="00BC5A56">
        <w:rPr>
          <w:rFonts w:ascii="Book Antiqua" w:hAnsi="Book Antiqua"/>
          <w:bCs/>
          <w:szCs w:val="24"/>
          <w:lang w:val="es-ES"/>
        </w:rPr>
        <w:t xml:space="preserve"> de Puerto Rico expresa una oposición clara y categórica al </w:t>
      </w:r>
      <w:r>
        <w:rPr>
          <w:rFonts w:ascii="Book Antiqua" w:hAnsi="Book Antiqua"/>
          <w:bCs/>
          <w:szCs w:val="24"/>
          <w:lang w:val="es-ES"/>
        </w:rPr>
        <w:t>P. de la C.</w:t>
      </w:r>
      <w:r w:rsidRPr="00BC5A56">
        <w:rPr>
          <w:rFonts w:ascii="Book Antiqua" w:hAnsi="Book Antiqua"/>
          <w:bCs/>
          <w:szCs w:val="24"/>
          <w:lang w:val="es-ES"/>
        </w:rPr>
        <w:t xml:space="preserve"> 494. Su análisis parte de la premisa de que la medida se fundamenta en una apreciación incorrecta de la realidad procesal del procedimiento sumario laboral. En particular, el Colegio rechaza la noción de que las reclamaciones de discrimen, represalias, hostigamiento sexual, acoso laboral o daños sean, por definición, reclamaciones inherentemente complejas que deban excluirse automáticamente del trámite sumario.</w:t>
      </w:r>
    </w:p>
    <w:p w14:paraId="1F15BE31" w14:textId="77777777" w:rsidR="00BC5A56" w:rsidRPr="00BC5A56" w:rsidRDefault="00BC5A56" w:rsidP="00BC5A56">
      <w:pPr>
        <w:ind w:firstLine="720"/>
        <w:jc w:val="both"/>
        <w:rPr>
          <w:rFonts w:ascii="Book Antiqua" w:hAnsi="Book Antiqua"/>
          <w:bCs/>
          <w:szCs w:val="24"/>
          <w:lang w:val="es-ES"/>
        </w:rPr>
      </w:pPr>
    </w:p>
    <w:p w14:paraId="202E3325" w14:textId="77777777" w:rsidR="00BC5A56" w:rsidRPr="00BC5A56" w:rsidRDefault="00BC5A56" w:rsidP="00BC5A56">
      <w:pPr>
        <w:ind w:firstLine="720"/>
        <w:jc w:val="both"/>
        <w:rPr>
          <w:rFonts w:ascii="Book Antiqua" w:hAnsi="Book Antiqua"/>
          <w:bCs/>
          <w:szCs w:val="24"/>
          <w:lang w:val="es-ES"/>
        </w:rPr>
      </w:pPr>
      <w:r w:rsidRPr="00BC5A56">
        <w:rPr>
          <w:rFonts w:ascii="Book Antiqua" w:hAnsi="Book Antiqua"/>
          <w:bCs/>
          <w:szCs w:val="24"/>
          <w:lang w:val="es-ES"/>
        </w:rPr>
        <w:t xml:space="preserve">El memorial enfatiza que la jurisprudencia del Tribunal Supremo de Puerto Rico, especialmente en casos como Berríos Heredia v. González y Rivera v. Insular Wire </w:t>
      </w:r>
      <w:proofErr w:type="spellStart"/>
      <w:r w:rsidRPr="00BC5A56">
        <w:rPr>
          <w:rFonts w:ascii="Book Antiqua" w:hAnsi="Book Antiqua"/>
          <w:bCs/>
          <w:szCs w:val="24"/>
          <w:lang w:val="es-ES"/>
        </w:rPr>
        <w:t>Products</w:t>
      </w:r>
      <w:proofErr w:type="spellEnd"/>
      <w:r w:rsidRPr="00BC5A56">
        <w:rPr>
          <w:rFonts w:ascii="Book Antiqua" w:hAnsi="Book Antiqua"/>
          <w:bCs/>
          <w:szCs w:val="24"/>
          <w:lang w:val="es-ES"/>
        </w:rPr>
        <w:t>, ya ha establecido criterios claros para que los tribunales de instancia determinen, caso a caso, si una reclamación debe tramitarse por la vía sumaria u ordinaria. Entre dichos criterios se encuentran la necesidad de prueba pericial compleja, múltiples deposiciones, análisis de expedientes médicos o un descubrimiento de prueba incompatible con la naturaleza expedita del procedimiento.</w:t>
      </w:r>
    </w:p>
    <w:p w14:paraId="276CE803" w14:textId="77777777" w:rsidR="00BC5A56" w:rsidRPr="00BC5A56" w:rsidRDefault="00BC5A56" w:rsidP="00BC5A56">
      <w:pPr>
        <w:ind w:firstLine="720"/>
        <w:jc w:val="both"/>
        <w:rPr>
          <w:rFonts w:ascii="Book Antiqua" w:hAnsi="Book Antiqua"/>
          <w:bCs/>
          <w:szCs w:val="24"/>
          <w:lang w:val="es-ES"/>
        </w:rPr>
      </w:pPr>
    </w:p>
    <w:p w14:paraId="180D7F34" w14:textId="77777777" w:rsidR="00BC5A56" w:rsidRPr="00BC5A56" w:rsidRDefault="00BC5A56" w:rsidP="00BC5A56">
      <w:pPr>
        <w:ind w:firstLine="720"/>
        <w:jc w:val="both"/>
        <w:rPr>
          <w:rFonts w:ascii="Book Antiqua" w:hAnsi="Book Antiqua"/>
          <w:bCs/>
          <w:szCs w:val="24"/>
          <w:lang w:val="es-ES"/>
        </w:rPr>
      </w:pPr>
      <w:r w:rsidRPr="00BC5A56">
        <w:rPr>
          <w:rFonts w:ascii="Book Antiqua" w:hAnsi="Book Antiqua"/>
          <w:bCs/>
          <w:szCs w:val="24"/>
          <w:lang w:val="es-ES"/>
        </w:rPr>
        <w:t>Asimismo, el Colegio advierte que permitir que la mera presentación de una moción de desestimación interrumpa automáticamente el término para contestar la querella desnaturaliza el procedimiento sumario, convirtiéndolo en la práctica en un proceso ordinario. Ello, según la entidad, abriría la puerta a tácticas dilatorias por parte de los patronos y afectaría de manera desproporcionada a la parte trabajadora, quien históricamente ha sido reconocida como la parte más débil de la relación obrero-patronal.</w:t>
      </w:r>
    </w:p>
    <w:p w14:paraId="58D5A5A3" w14:textId="77777777" w:rsidR="00BC5A56" w:rsidRPr="00BC5A56" w:rsidRDefault="00BC5A56" w:rsidP="00BC5A56">
      <w:pPr>
        <w:ind w:firstLine="720"/>
        <w:jc w:val="both"/>
        <w:rPr>
          <w:rFonts w:ascii="Book Antiqua" w:hAnsi="Book Antiqua"/>
          <w:bCs/>
          <w:szCs w:val="24"/>
          <w:lang w:val="es-ES"/>
        </w:rPr>
      </w:pPr>
    </w:p>
    <w:p w14:paraId="6D4CBE42" w14:textId="17403D74" w:rsidR="00BC5A56" w:rsidRDefault="00BC5A56" w:rsidP="00BC5A56">
      <w:pPr>
        <w:ind w:firstLine="720"/>
        <w:jc w:val="both"/>
        <w:rPr>
          <w:rFonts w:ascii="Book Antiqua" w:hAnsi="Book Antiqua"/>
          <w:bCs/>
          <w:szCs w:val="24"/>
          <w:lang w:val="es-ES"/>
        </w:rPr>
      </w:pPr>
      <w:r w:rsidRPr="00BC5A56">
        <w:rPr>
          <w:rFonts w:ascii="Book Antiqua" w:hAnsi="Book Antiqua"/>
          <w:bCs/>
          <w:szCs w:val="24"/>
          <w:lang w:val="es-ES"/>
        </w:rPr>
        <w:t>Finalmente, el Colegio concluye que la medida representa una afrenta a la política pública laboral de Puerto Rico, la cual debe interpretarse liberalmente a favor del trabajador, y recomienda que el proyecto no sea aprobado según redactado.</w:t>
      </w:r>
    </w:p>
    <w:p w14:paraId="653906A0" w14:textId="77777777" w:rsidR="00EF3604" w:rsidRPr="009C3FBC" w:rsidRDefault="00EF3604" w:rsidP="00EF3604">
      <w:pPr>
        <w:ind w:firstLine="720"/>
        <w:jc w:val="center"/>
        <w:rPr>
          <w:rFonts w:ascii="Book Antiqua" w:hAnsi="Book Antiqua"/>
          <w:bCs/>
          <w:szCs w:val="24"/>
          <w:lang w:val="es-ES"/>
        </w:rPr>
      </w:pPr>
    </w:p>
    <w:p w14:paraId="0B3C90F8" w14:textId="77777777" w:rsidR="00EF3604" w:rsidRDefault="00EF3604" w:rsidP="00EF3604">
      <w:pPr>
        <w:ind w:firstLine="720"/>
        <w:jc w:val="center"/>
        <w:rPr>
          <w:rFonts w:ascii="Book Antiqua" w:hAnsi="Book Antiqua"/>
          <w:b/>
          <w:szCs w:val="24"/>
          <w:u w:val="single"/>
          <w:lang w:val="es-ES"/>
        </w:rPr>
      </w:pPr>
      <w:r w:rsidRPr="00265F4C">
        <w:rPr>
          <w:rFonts w:ascii="Book Antiqua" w:hAnsi="Book Antiqua"/>
          <w:b/>
          <w:szCs w:val="24"/>
          <w:u w:val="single"/>
          <w:lang w:val="es-ES"/>
        </w:rPr>
        <w:t xml:space="preserve">Departamento del Trabajo y Recursos Humanos </w:t>
      </w:r>
      <w:r w:rsidRPr="004A659C">
        <w:rPr>
          <w:rFonts w:ascii="Book Antiqua" w:hAnsi="Book Antiqua"/>
          <w:b/>
          <w:szCs w:val="24"/>
          <w:u w:val="single"/>
          <w:lang w:val="es-ES"/>
        </w:rPr>
        <w:t>(</w:t>
      </w:r>
      <w:r>
        <w:rPr>
          <w:rFonts w:ascii="Book Antiqua" w:hAnsi="Book Antiqua"/>
          <w:b/>
          <w:szCs w:val="24"/>
          <w:u w:val="single"/>
          <w:lang w:val="es-ES"/>
        </w:rPr>
        <w:t>DTRH</w:t>
      </w:r>
      <w:r w:rsidRPr="004A659C">
        <w:rPr>
          <w:rFonts w:ascii="Book Antiqua" w:hAnsi="Book Antiqua"/>
          <w:b/>
          <w:szCs w:val="24"/>
          <w:u w:val="single"/>
          <w:lang w:val="es-ES"/>
        </w:rPr>
        <w:t xml:space="preserve">) </w:t>
      </w:r>
    </w:p>
    <w:p w14:paraId="2D9238A9" w14:textId="77777777" w:rsidR="00EF3604" w:rsidRPr="009C3FBC" w:rsidRDefault="00EF3604" w:rsidP="00EF3604">
      <w:pPr>
        <w:ind w:firstLine="720"/>
        <w:jc w:val="center"/>
        <w:rPr>
          <w:rFonts w:ascii="Book Antiqua" w:hAnsi="Book Antiqua"/>
          <w:bCs/>
          <w:szCs w:val="24"/>
          <w:lang w:val="es-ES"/>
        </w:rPr>
      </w:pPr>
      <w:r w:rsidRPr="009C3FBC">
        <w:rPr>
          <w:rFonts w:ascii="Book Antiqua" w:hAnsi="Book Antiqua"/>
          <w:bCs/>
          <w:szCs w:val="24"/>
          <w:lang w:val="es-ES"/>
        </w:rPr>
        <w:t>(</w:t>
      </w:r>
      <w:r>
        <w:rPr>
          <w:rFonts w:ascii="Book Antiqua" w:hAnsi="Book Antiqua"/>
          <w:bCs/>
          <w:szCs w:val="24"/>
          <w:lang w:val="es-ES"/>
        </w:rPr>
        <w:t>23 de mayo de 2025)</w:t>
      </w:r>
    </w:p>
    <w:p w14:paraId="5D947892" w14:textId="77777777" w:rsidR="00EF3604" w:rsidRDefault="00EF3604" w:rsidP="00EF3604">
      <w:pPr>
        <w:jc w:val="both"/>
        <w:rPr>
          <w:rFonts w:ascii="Book Antiqua" w:hAnsi="Book Antiqua"/>
          <w:bCs/>
          <w:szCs w:val="24"/>
          <w:lang w:val="es-ES"/>
        </w:rPr>
      </w:pPr>
    </w:p>
    <w:p w14:paraId="23E25654" w14:textId="3C73D0C6" w:rsidR="00EF3604" w:rsidRPr="00EF3604" w:rsidRDefault="00EF3604" w:rsidP="00EF3604">
      <w:pPr>
        <w:ind w:firstLine="720"/>
        <w:jc w:val="both"/>
        <w:rPr>
          <w:rFonts w:ascii="Book Antiqua" w:hAnsi="Book Antiqua"/>
          <w:bCs/>
          <w:szCs w:val="24"/>
          <w:lang w:val="es-ES"/>
        </w:rPr>
      </w:pPr>
      <w:r w:rsidRPr="00EF3604">
        <w:rPr>
          <w:rFonts w:ascii="Book Antiqua" w:hAnsi="Book Antiqua"/>
          <w:bCs/>
          <w:szCs w:val="24"/>
          <w:lang w:val="es-ES"/>
        </w:rPr>
        <w:t xml:space="preserve">El </w:t>
      </w:r>
      <w:r>
        <w:rPr>
          <w:rFonts w:ascii="Book Antiqua" w:hAnsi="Book Antiqua"/>
          <w:bCs/>
          <w:szCs w:val="24"/>
          <w:lang w:val="es-ES"/>
        </w:rPr>
        <w:t>DTRH</w:t>
      </w:r>
      <w:r w:rsidRPr="00EF3604">
        <w:rPr>
          <w:rFonts w:ascii="Book Antiqua" w:hAnsi="Book Antiqua"/>
          <w:bCs/>
          <w:szCs w:val="24"/>
          <w:lang w:val="es-ES"/>
        </w:rPr>
        <w:t xml:space="preserve"> analiza el P. de la C. 494 desde la óptica de la política pública laboral y la protección de los derechos de los trabajadores. El DTRH recuerda que la Ley Núm. 2</w:t>
      </w:r>
      <w:r w:rsidR="00712F45">
        <w:rPr>
          <w:rFonts w:ascii="Book Antiqua" w:hAnsi="Book Antiqua"/>
          <w:bCs/>
          <w:szCs w:val="24"/>
          <w:lang w:val="es-ES"/>
        </w:rPr>
        <w:t xml:space="preserve">- </w:t>
      </w:r>
      <w:r w:rsidR="00712F45">
        <w:rPr>
          <w:rFonts w:ascii="Book Antiqua" w:hAnsi="Book Antiqua"/>
          <w:bCs/>
          <w:szCs w:val="24"/>
          <w:lang w:val="es-ES"/>
        </w:rPr>
        <w:lastRenderedPageBreak/>
        <w:t>1961</w:t>
      </w:r>
      <w:r w:rsidRPr="00EF3604">
        <w:rPr>
          <w:rFonts w:ascii="Book Antiqua" w:hAnsi="Book Antiqua"/>
          <w:bCs/>
          <w:szCs w:val="24"/>
          <w:lang w:val="es-ES"/>
        </w:rPr>
        <w:t xml:space="preserve"> fue diseñada para ofrecer a los empleados un mecanismo rápido, económico y accesible para vindicar sus derechos frente a sus patronos, particularmente en un contexto de desigualdad de recursos.</w:t>
      </w:r>
    </w:p>
    <w:p w14:paraId="3D168D76" w14:textId="77777777" w:rsidR="00EF3604" w:rsidRPr="00EF3604" w:rsidRDefault="00EF3604" w:rsidP="00EF3604">
      <w:pPr>
        <w:ind w:firstLine="720"/>
        <w:jc w:val="both"/>
        <w:rPr>
          <w:rFonts w:ascii="Book Antiqua" w:hAnsi="Book Antiqua"/>
          <w:bCs/>
          <w:szCs w:val="24"/>
          <w:lang w:val="es-ES"/>
        </w:rPr>
      </w:pPr>
    </w:p>
    <w:p w14:paraId="253DC382" w14:textId="77777777" w:rsidR="00EF3604" w:rsidRPr="00EF3604" w:rsidRDefault="00EF3604" w:rsidP="00EF3604">
      <w:pPr>
        <w:ind w:firstLine="720"/>
        <w:jc w:val="both"/>
        <w:rPr>
          <w:rFonts w:ascii="Book Antiqua" w:hAnsi="Book Antiqua"/>
          <w:bCs/>
          <w:szCs w:val="24"/>
          <w:lang w:val="es-ES"/>
        </w:rPr>
      </w:pPr>
      <w:r w:rsidRPr="00EF3604">
        <w:rPr>
          <w:rFonts w:ascii="Book Antiqua" w:hAnsi="Book Antiqua"/>
          <w:bCs/>
          <w:szCs w:val="24"/>
          <w:lang w:val="es-ES"/>
        </w:rPr>
        <w:t>El memorial destaca que, aunque históricamente el procedimiento sumario se asoció principalmente con reclamaciones salariales, la propia evolución legislativa y jurisprudencial ha permitido su utilización para otras reclamaciones laborales, incluyendo discrimen y represalias. Esta expansión responde a la necesidad de evitar que los trabajadores se vean forzados a procesos ordinarios largos y costosos que, en la práctica, podrían disuadir la reclamación de derechos legítimos.</w:t>
      </w:r>
    </w:p>
    <w:p w14:paraId="4D820B52" w14:textId="77777777" w:rsidR="00EF3604" w:rsidRPr="00EF3604" w:rsidRDefault="00EF3604" w:rsidP="00EF3604">
      <w:pPr>
        <w:ind w:firstLine="720"/>
        <w:jc w:val="both"/>
        <w:rPr>
          <w:rFonts w:ascii="Book Antiqua" w:hAnsi="Book Antiqua"/>
          <w:bCs/>
          <w:szCs w:val="24"/>
          <w:lang w:val="es-ES"/>
        </w:rPr>
      </w:pPr>
    </w:p>
    <w:p w14:paraId="10F9325E" w14:textId="77777777" w:rsidR="00EF3604" w:rsidRPr="00EF3604" w:rsidRDefault="00EF3604" w:rsidP="00EF3604">
      <w:pPr>
        <w:ind w:firstLine="720"/>
        <w:jc w:val="both"/>
        <w:rPr>
          <w:rFonts w:ascii="Book Antiqua" w:hAnsi="Book Antiqua"/>
          <w:bCs/>
          <w:szCs w:val="24"/>
          <w:lang w:val="es-ES"/>
        </w:rPr>
      </w:pPr>
      <w:r w:rsidRPr="00EF3604">
        <w:rPr>
          <w:rFonts w:ascii="Book Antiqua" w:hAnsi="Book Antiqua"/>
          <w:bCs/>
          <w:szCs w:val="24"/>
          <w:lang w:val="es-ES"/>
        </w:rPr>
        <w:t>El DTRH coincide en que los tribunales ya cuentan con discreción suficiente para convertir un procedimiento sumario en ordinario cuando la complejidad del caso así lo requiera. Por ello, entiende que la medida propuesta no solo es innecesaria, sino que podría tener un efecto adverso al limitar el acceso a remedios rápidos y efectivos. Además, expresa preocupación por el lenguaje ambiguo propuesto para la concesión de prórrogas, al considerar que podría fomentar discrecionalidad excesiva e inconsistencias en su aplicación.</w:t>
      </w:r>
    </w:p>
    <w:p w14:paraId="430DF100" w14:textId="77777777" w:rsidR="00EF3604" w:rsidRPr="00EF3604" w:rsidRDefault="00EF3604" w:rsidP="00EF3604">
      <w:pPr>
        <w:ind w:firstLine="720"/>
        <w:jc w:val="both"/>
        <w:rPr>
          <w:rFonts w:ascii="Book Antiqua" w:hAnsi="Book Antiqua"/>
          <w:bCs/>
          <w:szCs w:val="24"/>
          <w:lang w:val="es-ES"/>
        </w:rPr>
      </w:pPr>
    </w:p>
    <w:p w14:paraId="07D373F7" w14:textId="188BC534" w:rsidR="00EF3604" w:rsidRDefault="00EF3604" w:rsidP="00BC5A56">
      <w:pPr>
        <w:ind w:firstLine="720"/>
        <w:jc w:val="both"/>
        <w:rPr>
          <w:rFonts w:ascii="Book Antiqua" w:hAnsi="Book Antiqua"/>
          <w:bCs/>
          <w:szCs w:val="24"/>
          <w:lang w:val="es-ES"/>
        </w:rPr>
      </w:pPr>
      <w:r w:rsidRPr="00EF3604">
        <w:rPr>
          <w:rFonts w:ascii="Book Antiqua" w:hAnsi="Book Antiqua"/>
          <w:bCs/>
          <w:szCs w:val="24"/>
          <w:lang w:val="es-ES"/>
        </w:rPr>
        <w:t>En conclusión, el DTRH advierte que la aprobación del P. de la C. 494 sería contraria a la política pública laboral y al propósito protector que históricamente ha guiado la legislación del trabajo en Puerto Rico.</w:t>
      </w:r>
    </w:p>
    <w:p w14:paraId="0358B176" w14:textId="77777777" w:rsidR="00EF3604" w:rsidRPr="003C2D21" w:rsidRDefault="00EF3604" w:rsidP="00BC5A56">
      <w:pPr>
        <w:jc w:val="both"/>
        <w:rPr>
          <w:rFonts w:ascii="Book Antiqua" w:hAnsi="Book Antiqua"/>
          <w:bCs/>
          <w:szCs w:val="24"/>
          <w:lang w:val="es-ES"/>
        </w:rPr>
      </w:pPr>
    </w:p>
    <w:p w14:paraId="33019F60" w14:textId="5D1FA634" w:rsidR="00ED30AA" w:rsidRPr="009C3FBC" w:rsidRDefault="00ED30AA" w:rsidP="00ED30AA">
      <w:pPr>
        <w:jc w:val="center"/>
        <w:rPr>
          <w:rFonts w:ascii="Book Antiqua" w:hAnsi="Book Antiqua"/>
          <w:b/>
          <w:szCs w:val="24"/>
          <w:lang w:val="es-ES"/>
        </w:rPr>
      </w:pPr>
      <w:r w:rsidRPr="009C3FBC">
        <w:rPr>
          <w:rFonts w:ascii="Book Antiqua" w:hAnsi="Book Antiqua"/>
          <w:b/>
          <w:szCs w:val="24"/>
          <w:lang w:val="es-ES"/>
        </w:rPr>
        <w:t>IMPACTO FISCAL</w:t>
      </w:r>
    </w:p>
    <w:p w14:paraId="39F84350" w14:textId="77777777" w:rsidR="00C41234" w:rsidRPr="009C3FBC" w:rsidRDefault="00C41234" w:rsidP="00ED30AA">
      <w:pPr>
        <w:jc w:val="both"/>
        <w:rPr>
          <w:rFonts w:ascii="Book Antiqua" w:hAnsi="Book Antiqua"/>
          <w:szCs w:val="24"/>
          <w:lang w:val="es-ES"/>
        </w:rPr>
      </w:pPr>
    </w:p>
    <w:p w14:paraId="2802AE7A" w14:textId="59E18F84" w:rsidR="00E919A7" w:rsidRPr="00E919A7" w:rsidRDefault="00E919A7" w:rsidP="00E919A7">
      <w:pPr>
        <w:ind w:firstLine="720"/>
        <w:jc w:val="both"/>
        <w:rPr>
          <w:rFonts w:ascii="Book Antiqua" w:hAnsi="Book Antiqua"/>
          <w:szCs w:val="24"/>
          <w:lang w:val="es-ES"/>
        </w:rPr>
      </w:pPr>
      <w:r w:rsidRPr="00E919A7">
        <w:rPr>
          <w:rFonts w:ascii="Book Antiqua" w:hAnsi="Book Antiqua"/>
          <w:szCs w:val="24"/>
          <w:lang w:val="es-ES"/>
        </w:rPr>
        <w:t xml:space="preserve">Del análisis de los memoriales y del contenido del </w:t>
      </w:r>
      <w:r>
        <w:rPr>
          <w:rFonts w:ascii="Book Antiqua" w:hAnsi="Book Antiqua"/>
          <w:szCs w:val="24"/>
          <w:lang w:val="es-ES"/>
        </w:rPr>
        <w:t>P. de la C.</w:t>
      </w:r>
      <w:r w:rsidRPr="00E919A7">
        <w:rPr>
          <w:rFonts w:ascii="Book Antiqua" w:hAnsi="Book Antiqua"/>
          <w:szCs w:val="24"/>
          <w:lang w:val="es-ES"/>
        </w:rPr>
        <w:t xml:space="preserve"> 494 no surge la imposición de un impacto fiscal directo e inmediato al erario del Gobierno de Puerto Rico, en términos de asignaciones presupuestarias adicionales o creación de nuevas estructuras administrativas.</w:t>
      </w:r>
    </w:p>
    <w:p w14:paraId="38BEC727" w14:textId="77777777" w:rsidR="00E919A7" w:rsidRDefault="00E919A7" w:rsidP="00E919A7">
      <w:pPr>
        <w:ind w:firstLine="720"/>
        <w:jc w:val="both"/>
        <w:rPr>
          <w:rFonts w:ascii="Book Antiqua" w:hAnsi="Book Antiqua"/>
          <w:b/>
          <w:bCs/>
          <w:szCs w:val="24"/>
          <w:lang w:val="es-ES"/>
        </w:rPr>
      </w:pPr>
    </w:p>
    <w:p w14:paraId="0E543BFD" w14:textId="08389769" w:rsidR="00E4167A" w:rsidRPr="009C3FBC" w:rsidRDefault="00ED30AA" w:rsidP="007F4D2B">
      <w:pPr>
        <w:jc w:val="center"/>
        <w:rPr>
          <w:rFonts w:ascii="Book Antiqua" w:hAnsi="Book Antiqua"/>
          <w:b/>
          <w:bCs/>
          <w:szCs w:val="24"/>
          <w:lang w:val="es-ES"/>
        </w:rPr>
      </w:pPr>
      <w:r w:rsidRPr="009C3FBC">
        <w:rPr>
          <w:rFonts w:ascii="Book Antiqua" w:hAnsi="Book Antiqua"/>
          <w:b/>
          <w:bCs/>
          <w:szCs w:val="24"/>
          <w:lang w:val="es-ES"/>
        </w:rPr>
        <w:t>CONCLUSIÓN</w:t>
      </w:r>
    </w:p>
    <w:p w14:paraId="77D69D18" w14:textId="77777777" w:rsidR="00E4167A" w:rsidRPr="009C3FBC" w:rsidRDefault="00E4167A" w:rsidP="00265F4C">
      <w:pPr>
        <w:jc w:val="both"/>
        <w:rPr>
          <w:rFonts w:ascii="Book Antiqua" w:hAnsi="Book Antiqua"/>
          <w:b/>
          <w:bCs/>
          <w:szCs w:val="24"/>
          <w:lang w:val="es-ES"/>
        </w:rPr>
      </w:pPr>
    </w:p>
    <w:p w14:paraId="1ADBE7F4" w14:textId="28955CE2" w:rsidR="00055ADA" w:rsidRPr="00055ADA" w:rsidRDefault="00055ADA" w:rsidP="00055ADA">
      <w:pPr>
        <w:ind w:firstLine="720"/>
        <w:jc w:val="both"/>
        <w:rPr>
          <w:rFonts w:ascii="Book Antiqua" w:hAnsi="Book Antiqua"/>
          <w:szCs w:val="24"/>
          <w:lang w:val="es-PR"/>
        </w:rPr>
      </w:pPr>
      <w:r w:rsidRPr="00055ADA">
        <w:rPr>
          <w:rFonts w:ascii="Book Antiqua" w:hAnsi="Book Antiqua"/>
          <w:szCs w:val="24"/>
          <w:lang w:val="es-PR"/>
        </w:rPr>
        <w:t xml:space="preserve">A la luz del análisis detallado de los memoriales sometidos por el Colegio de </w:t>
      </w:r>
      <w:proofErr w:type="gramStart"/>
      <w:r w:rsidRPr="00055ADA">
        <w:rPr>
          <w:rFonts w:ascii="Book Antiqua" w:hAnsi="Book Antiqua"/>
          <w:szCs w:val="24"/>
          <w:lang w:val="es-PR"/>
        </w:rPr>
        <w:t>Abogados y Abogadas</w:t>
      </w:r>
      <w:proofErr w:type="gramEnd"/>
      <w:r w:rsidRPr="00055ADA">
        <w:rPr>
          <w:rFonts w:ascii="Book Antiqua" w:hAnsi="Book Antiqua"/>
          <w:szCs w:val="24"/>
          <w:lang w:val="es-PR"/>
        </w:rPr>
        <w:t xml:space="preserve"> de Puerto Rico, el Departamento de Justicia y el Departamento del Trabajo y Recursos Humanos, este informe concluye que el </w:t>
      </w:r>
      <w:r>
        <w:rPr>
          <w:rFonts w:ascii="Book Antiqua" w:hAnsi="Book Antiqua"/>
          <w:szCs w:val="24"/>
          <w:lang w:val="es-PR"/>
        </w:rPr>
        <w:t>P. de la C.</w:t>
      </w:r>
      <w:r w:rsidRPr="00055ADA">
        <w:rPr>
          <w:rFonts w:ascii="Book Antiqua" w:hAnsi="Book Antiqua"/>
          <w:szCs w:val="24"/>
          <w:lang w:val="es-PR"/>
        </w:rPr>
        <w:t xml:space="preserve"> 494 presenta deficiencias sustanciales de política pública, coherencia jurídica y conveniencia legislativa que ameritan una evaluación negativa de la medida.</w:t>
      </w:r>
    </w:p>
    <w:p w14:paraId="015E2AB3" w14:textId="77777777" w:rsidR="00055ADA" w:rsidRPr="00055ADA" w:rsidRDefault="00055ADA" w:rsidP="00055ADA">
      <w:pPr>
        <w:ind w:firstLine="720"/>
        <w:jc w:val="both"/>
        <w:rPr>
          <w:rFonts w:ascii="Book Antiqua" w:hAnsi="Book Antiqua"/>
          <w:szCs w:val="24"/>
          <w:lang w:val="es-PR"/>
        </w:rPr>
      </w:pPr>
    </w:p>
    <w:p w14:paraId="1498CB34" w14:textId="77777777" w:rsidR="00055ADA" w:rsidRPr="00055ADA" w:rsidRDefault="00055ADA" w:rsidP="00055ADA">
      <w:pPr>
        <w:ind w:firstLine="720"/>
        <w:jc w:val="both"/>
        <w:rPr>
          <w:rFonts w:ascii="Book Antiqua" w:hAnsi="Book Antiqua"/>
          <w:szCs w:val="24"/>
          <w:lang w:val="es-PR"/>
        </w:rPr>
      </w:pPr>
      <w:r w:rsidRPr="00055ADA">
        <w:rPr>
          <w:rFonts w:ascii="Book Antiqua" w:hAnsi="Book Antiqua"/>
          <w:szCs w:val="24"/>
          <w:lang w:val="es-PR"/>
        </w:rPr>
        <w:t xml:space="preserve">De los planteamientos examinados se desprende que el proyecto parte de una premisa errónea al asumir que determinadas reclamaciones laborales —como las de discrimen, represalias, hostigamiento sexual, acoso laboral o daños— son inherentemente incompatibles con el procedimiento sumario. Dicha premisa no solo </w:t>
      </w:r>
      <w:r w:rsidRPr="00055ADA">
        <w:rPr>
          <w:rFonts w:ascii="Book Antiqua" w:hAnsi="Book Antiqua"/>
          <w:szCs w:val="24"/>
          <w:lang w:val="es-PR"/>
        </w:rPr>
        <w:lastRenderedPageBreak/>
        <w:t>contradice la evolución jurisprudencial del Tribunal Supremo de Puerto Rico, sino que ignora que el ordenamiento jurídico vigente ya provee un marco adecuado y flexible para que los tribunales, en el ejercicio de su discreción judicial, determinen cuándo un caso debe tramitarse por la vía ordinaria.</w:t>
      </w:r>
    </w:p>
    <w:p w14:paraId="44B849E1" w14:textId="77777777" w:rsidR="00055ADA" w:rsidRPr="00055ADA" w:rsidRDefault="00055ADA" w:rsidP="00055ADA">
      <w:pPr>
        <w:ind w:firstLine="720"/>
        <w:jc w:val="both"/>
        <w:rPr>
          <w:rFonts w:ascii="Book Antiqua" w:hAnsi="Book Antiqua"/>
          <w:szCs w:val="24"/>
          <w:lang w:val="es-PR"/>
        </w:rPr>
      </w:pPr>
    </w:p>
    <w:p w14:paraId="6CF726B9" w14:textId="1E6BAF2B" w:rsidR="00055ADA" w:rsidRPr="00055ADA" w:rsidRDefault="00055ADA" w:rsidP="00055ADA">
      <w:pPr>
        <w:ind w:firstLine="720"/>
        <w:jc w:val="both"/>
        <w:rPr>
          <w:rFonts w:ascii="Book Antiqua" w:hAnsi="Book Antiqua"/>
          <w:szCs w:val="24"/>
          <w:lang w:val="es-PR"/>
        </w:rPr>
      </w:pPr>
      <w:r w:rsidRPr="00055ADA">
        <w:rPr>
          <w:rFonts w:ascii="Book Antiqua" w:hAnsi="Book Antiqua"/>
          <w:szCs w:val="24"/>
          <w:lang w:val="es-PR"/>
        </w:rPr>
        <w:t>Asimismo, las enmiendas propuestas a la Sección 3 de la Ley Núm. 2</w:t>
      </w:r>
      <w:r w:rsidR="00712F45">
        <w:rPr>
          <w:rFonts w:ascii="Book Antiqua" w:hAnsi="Book Antiqua"/>
          <w:szCs w:val="24"/>
          <w:lang w:val="es-PR"/>
        </w:rPr>
        <w:t>- 1961</w:t>
      </w:r>
      <w:r w:rsidRPr="00055ADA">
        <w:rPr>
          <w:rFonts w:ascii="Book Antiqua" w:hAnsi="Book Antiqua"/>
          <w:szCs w:val="24"/>
          <w:lang w:val="es-PR"/>
        </w:rPr>
        <w:t>, particularmente aquellas relacionadas con la interrupción automática de los términos para contestar la querella mediante la presentación de mociones de desestimación y la ampliación ambigua de las causales para conceder prórrogas, tienen el efecto práctico de desvirtuar el carácter sumario y expedito del procedimiento. Ello podría fomentar tácticas dilatorias, aumentar la duración de los litigios laborales y menoscabar el acceso efectivo de los trabajadores a remedios rápidos y económicos, en abierta contradicción con la intención legislativa original de la Ley Núm. 2</w:t>
      </w:r>
      <w:r w:rsidR="00712F45">
        <w:rPr>
          <w:rFonts w:ascii="Book Antiqua" w:hAnsi="Book Antiqua"/>
          <w:szCs w:val="24"/>
          <w:lang w:val="es-PR"/>
        </w:rPr>
        <w:t>- 1961</w:t>
      </w:r>
      <w:r w:rsidRPr="00055ADA">
        <w:rPr>
          <w:rFonts w:ascii="Book Antiqua" w:hAnsi="Book Antiqua"/>
          <w:szCs w:val="24"/>
          <w:lang w:val="es-PR"/>
        </w:rPr>
        <w:t>.</w:t>
      </w:r>
    </w:p>
    <w:p w14:paraId="6095719B" w14:textId="77777777" w:rsidR="00055ADA" w:rsidRPr="00055ADA" w:rsidRDefault="00055ADA" w:rsidP="00055ADA">
      <w:pPr>
        <w:ind w:firstLine="720"/>
        <w:jc w:val="both"/>
        <w:rPr>
          <w:rFonts w:ascii="Book Antiqua" w:hAnsi="Book Antiqua"/>
          <w:szCs w:val="24"/>
          <w:lang w:val="es-PR"/>
        </w:rPr>
      </w:pPr>
    </w:p>
    <w:p w14:paraId="1469FA07" w14:textId="60341E73" w:rsidR="00265F4C" w:rsidRPr="00265F4C" w:rsidRDefault="00055ADA" w:rsidP="00055ADA">
      <w:pPr>
        <w:ind w:firstLine="720"/>
        <w:jc w:val="both"/>
        <w:rPr>
          <w:rFonts w:ascii="Book Antiqua" w:hAnsi="Book Antiqua"/>
          <w:szCs w:val="24"/>
          <w:lang w:val="es-PR"/>
        </w:rPr>
      </w:pPr>
      <w:r w:rsidRPr="00055ADA">
        <w:rPr>
          <w:rFonts w:ascii="Book Antiqua" w:hAnsi="Book Antiqua"/>
          <w:szCs w:val="24"/>
          <w:lang w:val="es-PR"/>
        </w:rPr>
        <w:t>Desde una perspectiva de política pública, la medida también resulta incompatible con el principio reiteradamente reconocido de que el trabajador constituye la parte más vulnerable en la relación obrero-patronal. La aprobación del P. de la C. 494 alteraría de forma adversa el delicado balance procesal que la legislación y la jurisprudencia han construido durante décadas, inclinándolo de manera desproporcionada a favor de la parte patronal.</w:t>
      </w:r>
    </w:p>
    <w:p w14:paraId="7CF035EE" w14:textId="77777777" w:rsidR="00265F4C" w:rsidRPr="009C3FBC" w:rsidRDefault="00265F4C" w:rsidP="00265F4C">
      <w:pPr>
        <w:jc w:val="both"/>
        <w:rPr>
          <w:rFonts w:ascii="Book Antiqua" w:hAnsi="Book Antiqua"/>
          <w:szCs w:val="24"/>
          <w:lang w:val="es-ES"/>
        </w:rPr>
      </w:pPr>
    </w:p>
    <w:p w14:paraId="45308EBE" w14:textId="5F247D64" w:rsidR="00931EA0" w:rsidRPr="004C5667" w:rsidRDefault="00931EA0" w:rsidP="00931EA0">
      <w:pPr>
        <w:ind w:firstLine="720"/>
        <w:jc w:val="both"/>
        <w:rPr>
          <w:rFonts w:ascii="Book Antiqua" w:hAnsi="Book Antiqua"/>
          <w:b/>
          <w:bCs/>
          <w:szCs w:val="24"/>
          <w:lang w:val="es-ES"/>
        </w:rPr>
      </w:pPr>
      <w:r w:rsidRPr="003052D8">
        <w:rPr>
          <w:rFonts w:ascii="Book Antiqua" w:hAnsi="Book Antiqua"/>
          <w:b/>
          <w:szCs w:val="24"/>
          <w:lang w:val="es-ES"/>
        </w:rPr>
        <w:t xml:space="preserve">POR TODO LO ANTES EXPUESTO, </w:t>
      </w:r>
      <w:r w:rsidRPr="003052D8">
        <w:rPr>
          <w:rFonts w:ascii="Book Antiqua" w:hAnsi="Book Antiqua"/>
          <w:szCs w:val="24"/>
          <w:lang w:val="es-ES"/>
        </w:rPr>
        <w:t>la Comisión</w:t>
      </w:r>
      <w:r w:rsidRPr="003052D8">
        <w:rPr>
          <w:rFonts w:ascii="Book Antiqua" w:hAnsi="Book Antiqua"/>
          <w:spacing w:val="-3"/>
          <w:szCs w:val="24"/>
          <w:lang w:val="es-ES"/>
        </w:rPr>
        <w:t xml:space="preserve"> </w:t>
      </w:r>
      <w:r>
        <w:rPr>
          <w:rFonts w:ascii="Book Antiqua" w:hAnsi="Book Antiqua"/>
          <w:spacing w:val="-3"/>
          <w:szCs w:val="24"/>
          <w:lang w:val="es-ES"/>
        </w:rPr>
        <w:t>del Trabajo y Asuntos Laborales</w:t>
      </w:r>
      <w:r w:rsidRPr="003052D8">
        <w:rPr>
          <w:rFonts w:ascii="Book Antiqua" w:hAnsi="Book Antiqua"/>
          <w:spacing w:val="-3"/>
          <w:szCs w:val="24"/>
          <w:lang w:val="es-ES"/>
        </w:rPr>
        <w:t xml:space="preserve"> de</w:t>
      </w:r>
      <w:r>
        <w:rPr>
          <w:rFonts w:ascii="Book Antiqua" w:hAnsi="Book Antiqua"/>
          <w:spacing w:val="-3"/>
          <w:szCs w:val="24"/>
          <w:lang w:val="es-ES"/>
        </w:rPr>
        <w:t xml:space="preserve"> la Cámara de</w:t>
      </w:r>
      <w:r w:rsidRPr="003052D8">
        <w:rPr>
          <w:rFonts w:ascii="Book Antiqua" w:hAnsi="Book Antiqua"/>
          <w:spacing w:val="-3"/>
          <w:szCs w:val="24"/>
          <w:lang w:val="es-ES"/>
        </w:rPr>
        <w:t xml:space="preserve"> Representantes </w:t>
      </w:r>
      <w:r w:rsidRPr="003052D8">
        <w:rPr>
          <w:rFonts w:ascii="Book Antiqua" w:hAnsi="Book Antiqua"/>
          <w:szCs w:val="24"/>
          <w:lang w:val="es-ES"/>
        </w:rPr>
        <w:t xml:space="preserve">de Puerto Rico, previo estudio y consideración, presenta ante este Cuerpo el </w:t>
      </w:r>
      <w:r w:rsidR="00773864">
        <w:rPr>
          <w:rFonts w:ascii="Book Antiqua" w:hAnsi="Book Antiqua"/>
          <w:szCs w:val="24"/>
          <w:lang w:val="es-ES"/>
        </w:rPr>
        <w:t>Segundo Informe</w:t>
      </w:r>
      <w:r w:rsidRPr="003052D8">
        <w:rPr>
          <w:rFonts w:ascii="Book Antiqua" w:hAnsi="Book Antiqua"/>
          <w:szCs w:val="24"/>
          <w:lang w:val="es-ES"/>
        </w:rPr>
        <w:t xml:space="preserve"> sobre el </w:t>
      </w:r>
      <w:r w:rsidRPr="003052D8">
        <w:rPr>
          <w:rFonts w:ascii="Book Antiqua" w:hAnsi="Book Antiqua"/>
          <w:b/>
          <w:szCs w:val="24"/>
          <w:lang w:val="es-ES"/>
        </w:rPr>
        <w:t xml:space="preserve">Proyecto de la Cámara </w:t>
      </w:r>
      <w:r w:rsidR="00055ADA">
        <w:rPr>
          <w:rFonts w:ascii="Book Antiqua" w:hAnsi="Book Antiqua"/>
          <w:b/>
          <w:szCs w:val="24"/>
          <w:lang w:val="es-ES"/>
        </w:rPr>
        <w:t>494</w:t>
      </w:r>
      <w:r w:rsidRPr="003052D8">
        <w:rPr>
          <w:rFonts w:ascii="Book Antiqua" w:hAnsi="Book Antiqua"/>
          <w:szCs w:val="24"/>
          <w:lang w:val="es-ES"/>
        </w:rPr>
        <w:t xml:space="preserve">, </w:t>
      </w:r>
      <w:r w:rsidRPr="004C5667">
        <w:rPr>
          <w:rFonts w:ascii="Book Antiqua" w:hAnsi="Book Antiqua"/>
          <w:b/>
          <w:bCs/>
          <w:szCs w:val="24"/>
          <w:lang w:val="es-ES"/>
        </w:rPr>
        <w:t xml:space="preserve">recomendando que el proyecto no sea aprobado. </w:t>
      </w:r>
    </w:p>
    <w:p w14:paraId="629E6DC5" w14:textId="77777777" w:rsidR="00ED30AA" w:rsidRPr="004C5667" w:rsidRDefault="00ED30AA" w:rsidP="00ED30AA">
      <w:pPr>
        <w:jc w:val="both"/>
        <w:rPr>
          <w:rFonts w:ascii="Book Antiqua" w:hAnsi="Book Antiqua"/>
          <w:b/>
          <w:bCs/>
          <w:szCs w:val="24"/>
          <w:lang w:val="es-ES"/>
        </w:rPr>
      </w:pPr>
    </w:p>
    <w:p w14:paraId="72E607D6" w14:textId="77777777" w:rsidR="00ED30AA" w:rsidRPr="009C3FBC" w:rsidRDefault="00ED30AA" w:rsidP="00ED30AA">
      <w:pPr>
        <w:jc w:val="both"/>
        <w:rPr>
          <w:rFonts w:ascii="Book Antiqua" w:hAnsi="Book Antiqua"/>
          <w:szCs w:val="24"/>
          <w:lang w:val="es-ES"/>
        </w:rPr>
      </w:pPr>
      <w:r w:rsidRPr="009C3FBC">
        <w:rPr>
          <w:rFonts w:ascii="Book Antiqua" w:hAnsi="Book Antiqua"/>
          <w:szCs w:val="24"/>
          <w:lang w:val="es-ES"/>
        </w:rPr>
        <w:t>Respetuosamente sometido,</w:t>
      </w:r>
    </w:p>
    <w:p w14:paraId="7DC7A4CF" w14:textId="77777777" w:rsidR="00ED30AA" w:rsidRPr="009C3FBC" w:rsidRDefault="00ED30AA" w:rsidP="00ED30AA">
      <w:pPr>
        <w:jc w:val="both"/>
        <w:rPr>
          <w:rFonts w:ascii="Book Antiqua" w:hAnsi="Book Antiqua"/>
          <w:szCs w:val="24"/>
          <w:lang w:val="es-ES"/>
        </w:rPr>
      </w:pPr>
    </w:p>
    <w:p w14:paraId="6F0A9401" w14:textId="6EF6BE19" w:rsidR="00ED30AA" w:rsidRDefault="00ED30AA" w:rsidP="00ED30AA">
      <w:pPr>
        <w:jc w:val="both"/>
        <w:rPr>
          <w:rFonts w:ascii="Book Antiqua" w:hAnsi="Book Antiqua"/>
          <w:noProof/>
          <w:szCs w:val="24"/>
          <w:lang w:val="es-ES"/>
        </w:rPr>
      </w:pPr>
    </w:p>
    <w:p w14:paraId="7747D1A5" w14:textId="77777777" w:rsidR="00773864" w:rsidRPr="009C3FBC" w:rsidRDefault="00773864" w:rsidP="00ED30AA">
      <w:pPr>
        <w:jc w:val="both"/>
        <w:rPr>
          <w:rFonts w:ascii="Book Antiqua" w:hAnsi="Book Antiqua"/>
          <w:szCs w:val="24"/>
          <w:lang w:val="es-ES"/>
        </w:rPr>
      </w:pPr>
    </w:p>
    <w:p w14:paraId="4B762190" w14:textId="2FC40355" w:rsidR="00ED30AA" w:rsidRPr="009C3FBC" w:rsidRDefault="00ED30AA" w:rsidP="00ED30AA">
      <w:pPr>
        <w:jc w:val="both"/>
        <w:rPr>
          <w:rFonts w:ascii="Book Antiqua" w:hAnsi="Book Antiqua"/>
          <w:b/>
          <w:bCs/>
          <w:i/>
          <w:iCs/>
          <w:szCs w:val="24"/>
          <w:lang w:val="es-ES"/>
        </w:rPr>
      </w:pPr>
      <w:r w:rsidRPr="009C3FBC">
        <w:rPr>
          <w:rFonts w:ascii="Book Antiqua" w:hAnsi="Book Antiqua"/>
          <w:b/>
          <w:bCs/>
          <w:i/>
          <w:iCs/>
          <w:szCs w:val="24"/>
          <w:lang w:val="es-ES"/>
        </w:rPr>
        <w:t xml:space="preserve">Hon. </w:t>
      </w:r>
      <w:r w:rsidR="00CB7C9D">
        <w:rPr>
          <w:rFonts w:ascii="Book Antiqua" w:hAnsi="Book Antiqua"/>
          <w:b/>
          <w:bCs/>
          <w:i/>
          <w:iCs/>
          <w:szCs w:val="24"/>
          <w:lang w:val="es-ES"/>
        </w:rPr>
        <w:t>Roberto J. López Román</w:t>
      </w:r>
      <w:r w:rsidRPr="009C3FBC">
        <w:rPr>
          <w:rFonts w:ascii="Book Antiqua" w:hAnsi="Book Antiqua"/>
          <w:b/>
          <w:bCs/>
          <w:i/>
          <w:iCs/>
          <w:szCs w:val="24"/>
          <w:lang w:val="es-ES"/>
        </w:rPr>
        <w:tab/>
        <w:t xml:space="preserve"> </w:t>
      </w:r>
    </w:p>
    <w:p w14:paraId="0DF26DC7" w14:textId="77777777" w:rsidR="00ED30AA" w:rsidRPr="009C3FBC" w:rsidRDefault="00ED30AA" w:rsidP="00ED30AA">
      <w:pPr>
        <w:jc w:val="both"/>
        <w:rPr>
          <w:rFonts w:ascii="Book Antiqua" w:hAnsi="Book Antiqua"/>
          <w:szCs w:val="24"/>
          <w:lang w:val="es-ES"/>
        </w:rPr>
      </w:pPr>
      <w:r w:rsidRPr="009C3FBC">
        <w:rPr>
          <w:rFonts w:ascii="Book Antiqua" w:hAnsi="Book Antiqua"/>
          <w:szCs w:val="24"/>
          <w:lang w:val="es-ES"/>
        </w:rPr>
        <w:t>Presidente</w:t>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p>
    <w:p w14:paraId="7CC2C6FC" w14:textId="3F6F0709" w:rsidR="003B01A3" w:rsidRPr="009C3FBC" w:rsidRDefault="00ED30AA" w:rsidP="004B7C0B">
      <w:pPr>
        <w:jc w:val="both"/>
        <w:rPr>
          <w:rFonts w:ascii="Book Antiqua" w:hAnsi="Book Antiqua"/>
          <w:szCs w:val="24"/>
          <w:lang w:val="es-ES"/>
        </w:rPr>
      </w:pPr>
      <w:r w:rsidRPr="009C3FBC">
        <w:rPr>
          <w:rFonts w:ascii="Book Antiqua" w:hAnsi="Book Antiqua"/>
          <w:szCs w:val="24"/>
          <w:lang w:val="es-ES"/>
        </w:rPr>
        <w:t>Comisión de</w:t>
      </w:r>
      <w:r w:rsidR="00CB7C9D">
        <w:rPr>
          <w:rFonts w:ascii="Book Antiqua" w:hAnsi="Book Antiqua"/>
          <w:szCs w:val="24"/>
          <w:lang w:val="es-ES"/>
        </w:rPr>
        <w:t>l Trabajo y Asuntos Laborales</w:t>
      </w:r>
    </w:p>
    <w:sectPr w:rsidR="003B01A3" w:rsidRPr="009C3FBC" w:rsidSect="00AA1F12">
      <w:headerReference w:type="default" r:id="rId13"/>
      <w:footerReference w:type="default" r:id="rId14"/>
      <w:headerReference w:type="first" r:id="rId15"/>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0C85B3" w14:textId="77777777" w:rsidR="00534034" w:rsidRDefault="00534034">
      <w:r>
        <w:separator/>
      </w:r>
    </w:p>
  </w:endnote>
  <w:endnote w:type="continuationSeparator" w:id="0">
    <w:p w14:paraId="0B60DA14" w14:textId="77777777" w:rsidR="00534034" w:rsidRDefault="005340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DB36D" w14:textId="124EF647" w:rsidR="005718E8" w:rsidRDefault="005718E8">
    <w:pPr>
      <w:pStyle w:val="Footer"/>
      <w:jc w:val="center"/>
    </w:pPr>
  </w:p>
  <w:p w14:paraId="76095D8C" w14:textId="77777777" w:rsidR="005718E8" w:rsidRPr="000556EE" w:rsidRDefault="005718E8">
    <w:pPr>
      <w:pStyle w:val="Footer"/>
      <w:rPr>
        <w:lang w:val="es-P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9895D9" w14:textId="77777777" w:rsidR="00534034" w:rsidRDefault="00534034">
      <w:r>
        <w:separator/>
      </w:r>
    </w:p>
  </w:footnote>
  <w:footnote w:type="continuationSeparator" w:id="0">
    <w:p w14:paraId="4D275DDF" w14:textId="77777777" w:rsidR="00534034" w:rsidRDefault="00534034">
      <w:r>
        <w:continuationSeparator/>
      </w:r>
    </w:p>
  </w:footnote>
  <w:footnote w:id="1">
    <w:p w14:paraId="2A972E89" w14:textId="4D76FB24" w:rsidR="00A32341" w:rsidRDefault="00A32341" w:rsidP="00A32341">
      <w:pPr>
        <w:pStyle w:val="FootnoteText"/>
        <w:jc w:val="both"/>
        <w:rPr>
          <w:rFonts w:ascii="Book Antiqua" w:hAnsi="Book Antiqua"/>
          <w:lang w:val="es-ES"/>
        </w:rPr>
      </w:pPr>
      <w:r>
        <w:rPr>
          <w:rStyle w:val="FootnoteReference"/>
          <w:lang w:val="es-ES"/>
        </w:rPr>
        <w:footnoteRef/>
      </w:r>
      <w:r>
        <w:rPr>
          <w:lang w:val="es-ES"/>
        </w:rPr>
        <w:t xml:space="preserve"> </w:t>
      </w:r>
      <w:r>
        <w:rPr>
          <w:rFonts w:ascii="Book Antiqua" w:hAnsi="Book Antiqua"/>
          <w:lang w:val="es-ES"/>
        </w:rPr>
        <w:t xml:space="preserve">Informe Positivo del P. de la C. 494 presentado en Actas y Récord el 25 de junio de 2025 a las 1:06pm.  </w:t>
      </w:r>
    </w:p>
  </w:footnote>
  <w:footnote w:id="2">
    <w:p w14:paraId="22F6E40E" w14:textId="11DFC9A8" w:rsidR="00750A4C" w:rsidRDefault="00750A4C" w:rsidP="00750A4C">
      <w:pPr>
        <w:pStyle w:val="FootnoteText"/>
        <w:jc w:val="both"/>
        <w:rPr>
          <w:rFonts w:ascii="Book Antiqua" w:hAnsi="Book Antiqua"/>
          <w:lang w:val="es-ES"/>
        </w:rPr>
      </w:pPr>
      <w:r>
        <w:rPr>
          <w:rStyle w:val="FootnoteReference"/>
          <w:lang w:val="es-ES"/>
        </w:rPr>
        <w:footnoteRef/>
      </w:r>
      <w:r>
        <w:rPr>
          <w:lang w:val="es-ES"/>
        </w:rPr>
        <w:t xml:space="preserve"> </w:t>
      </w:r>
      <w:r w:rsidR="00EF3604">
        <w:rPr>
          <w:rFonts w:ascii="Book Antiqua" w:hAnsi="Book Antiqua"/>
          <w:lang w:val="es-ES"/>
        </w:rPr>
        <w:t>Memorial del DJ recibido el 19 de mayo de 2025.</w:t>
      </w:r>
      <w:r>
        <w:rPr>
          <w:rFonts w:ascii="Book Antiqua" w:hAnsi="Book Antiqua"/>
          <w:lang w:val="es-ES"/>
        </w:rPr>
        <w:t xml:space="preserve">  </w:t>
      </w:r>
    </w:p>
  </w:footnote>
  <w:footnote w:id="3">
    <w:p w14:paraId="17B69EC2" w14:textId="5147FE88" w:rsidR="00750A4C" w:rsidRDefault="00750A4C" w:rsidP="00750A4C">
      <w:pPr>
        <w:pStyle w:val="FootnoteText"/>
        <w:jc w:val="both"/>
        <w:rPr>
          <w:rFonts w:ascii="Book Antiqua" w:hAnsi="Book Antiqua"/>
          <w:lang w:val="es-ES"/>
        </w:rPr>
      </w:pPr>
      <w:r>
        <w:rPr>
          <w:rStyle w:val="FootnoteReference"/>
          <w:lang w:val="es-ES"/>
        </w:rPr>
        <w:footnoteRef/>
      </w:r>
      <w:r>
        <w:rPr>
          <w:lang w:val="es-ES"/>
        </w:rPr>
        <w:t xml:space="preserve"> </w:t>
      </w:r>
      <w:r w:rsidR="00EF3604">
        <w:rPr>
          <w:rFonts w:ascii="Book Antiqua" w:hAnsi="Book Antiqua"/>
          <w:lang w:val="es-ES"/>
        </w:rPr>
        <w:t>Memorial de la OATRH recibido el 19 de mayo de 2025.</w:t>
      </w:r>
      <w:r>
        <w:rPr>
          <w:rFonts w:ascii="Book Antiqua" w:hAnsi="Book Antiqua"/>
          <w:lang w:val="es-ES"/>
        </w:rPr>
        <w:t xml:space="preserve"> </w:t>
      </w:r>
    </w:p>
  </w:footnote>
  <w:footnote w:id="4">
    <w:p w14:paraId="7F9989E5" w14:textId="04153FE8" w:rsidR="00750A4C" w:rsidRDefault="00750A4C" w:rsidP="00750A4C">
      <w:pPr>
        <w:pStyle w:val="FootnoteText"/>
        <w:jc w:val="both"/>
        <w:rPr>
          <w:rFonts w:ascii="Book Antiqua" w:hAnsi="Book Antiqua"/>
          <w:lang w:val="es-ES"/>
        </w:rPr>
      </w:pPr>
      <w:r>
        <w:rPr>
          <w:rStyle w:val="FootnoteReference"/>
          <w:lang w:val="es-ES"/>
        </w:rPr>
        <w:footnoteRef/>
      </w:r>
      <w:r>
        <w:rPr>
          <w:lang w:val="es-ES"/>
        </w:rPr>
        <w:t xml:space="preserve"> </w:t>
      </w:r>
      <w:r w:rsidR="00EF3604">
        <w:rPr>
          <w:rFonts w:ascii="Book Antiqua" w:hAnsi="Book Antiqua"/>
          <w:lang w:val="es-ES"/>
        </w:rPr>
        <w:t xml:space="preserve">Memorial del DTRH recibido el 23 de mayo de 2025. </w:t>
      </w:r>
      <w:r>
        <w:rPr>
          <w:rFonts w:ascii="Book Antiqua" w:hAnsi="Book Antiqua"/>
          <w:lang w:val="es-ES"/>
        </w:rPr>
        <w:t xml:space="preserve">  </w:t>
      </w:r>
    </w:p>
  </w:footnote>
  <w:footnote w:id="5">
    <w:p w14:paraId="7F978C90" w14:textId="12B3F609" w:rsidR="00EF3604" w:rsidRDefault="00EF3604" w:rsidP="00EF3604">
      <w:pPr>
        <w:pStyle w:val="FootnoteText"/>
        <w:jc w:val="both"/>
        <w:rPr>
          <w:rFonts w:ascii="Book Antiqua" w:hAnsi="Book Antiqua"/>
          <w:lang w:val="es-ES"/>
        </w:rPr>
      </w:pPr>
      <w:r>
        <w:rPr>
          <w:rStyle w:val="FootnoteReference"/>
          <w:lang w:val="es-ES"/>
        </w:rPr>
        <w:footnoteRef/>
      </w:r>
      <w:r>
        <w:rPr>
          <w:lang w:val="es-ES"/>
        </w:rPr>
        <w:t xml:space="preserve"> </w:t>
      </w:r>
      <w:r>
        <w:rPr>
          <w:rFonts w:ascii="Book Antiqua" w:hAnsi="Book Antiqua"/>
          <w:lang w:val="es-ES"/>
        </w:rPr>
        <w:t xml:space="preserve">Memorial del Colegio de </w:t>
      </w:r>
      <w:proofErr w:type="gramStart"/>
      <w:r>
        <w:rPr>
          <w:rFonts w:ascii="Book Antiqua" w:hAnsi="Book Antiqua"/>
          <w:lang w:val="es-ES"/>
        </w:rPr>
        <w:t>Abogados y Abogadas</w:t>
      </w:r>
      <w:proofErr w:type="gramEnd"/>
      <w:r>
        <w:rPr>
          <w:rFonts w:ascii="Book Antiqua" w:hAnsi="Book Antiqua"/>
          <w:lang w:val="es-ES"/>
        </w:rPr>
        <w:t xml:space="preserve"> recibido el 19 de mayo de 2025.</w:t>
      </w:r>
    </w:p>
  </w:footnote>
  <w:footnote w:id="6">
    <w:p w14:paraId="31C9C97C" w14:textId="560EA445" w:rsidR="00EF3604" w:rsidRDefault="00EF3604" w:rsidP="00EF3604">
      <w:pPr>
        <w:pStyle w:val="FootnoteText"/>
        <w:jc w:val="both"/>
        <w:rPr>
          <w:rFonts w:ascii="Book Antiqua" w:hAnsi="Book Antiqua"/>
          <w:lang w:val="es-ES"/>
        </w:rPr>
      </w:pPr>
      <w:r>
        <w:rPr>
          <w:rStyle w:val="FootnoteReference"/>
          <w:lang w:val="es-ES"/>
        </w:rPr>
        <w:footnoteRef/>
      </w:r>
      <w:r>
        <w:rPr>
          <w:lang w:val="es-ES"/>
        </w:rPr>
        <w:t xml:space="preserve"> </w:t>
      </w:r>
      <w:r>
        <w:rPr>
          <w:rFonts w:ascii="Book Antiqua" w:hAnsi="Book Antiqua"/>
          <w:lang w:val="es-ES"/>
        </w:rPr>
        <w:t xml:space="preserve">Memorial de la Oficina de Administración de Tribunales, al momento de presentar este informe no se ha recibido.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0A7F4" w14:textId="43BE16E2" w:rsidR="00A77674" w:rsidRPr="00ED30AA" w:rsidRDefault="00A77674" w:rsidP="00ED30AA">
    <w:pPr>
      <w:pStyle w:val="Header"/>
      <w:pBdr>
        <w:bottom w:val="single" w:sz="12" w:space="1" w:color="auto"/>
      </w:pBdr>
      <w:rPr>
        <w:rFonts w:ascii="Book Antiqua" w:hAnsi="Book Antiqua"/>
        <w:b/>
        <w:sz w:val="20"/>
        <w:lang w:val="es-PR"/>
      </w:rPr>
    </w:pPr>
    <w:r w:rsidRPr="00ED30AA">
      <w:rPr>
        <w:rFonts w:ascii="Book Antiqua" w:hAnsi="Book Antiqua"/>
        <w:b/>
        <w:sz w:val="20"/>
        <w:lang w:val="es-PR"/>
      </w:rPr>
      <w:t>Comisión de</w:t>
    </w:r>
    <w:r w:rsidR="007D44E4">
      <w:rPr>
        <w:rFonts w:ascii="Book Antiqua" w:hAnsi="Book Antiqua"/>
        <w:b/>
        <w:sz w:val="20"/>
        <w:lang w:val="es-PR"/>
      </w:rPr>
      <w:t>l Trabajo y Asunto Laborales</w:t>
    </w:r>
  </w:p>
  <w:p w14:paraId="1F97640D" w14:textId="24E5F9E2" w:rsidR="004E5AFE" w:rsidRDefault="00773864" w:rsidP="00A77674">
    <w:pPr>
      <w:pStyle w:val="Header"/>
      <w:pBdr>
        <w:bottom w:val="single" w:sz="12" w:space="1" w:color="auto"/>
      </w:pBdr>
      <w:rPr>
        <w:rFonts w:ascii="Book Antiqua" w:hAnsi="Book Antiqua"/>
        <w:b/>
        <w:sz w:val="20"/>
        <w:lang w:val="es-PR"/>
      </w:rPr>
    </w:pPr>
    <w:r>
      <w:rPr>
        <w:rFonts w:ascii="Book Antiqua" w:hAnsi="Book Antiqua"/>
        <w:b/>
        <w:sz w:val="20"/>
        <w:lang w:val="es-PR"/>
      </w:rPr>
      <w:t>Segundo Informe</w:t>
    </w:r>
  </w:p>
  <w:p w14:paraId="418D21AC" w14:textId="6A2BB59B" w:rsidR="00A77674" w:rsidRPr="00A77674" w:rsidRDefault="00A77674"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P. de</w:t>
    </w:r>
    <w:r w:rsidR="00AA6704">
      <w:rPr>
        <w:rFonts w:ascii="Book Antiqua" w:hAnsi="Book Antiqua"/>
        <w:b/>
        <w:sz w:val="20"/>
        <w:lang w:val="es-PR"/>
      </w:rPr>
      <w:t xml:space="preserve"> la C. </w:t>
    </w:r>
    <w:r w:rsidR="00E919A7">
      <w:rPr>
        <w:rFonts w:ascii="Book Antiqua" w:hAnsi="Book Antiqua"/>
        <w:b/>
        <w:sz w:val="20"/>
        <w:lang w:val="es-PR"/>
      </w:rPr>
      <w:t>494</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rFonts w:ascii="Book Antiqua" w:hAnsi="Book Antiqua"/>
        <w:b/>
        <w:sz w:val="20"/>
        <w:lang w:val="es-PR"/>
      </w:rPr>
      <w:t>2</w:t>
    </w:r>
    <w:r w:rsidRPr="00AA356F">
      <w:rPr>
        <w:rFonts w:ascii="Book Antiqua" w:hAnsi="Book Antiqua"/>
        <w:b/>
        <w:noProof/>
        <w:sz w:val="20"/>
        <w:lang w:val="es-PR"/>
      </w:rPr>
      <w:fldChar w:fldCharType="end"/>
    </w:r>
  </w:p>
  <w:p w14:paraId="335E7A17" w14:textId="77777777" w:rsidR="00A77674" w:rsidRPr="00A77674" w:rsidRDefault="00A77674">
    <w:pPr>
      <w:pStyle w:val="Header"/>
      <w:rPr>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8EB410" w14:textId="76FF7EFC" w:rsidR="00E8453D" w:rsidRDefault="00E845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72802"/>
    <w:multiLevelType w:val="hybridMultilevel"/>
    <w:tmpl w:val="75AE23C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9B62CD5"/>
    <w:multiLevelType w:val="hybridMultilevel"/>
    <w:tmpl w:val="21C4CED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BB97746"/>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66D7E9A"/>
    <w:multiLevelType w:val="hybridMultilevel"/>
    <w:tmpl w:val="723AA4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455FB4"/>
    <w:multiLevelType w:val="hybridMultilevel"/>
    <w:tmpl w:val="44642E3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0B2692"/>
    <w:multiLevelType w:val="hybridMultilevel"/>
    <w:tmpl w:val="C102030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AC3943"/>
    <w:multiLevelType w:val="hybridMultilevel"/>
    <w:tmpl w:val="0486C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BF6713"/>
    <w:multiLevelType w:val="hybridMultilevel"/>
    <w:tmpl w:val="BD3A0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D04F91"/>
    <w:multiLevelType w:val="hybridMultilevel"/>
    <w:tmpl w:val="48BCE550"/>
    <w:lvl w:ilvl="0" w:tplc="174AF51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A303AFE"/>
    <w:multiLevelType w:val="multilevel"/>
    <w:tmpl w:val="D272E216"/>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0" w15:restartNumberingAfterBreak="0">
    <w:nsid w:val="2ACD3FAF"/>
    <w:multiLevelType w:val="hybridMultilevel"/>
    <w:tmpl w:val="BEE60C28"/>
    <w:lvl w:ilvl="0" w:tplc="DC901EF8">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8B3B24"/>
    <w:multiLevelType w:val="hybridMultilevel"/>
    <w:tmpl w:val="5112AD7A"/>
    <w:lvl w:ilvl="0" w:tplc="A204F200">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C1079BF"/>
    <w:multiLevelType w:val="hybridMultilevel"/>
    <w:tmpl w:val="6A76B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E336495"/>
    <w:multiLevelType w:val="hybridMultilevel"/>
    <w:tmpl w:val="01021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8C85DF9"/>
    <w:multiLevelType w:val="hybridMultilevel"/>
    <w:tmpl w:val="D9B0BE20"/>
    <w:lvl w:ilvl="0" w:tplc="763C3F18">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D4636AD"/>
    <w:multiLevelType w:val="hybridMultilevel"/>
    <w:tmpl w:val="E006060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86C7886"/>
    <w:multiLevelType w:val="hybridMultilevel"/>
    <w:tmpl w:val="37B6A5A0"/>
    <w:lvl w:ilvl="0" w:tplc="A3BA82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60851810"/>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62AF26FF"/>
    <w:multiLevelType w:val="hybridMultilevel"/>
    <w:tmpl w:val="91F63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BD818D9"/>
    <w:multiLevelType w:val="hybridMultilevel"/>
    <w:tmpl w:val="F62ECE24"/>
    <w:lvl w:ilvl="0" w:tplc="FFFFFFFF">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5062784"/>
    <w:multiLevelType w:val="hybridMultilevel"/>
    <w:tmpl w:val="667ACA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63D4325"/>
    <w:multiLevelType w:val="hybridMultilevel"/>
    <w:tmpl w:val="4FAE317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7C7F718E"/>
    <w:multiLevelType w:val="hybridMultilevel"/>
    <w:tmpl w:val="41361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E597E62"/>
    <w:multiLevelType w:val="hybridMultilevel"/>
    <w:tmpl w:val="EAA6A6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574164640">
    <w:abstractNumId w:val="16"/>
  </w:num>
  <w:num w:numId="2" w16cid:durableId="996879017">
    <w:abstractNumId w:val="17"/>
  </w:num>
  <w:num w:numId="3" w16cid:durableId="1363820785">
    <w:abstractNumId w:val="10"/>
  </w:num>
  <w:num w:numId="4" w16cid:durableId="303313110">
    <w:abstractNumId w:val="2"/>
  </w:num>
  <w:num w:numId="5" w16cid:durableId="874389364">
    <w:abstractNumId w:val="22"/>
  </w:num>
  <w:num w:numId="6" w16cid:durableId="1358460559">
    <w:abstractNumId w:val="6"/>
  </w:num>
  <w:num w:numId="7" w16cid:durableId="198127431">
    <w:abstractNumId w:val="12"/>
  </w:num>
  <w:num w:numId="8" w16cid:durableId="1751612478">
    <w:abstractNumId w:val="20"/>
  </w:num>
  <w:num w:numId="9" w16cid:durableId="392125813">
    <w:abstractNumId w:val="3"/>
  </w:num>
  <w:num w:numId="10" w16cid:durableId="688794570">
    <w:abstractNumId w:val="21"/>
  </w:num>
  <w:num w:numId="11" w16cid:durableId="591013037">
    <w:abstractNumId w:val="1"/>
  </w:num>
  <w:num w:numId="12" w16cid:durableId="40909517">
    <w:abstractNumId w:val="19"/>
  </w:num>
  <w:num w:numId="13" w16cid:durableId="138772109">
    <w:abstractNumId w:val="13"/>
  </w:num>
  <w:num w:numId="14" w16cid:durableId="2006399549">
    <w:abstractNumId w:val="23"/>
  </w:num>
  <w:num w:numId="15" w16cid:durableId="1322201008">
    <w:abstractNumId w:val="5"/>
  </w:num>
  <w:num w:numId="16" w16cid:durableId="499083648">
    <w:abstractNumId w:val="4"/>
  </w:num>
  <w:num w:numId="17" w16cid:durableId="838958967">
    <w:abstractNumId w:val="15"/>
  </w:num>
  <w:num w:numId="18" w16cid:durableId="210961959">
    <w:abstractNumId w:val="7"/>
  </w:num>
  <w:num w:numId="19" w16cid:durableId="2050110963">
    <w:abstractNumId w:val="18"/>
  </w:num>
  <w:num w:numId="20" w16cid:durableId="1232740073">
    <w:abstractNumId w:val="0"/>
  </w:num>
  <w:num w:numId="21" w16cid:durableId="993484377">
    <w:abstractNumId w:val="9"/>
  </w:num>
  <w:num w:numId="22" w16cid:durableId="440684007">
    <w:abstractNumId w:val="11"/>
  </w:num>
  <w:num w:numId="23" w16cid:durableId="274485611">
    <w:abstractNumId w:val="14"/>
  </w:num>
  <w:num w:numId="24" w16cid:durableId="190725438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220"/>
    <w:rsid w:val="0001070C"/>
    <w:rsid w:val="0001112A"/>
    <w:rsid w:val="000127EC"/>
    <w:rsid w:val="00022A9E"/>
    <w:rsid w:val="00027A0E"/>
    <w:rsid w:val="0003297D"/>
    <w:rsid w:val="0003731B"/>
    <w:rsid w:val="00040FE4"/>
    <w:rsid w:val="00047F89"/>
    <w:rsid w:val="00050C79"/>
    <w:rsid w:val="00055ADA"/>
    <w:rsid w:val="00060FF8"/>
    <w:rsid w:val="00063100"/>
    <w:rsid w:val="00065570"/>
    <w:rsid w:val="00066E3A"/>
    <w:rsid w:val="000746D5"/>
    <w:rsid w:val="00077A90"/>
    <w:rsid w:val="00082612"/>
    <w:rsid w:val="000867B6"/>
    <w:rsid w:val="00090545"/>
    <w:rsid w:val="000A4FAB"/>
    <w:rsid w:val="000A671F"/>
    <w:rsid w:val="000B28A3"/>
    <w:rsid w:val="000C1C3D"/>
    <w:rsid w:val="000C4470"/>
    <w:rsid w:val="000C4965"/>
    <w:rsid w:val="000D59B8"/>
    <w:rsid w:val="000E7F54"/>
    <w:rsid w:val="001036CE"/>
    <w:rsid w:val="00104C64"/>
    <w:rsid w:val="0010744E"/>
    <w:rsid w:val="0011496A"/>
    <w:rsid w:val="001223AA"/>
    <w:rsid w:val="001236A1"/>
    <w:rsid w:val="00140A28"/>
    <w:rsid w:val="00141E9A"/>
    <w:rsid w:val="00147BF2"/>
    <w:rsid w:val="00150C55"/>
    <w:rsid w:val="00157D83"/>
    <w:rsid w:val="00185E95"/>
    <w:rsid w:val="00190D17"/>
    <w:rsid w:val="001919F6"/>
    <w:rsid w:val="0019674E"/>
    <w:rsid w:val="001977A4"/>
    <w:rsid w:val="001A4C2B"/>
    <w:rsid w:val="001B0938"/>
    <w:rsid w:val="001B0FF8"/>
    <w:rsid w:val="001C0C85"/>
    <w:rsid w:val="001C12C0"/>
    <w:rsid w:val="001C4E0D"/>
    <w:rsid w:val="001D03DB"/>
    <w:rsid w:val="001D7A7B"/>
    <w:rsid w:val="001E0043"/>
    <w:rsid w:val="001E2EE8"/>
    <w:rsid w:val="001E56A7"/>
    <w:rsid w:val="001F6DD7"/>
    <w:rsid w:val="00201000"/>
    <w:rsid w:val="002057D6"/>
    <w:rsid w:val="002221AA"/>
    <w:rsid w:val="00233258"/>
    <w:rsid w:val="002375CB"/>
    <w:rsid w:val="00251EAD"/>
    <w:rsid w:val="002548B8"/>
    <w:rsid w:val="00256087"/>
    <w:rsid w:val="002618D7"/>
    <w:rsid w:val="00265F4C"/>
    <w:rsid w:val="0027727B"/>
    <w:rsid w:val="0028282F"/>
    <w:rsid w:val="00290180"/>
    <w:rsid w:val="00290737"/>
    <w:rsid w:val="002949EC"/>
    <w:rsid w:val="0029568E"/>
    <w:rsid w:val="0029599C"/>
    <w:rsid w:val="002A0C2B"/>
    <w:rsid w:val="002A6D67"/>
    <w:rsid w:val="002B4DBD"/>
    <w:rsid w:val="002D006E"/>
    <w:rsid w:val="002D0DC0"/>
    <w:rsid w:val="002D1053"/>
    <w:rsid w:val="002D12F9"/>
    <w:rsid w:val="002D7B0E"/>
    <w:rsid w:val="002F1E64"/>
    <w:rsid w:val="002F4C29"/>
    <w:rsid w:val="003007B4"/>
    <w:rsid w:val="0030733A"/>
    <w:rsid w:val="00316360"/>
    <w:rsid w:val="00325C6C"/>
    <w:rsid w:val="0033091C"/>
    <w:rsid w:val="00330C1C"/>
    <w:rsid w:val="0033517D"/>
    <w:rsid w:val="0033703B"/>
    <w:rsid w:val="00337195"/>
    <w:rsid w:val="0033762A"/>
    <w:rsid w:val="00342195"/>
    <w:rsid w:val="0034592F"/>
    <w:rsid w:val="00346032"/>
    <w:rsid w:val="00346595"/>
    <w:rsid w:val="00353B03"/>
    <w:rsid w:val="003648B8"/>
    <w:rsid w:val="00366580"/>
    <w:rsid w:val="00376315"/>
    <w:rsid w:val="00376DFB"/>
    <w:rsid w:val="00380AE8"/>
    <w:rsid w:val="00392175"/>
    <w:rsid w:val="00393121"/>
    <w:rsid w:val="003A4410"/>
    <w:rsid w:val="003B01A3"/>
    <w:rsid w:val="003B16BF"/>
    <w:rsid w:val="003C1E4B"/>
    <w:rsid w:val="003C279C"/>
    <w:rsid w:val="003C2D21"/>
    <w:rsid w:val="003D01D6"/>
    <w:rsid w:val="003D0913"/>
    <w:rsid w:val="003D7D0C"/>
    <w:rsid w:val="003E1D69"/>
    <w:rsid w:val="003E23DC"/>
    <w:rsid w:val="003E2953"/>
    <w:rsid w:val="003E3A56"/>
    <w:rsid w:val="003E7F33"/>
    <w:rsid w:val="003F1A6D"/>
    <w:rsid w:val="003F27C7"/>
    <w:rsid w:val="003F727F"/>
    <w:rsid w:val="00402CA2"/>
    <w:rsid w:val="0040308A"/>
    <w:rsid w:val="00405BAC"/>
    <w:rsid w:val="00414C4D"/>
    <w:rsid w:val="00417AF3"/>
    <w:rsid w:val="004224E5"/>
    <w:rsid w:val="00426536"/>
    <w:rsid w:val="00431C14"/>
    <w:rsid w:val="0043433B"/>
    <w:rsid w:val="00441885"/>
    <w:rsid w:val="00441FB6"/>
    <w:rsid w:val="004424B4"/>
    <w:rsid w:val="00442993"/>
    <w:rsid w:val="0044665B"/>
    <w:rsid w:val="00465534"/>
    <w:rsid w:val="00471FA3"/>
    <w:rsid w:val="004770CF"/>
    <w:rsid w:val="00477B35"/>
    <w:rsid w:val="00485200"/>
    <w:rsid w:val="0048779C"/>
    <w:rsid w:val="00491727"/>
    <w:rsid w:val="00491C0F"/>
    <w:rsid w:val="004941AC"/>
    <w:rsid w:val="004A659C"/>
    <w:rsid w:val="004B2368"/>
    <w:rsid w:val="004B7C0B"/>
    <w:rsid w:val="004C5667"/>
    <w:rsid w:val="004D1649"/>
    <w:rsid w:val="004D513B"/>
    <w:rsid w:val="004E00C4"/>
    <w:rsid w:val="004E0C1E"/>
    <w:rsid w:val="004E5AFE"/>
    <w:rsid w:val="004F629E"/>
    <w:rsid w:val="00500CC7"/>
    <w:rsid w:val="005027AD"/>
    <w:rsid w:val="00502E18"/>
    <w:rsid w:val="00503F3C"/>
    <w:rsid w:val="00504E9B"/>
    <w:rsid w:val="00506D0F"/>
    <w:rsid w:val="00516A65"/>
    <w:rsid w:val="0052399A"/>
    <w:rsid w:val="00534034"/>
    <w:rsid w:val="005414EF"/>
    <w:rsid w:val="00551362"/>
    <w:rsid w:val="005532A3"/>
    <w:rsid w:val="00555018"/>
    <w:rsid w:val="00561187"/>
    <w:rsid w:val="00562EFE"/>
    <w:rsid w:val="00565E86"/>
    <w:rsid w:val="005718E8"/>
    <w:rsid w:val="00572735"/>
    <w:rsid w:val="00577E77"/>
    <w:rsid w:val="00581921"/>
    <w:rsid w:val="00597E80"/>
    <w:rsid w:val="005A749E"/>
    <w:rsid w:val="005B1F1A"/>
    <w:rsid w:val="005B6660"/>
    <w:rsid w:val="005D3D5C"/>
    <w:rsid w:val="005D3FF7"/>
    <w:rsid w:val="005E0522"/>
    <w:rsid w:val="005E2D25"/>
    <w:rsid w:val="005F3BF6"/>
    <w:rsid w:val="005F67C5"/>
    <w:rsid w:val="00603D56"/>
    <w:rsid w:val="006045E0"/>
    <w:rsid w:val="00604E08"/>
    <w:rsid w:val="00610112"/>
    <w:rsid w:val="00615919"/>
    <w:rsid w:val="00616270"/>
    <w:rsid w:val="00627F99"/>
    <w:rsid w:val="00627FF4"/>
    <w:rsid w:val="00634C00"/>
    <w:rsid w:val="0064060E"/>
    <w:rsid w:val="00640F83"/>
    <w:rsid w:val="006456CC"/>
    <w:rsid w:val="00646C64"/>
    <w:rsid w:val="0065169F"/>
    <w:rsid w:val="00657A3B"/>
    <w:rsid w:val="00660503"/>
    <w:rsid w:val="00660DEA"/>
    <w:rsid w:val="00670B29"/>
    <w:rsid w:val="00671884"/>
    <w:rsid w:val="00683D71"/>
    <w:rsid w:val="00685893"/>
    <w:rsid w:val="00686237"/>
    <w:rsid w:val="00690E19"/>
    <w:rsid w:val="0069371B"/>
    <w:rsid w:val="0069716C"/>
    <w:rsid w:val="006A098B"/>
    <w:rsid w:val="006A1550"/>
    <w:rsid w:val="006A3010"/>
    <w:rsid w:val="006A3B82"/>
    <w:rsid w:val="006C3E0A"/>
    <w:rsid w:val="006C3E43"/>
    <w:rsid w:val="006D74EC"/>
    <w:rsid w:val="006D7EDB"/>
    <w:rsid w:val="006E14B4"/>
    <w:rsid w:val="006E4D94"/>
    <w:rsid w:val="006E526B"/>
    <w:rsid w:val="006F173C"/>
    <w:rsid w:val="006F5C9D"/>
    <w:rsid w:val="006F6F45"/>
    <w:rsid w:val="00703972"/>
    <w:rsid w:val="00707CB9"/>
    <w:rsid w:val="00711370"/>
    <w:rsid w:val="00712F45"/>
    <w:rsid w:val="00725EBC"/>
    <w:rsid w:val="00726A1E"/>
    <w:rsid w:val="00730DB1"/>
    <w:rsid w:val="00731286"/>
    <w:rsid w:val="00740F1E"/>
    <w:rsid w:val="0074531D"/>
    <w:rsid w:val="007453CD"/>
    <w:rsid w:val="00750189"/>
    <w:rsid w:val="00750A4C"/>
    <w:rsid w:val="00752D3C"/>
    <w:rsid w:val="00753A00"/>
    <w:rsid w:val="00755CBC"/>
    <w:rsid w:val="007677D7"/>
    <w:rsid w:val="007721AD"/>
    <w:rsid w:val="00773864"/>
    <w:rsid w:val="00780146"/>
    <w:rsid w:val="00785266"/>
    <w:rsid w:val="00792EBB"/>
    <w:rsid w:val="00795520"/>
    <w:rsid w:val="0079639C"/>
    <w:rsid w:val="007A0B8D"/>
    <w:rsid w:val="007A6992"/>
    <w:rsid w:val="007A6F4D"/>
    <w:rsid w:val="007B0550"/>
    <w:rsid w:val="007C5DD4"/>
    <w:rsid w:val="007D2039"/>
    <w:rsid w:val="007D44E4"/>
    <w:rsid w:val="007F0F99"/>
    <w:rsid w:val="007F3057"/>
    <w:rsid w:val="007F4155"/>
    <w:rsid w:val="007F46F0"/>
    <w:rsid w:val="007F4D2B"/>
    <w:rsid w:val="0080177C"/>
    <w:rsid w:val="008059B1"/>
    <w:rsid w:val="0080637C"/>
    <w:rsid w:val="00815062"/>
    <w:rsid w:val="00824F94"/>
    <w:rsid w:val="0082542F"/>
    <w:rsid w:val="008371ED"/>
    <w:rsid w:val="00847610"/>
    <w:rsid w:val="008517CF"/>
    <w:rsid w:val="00852716"/>
    <w:rsid w:val="008536D1"/>
    <w:rsid w:val="0086325E"/>
    <w:rsid w:val="008663F2"/>
    <w:rsid w:val="00867577"/>
    <w:rsid w:val="00872C3D"/>
    <w:rsid w:val="008731C3"/>
    <w:rsid w:val="00875D0B"/>
    <w:rsid w:val="0087699D"/>
    <w:rsid w:val="00877813"/>
    <w:rsid w:val="0088333D"/>
    <w:rsid w:val="00883C0D"/>
    <w:rsid w:val="00884074"/>
    <w:rsid w:val="00892942"/>
    <w:rsid w:val="00893989"/>
    <w:rsid w:val="008A2A15"/>
    <w:rsid w:val="008A37EC"/>
    <w:rsid w:val="008B01AC"/>
    <w:rsid w:val="008B79A1"/>
    <w:rsid w:val="008D0A5E"/>
    <w:rsid w:val="008D1BAF"/>
    <w:rsid w:val="008D1DB5"/>
    <w:rsid w:val="008D4ABA"/>
    <w:rsid w:val="008E11CC"/>
    <w:rsid w:val="008E29CD"/>
    <w:rsid w:val="008E6C73"/>
    <w:rsid w:val="008F281B"/>
    <w:rsid w:val="008F3069"/>
    <w:rsid w:val="008F3DDD"/>
    <w:rsid w:val="008F4E1D"/>
    <w:rsid w:val="008F71D8"/>
    <w:rsid w:val="00904FAC"/>
    <w:rsid w:val="00907B34"/>
    <w:rsid w:val="0091120E"/>
    <w:rsid w:val="00925C0B"/>
    <w:rsid w:val="00926C56"/>
    <w:rsid w:val="00931EA0"/>
    <w:rsid w:val="00964006"/>
    <w:rsid w:val="009647F8"/>
    <w:rsid w:val="00971BCE"/>
    <w:rsid w:val="00973CE5"/>
    <w:rsid w:val="00974382"/>
    <w:rsid w:val="00986798"/>
    <w:rsid w:val="00986EE7"/>
    <w:rsid w:val="00987D90"/>
    <w:rsid w:val="00991228"/>
    <w:rsid w:val="00993159"/>
    <w:rsid w:val="00993A4A"/>
    <w:rsid w:val="009966A7"/>
    <w:rsid w:val="009A08BB"/>
    <w:rsid w:val="009A40BF"/>
    <w:rsid w:val="009B3FB4"/>
    <w:rsid w:val="009C0408"/>
    <w:rsid w:val="009C132F"/>
    <w:rsid w:val="009C304E"/>
    <w:rsid w:val="009C3FBC"/>
    <w:rsid w:val="009C5EDF"/>
    <w:rsid w:val="009C7AD6"/>
    <w:rsid w:val="009C7CFB"/>
    <w:rsid w:val="009C7FC6"/>
    <w:rsid w:val="009D6FD8"/>
    <w:rsid w:val="009E14F4"/>
    <w:rsid w:val="009E3D79"/>
    <w:rsid w:val="009F1EE7"/>
    <w:rsid w:val="009F3AEE"/>
    <w:rsid w:val="009F6796"/>
    <w:rsid w:val="00A00844"/>
    <w:rsid w:val="00A23DD3"/>
    <w:rsid w:val="00A27969"/>
    <w:rsid w:val="00A27F80"/>
    <w:rsid w:val="00A30C0A"/>
    <w:rsid w:val="00A31456"/>
    <w:rsid w:val="00A32341"/>
    <w:rsid w:val="00A426A2"/>
    <w:rsid w:val="00A43947"/>
    <w:rsid w:val="00A47CF0"/>
    <w:rsid w:val="00A66CF3"/>
    <w:rsid w:val="00A77674"/>
    <w:rsid w:val="00A82809"/>
    <w:rsid w:val="00A86164"/>
    <w:rsid w:val="00A96E04"/>
    <w:rsid w:val="00AA1F12"/>
    <w:rsid w:val="00AA5521"/>
    <w:rsid w:val="00AA6704"/>
    <w:rsid w:val="00AA7044"/>
    <w:rsid w:val="00AA752E"/>
    <w:rsid w:val="00AB3915"/>
    <w:rsid w:val="00AB6058"/>
    <w:rsid w:val="00AD009F"/>
    <w:rsid w:val="00AD2D77"/>
    <w:rsid w:val="00AE2FE8"/>
    <w:rsid w:val="00AE50F2"/>
    <w:rsid w:val="00AF2B6E"/>
    <w:rsid w:val="00B0028A"/>
    <w:rsid w:val="00B04EC0"/>
    <w:rsid w:val="00B15FE6"/>
    <w:rsid w:val="00B1720E"/>
    <w:rsid w:val="00B23C1F"/>
    <w:rsid w:val="00B2443A"/>
    <w:rsid w:val="00B24750"/>
    <w:rsid w:val="00B27D8A"/>
    <w:rsid w:val="00B31342"/>
    <w:rsid w:val="00B44A73"/>
    <w:rsid w:val="00B45C79"/>
    <w:rsid w:val="00B51BF0"/>
    <w:rsid w:val="00B55416"/>
    <w:rsid w:val="00B7319D"/>
    <w:rsid w:val="00B80F89"/>
    <w:rsid w:val="00B82A58"/>
    <w:rsid w:val="00B841C6"/>
    <w:rsid w:val="00B85AFA"/>
    <w:rsid w:val="00BA5706"/>
    <w:rsid w:val="00BA6610"/>
    <w:rsid w:val="00BC5A56"/>
    <w:rsid w:val="00BD078C"/>
    <w:rsid w:val="00BD6D44"/>
    <w:rsid w:val="00BF160B"/>
    <w:rsid w:val="00BF25CF"/>
    <w:rsid w:val="00C0637B"/>
    <w:rsid w:val="00C11220"/>
    <w:rsid w:val="00C1209E"/>
    <w:rsid w:val="00C14A21"/>
    <w:rsid w:val="00C1596C"/>
    <w:rsid w:val="00C20C6A"/>
    <w:rsid w:val="00C22967"/>
    <w:rsid w:val="00C25C7B"/>
    <w:rsid w:val="00C2602B"/>
    <w:rsid w:val="00C32414"/>
    <w:rsid w:val="00C41234"/>
    <w:rsid w:val="00C47BE6"/>
    <w:rsid w:val="00C55D90"/>
    <w:rsid w:val="00C80616"/>
    <w:rsid w:val="00C81F4D"/>
    <w:rsid w:val="00C875C4"/>
    <w:rsid w:val="00C917EB"/>
    <w:rsid w:val="00C91D3A"/>
    <w:rsid w:val="00CA4006"/>
    <w:rsid w:val="00CA779D"/>
    <w:rsid w:val="00CB4105"/>
    <w:rsid w:val="00CB4CB9"/>
    <w:rsid w:val="00CB7175"/>
    <w:rsid w:val="00CB7C9D"/>
    <w:rsid w:val="00CC088C"/>
    <w:rsid w:val="00CC17D5"/>
    <w:rsid w:val="00CC37EC"/>
    <w:rsid w:val="00CD0F3E"/>
    <w:rsid w:val="00CD795E"/>
    <w:rsid w:val="00CE14E0"/>
    <w:rsid w:val="00CE154C"/>
    <w:rsid w:val="00CE20CC"/>
    <w:rsid w:val="00CE6503"/>
    <w:rsid w:val="00CF05E6"/>
    <w:rsid w:val="00CF25AC"/>
    <w:rsid w:val="00CF2D32"/>
    <w:rsid w:val="00D001B5"/>
    <w:rsid w:val="00D0144B"/>
    <w:rsid w:val="00D11130"/>
    <w:rsid w:val="00D11503"/>
    <w:rsid w:val="00D12FA5"/>
    <w:rsid w:val="00D14654"/>
    <w:rsid w:val="00D17736"/>
    <w:rsid w:val="00D2409B"/>
    <w:rsid w:val="00D2448F"/>
    <w:rsid w:val="00D3090A"/>
    <w:rsid w:val="00D431D0"/>
    <w:rsid w:val="00D4768B"/>
    <w:rsid w:val="00D522C4"/>
    <w:rsid w:val="00D60B52"/>
    <w:rsid w:val="00D60DF7"/>
    <w:rsid w:val="00D63234"/>
    <w:rsid w:val="00D63DFA"/>
    <w:rsid w:val="00D64371"/>
    <w:rsid w:val="00D661D1"/>
    <w:rsid w:val="00D744FB"/>
    <w:rsid w:val="00D843CB"/>
    <w:rsid w:val="00D916A1"/>
    <w:rsid w:val="00D97A55"/>
    <w:rsid w:val="00DA78FC"/>
    <w:rsid w:val="00DB60D3"/>
    <w:rsid w:val="00DB7B0A"/>
    <w:rsid w:val="00DC070F"/>
    <w:rsid w:val="00DC5471"/>
    <w:rsid w:val="00DD0559"/>
    <w:rsid w:val="00DD4394"/>
    <w:rsid w:val="00DD7780"/>
    <w:rsid w:val="00DE29FB"/>
    <w:rsid w:val="00DE3EC3"/>
    <w:rsid w:val="00DE549B"/>
    <w:rsid w:val="00DE64B2"/>
    <w:rsid w:val="00DF2B2D"/>
    <w:rsid w:val="00DF4433"/>
    <w:rsid w:val="00DF51E5"/>
    <w:rsid w:val="00DF623B"/>
    <w:rsid w:val="00DF7266"/>
    <w:rsid w:val="00E00281"/>
    <w:rsid w:val="00E011F4"/>
    <w:rsid w:val="00E0639A"/>
    <w:rsid w:val="00E20080"/>
    <w:rsid w:val="00E25B40"/>
    <w:rsid w:val="00E26CDC"/>
    <w:rsid w:val="00E37C60"/>
    <w:rsid w:val="00E4167A"/>
    <w:rsid w:val="00E442B2"/>
    <w:rsid w:val="00E47932"/>
    <w:rsid w:val="00E51678"/>
    <w:rsid w:val="00E66D0E"/>
    <w:rsid w:val="00E72ADB"/>
    <w:rsid w:val="00E8453D"/>
    <w:rsid w:val="00E84D1F"/>
    <w:rsid w:val="00E85143"/>
    <w:rsid w:val="00E875B5"/>
    <w:rsid w:val="00E919A7"/>
    <w:rsid w:val="00E919F3"/>
    <w:rsid w:val="00E94489"/>
    <w:rsid w:val="00EA0336"/>
    <w:rsid w:val="00EA3F62"/>
    <w:rsid w:val="00EA42E1"/>
    <w:rsid w:val="00EA48E7"/>
    <w:rsid w:val="00EB26D6"/>
    <w:rsid w:val="00EC4AC9"/>
    <w:rsid w:val="00ED30AA"/>
    <w:rsid w:val="00ED38AE"/>
    <w:rsid w:val="00EE2267"/>
    <w:rsid w:val="00EE55F8"/>
    <w:rsid w:val="00EE669C"/>
    <w:rsid w:val="00EE7946"/>
    <w:rsid w:val="00EF11D6"/>
    <w:rsid w:val="00EF3604"/>
    <w:rsid w:val="00EF4598"/>
    <w:rsid w:val="00EF4941"/>
    <w:rsid w:val="00F054D6"/>
    <w:rsid w:val="00F235EC"/>
    <w:rsid w:val="00F367B5"/>
    <w:rsid w:val="00F4364D"/>
    <w:rsid w:val="00F463B1"/>
    <w:rsid w:val="00F466F9"/>
    <w:rsid w:val="00F54DF0"/>
    <w:rsid w:val="00F6086C"/>
    <w:rsid w:val="00F71400"/>
    <w:rsid w:val="00F8350F"/>
    <w:rsid w:val="00F83D10"/>
    <w:rsid w:val="00F85731"/>
    <w:rsid w:val="00F937D1"/>
    <w:rsid w:val="00FB5B25"/>
    <w:rsid w:val="00FC6F2F"/>
    <w:rsid w:val="00FD13FD"/>
    <w:rsid w:val="00FD1A3E"/>
    <w:rsid w:val="00FE4BE8"/>
    <w:rsid w:val="00FE560C"/>
    <w:rsid w:val="00FE631A"/>
    <w:rsid w:val="00FF2DB5"/>
    <w:rsid w:val="00FF3B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A1D55"/>
  <w15:chartTrackingRefBased/>
  <w15:docId w15:val="{DA9AD1E6-B821-DE4D-BE9C-B24975589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220"/>
    <w:rPr>
      <w:rFonts w:ascii="Times New Roman" w:eastAsia="Times New Roman" w:hAnsi="Times New Roman"/>
      <w:sz w:val="24"/>
    </w:rPr>
  </w:style>
  <w:style w:type="paragraph" w:styleId="Heading1">
    <w:name w:val="heading 1"/>
    <w:basedOn w:val="Normal"/>
    <w:next w:val="Normal"/>
    <w:link w:val="Heading1Char"/>
    <w:uiPriority w:val="9"/>
    <w:qFormat/>
    <w:rsid w:val="00ED30AA"/>
    <w:pPr>
      <w:keepNext/>
      <w:keepLines/>
      <w:spacing w:before="24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ED30AA"/>
    <w:pPr>
      <w:keepNext/>
      <w:keepLines/>
      <w:spacing w:before="4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semiHidden/>
    <w:unhideWhenUsed/>
    <w:qFormat/>
    <w:rsid w:val="00ED30AA"/>
    <w:pPr>
      <w:keepNext/>
      <w:keepLines/>
      <w:spacing w:before="40"/>
      <w:outlineLvl w:val="2"/>
    </w:pPr>
    <w:rPr>
      <w:rFonts w:asciiTheme="majorHAnsi" w:eastAsiaTheme="majorEastAsia" w:hAnsiTheme="majorHAnsi" w:cstheme="majorBidi"/>
      <w:color w:val="0A2F40" w:themeColor="accent1" w:themeShade="7F"/>
      <w:szCs w:val="24"/>
    </w:rPr>
  </w:style>
  <w:style w:type="paragraph" w:styleId="Heading5">
    <w:name w:val="heading 5"/>
    <w:basedOn w:val="Normal"/>
    <w:next w:val="Normal"/>
    <w:link w:val="Heading5Char"/>
    <w:uiPriority w:val="9"/>
    <w:semiHidden/>
    <w:unhideWhenUsed/>
    <w:qFormat/>
    <w:rsid w:val="00DE549B"/>
    <w:pPr>
      <w:keepNext/>
      <w:keepLines/>
      <w:spacing w:before="80" w:after="40"/>
      <w:outlineLvl w:val="4"/>
    </w:pPr>
    <w:rPr>
      <w:rFonts w:ascii="Aptos" w:hAnsi="Aptos"/>
      <w:color w:val="0F4761"/>
      <w:kern w:val="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C11220"/>
    <w:pPr>
      <w:tabs>
        <w:tab w:val="left" w:pos="648"/>
        <w:tab w:val="right" w:pos="7776"/>
        <w:tab w:val="left" w:pos="7848"/>
      </w:tabs>
    </w:pPr>
  </w:style>
  <w:style w:type="paragraph" w:styleId="Footer">
    <w:name w:val="footer"/>
    <w:basedOn w:val="Normal"/>
    <w:link w:val="FooterChar"/>
    <w:rsid w:val="00C11220"/>
    <w:pPr>
      <w:tabs>
        <w:tab w:val="center" w:pos="4320"/>
        <w:tab w:val="right" w:pos="8640"/>
      </w:tabs>
    </w:pPr>
  </w:style>
  <w:style w:type="character" w:customStyle="1" w:styleId="FooterChar">
    <w:name w:val="Footer Char"/>
    <w:link w:val="Footer"/>
    <w:rsid w:val="00C11220"/>
    <w:rPr>
      <w:rFonts w:ascii="Times New Roman" w:eastAsia="Times New Roman" w:hAnsi="Times New Roman" w:cs="Times New Roman"/>
      <w:sz w:val="24"/>
      <w:szCs w:val="20"/>
    </w:rPr>
  </w:style>
  <w:style w:type="paragraph" w:styleId="NormalWeb">
    <w:name w:val="Normal (Web)"/>
    <w:basedOn w:val="Normal"/>
    <w:uiPriority w:val="99"/>
    <w:unhideWhenUsed/>
    <w:rsid w:val="00C11220"/>
    <w:pPr>
      <w:spacing w:before="100" w:beforeAutospacing="1" w:after="100" w:afterAutospacing="1"/>
    </w:pPr>
    <w:rPr>
      <w:szCs w:val="24"/>
      <w:lang w:val="es-PR" w:eastAsia="es-PR"/>
    </w:rPr>
  </w:style>
  <w:style w:type="paragraph" w:styleId="NoSpacing">
    <w:name w:val="No Spacing"/>
    <w:uiPriority w:val="1"/>
    <w:qFormat/>
    <w:rsid w:val="00C11220"/>
    <w:rPr>
      <w:rFonts w:ascii="Times New Roman" w:eastAsia="Times New Roman" w:hAnsi="Times New Roman"/>
      <w:sz w:val="24"/>
    </w:rPr>
  </w:style>
  <w:style w:type="paragraph" w:styleId="BalloonText">
    <w:name w:val="Balloon Text"/>
    <w:basedOn w:val="Normal"/>
    <w:link w:val="BalloonTextChar"/>
    <w:uiPriority w:val="99"/>
    <w:semiHidden/>
    <w:unhideWhenUsed/>
    <w:rsid w:val="00D63DFA"/>
    <w:rPr>
      <w:rFonts w:ascii="Segoe UI" w:hAnsi="Segoe UI" w:cs="Segoe UI"/>
      <w:sz w:val="18"/>
      <w:szCs w:val="18"/>
    </w:rPr>
  </w:style>
  <w:style w:type="character" w:customStyle="1" w:styleId="BalloonTextChar">
    <w:name w:val="Balloon Text Char"/>
    <w:link w:val="BalloonText"/>
    <w:uiPriority w:val="99"/>
    <w:semiHidden/>
    <w:rsid w:val="00D63DFA"/>
    <w:rPr>
      <w:rFonts w:ascii="Segoe UI" w:eastAsia="Times New Roman" w:hAnsi="Segoe UI" w:cs="Segoe UI"/>
      <w:sz w:val="18"/>
      <w:szCs w:val="18"/>
    </w:rPr>
  </w:style>
  <w:style w:type="paragraph" w:styleId="ListParagraph">
    <w:name w:val="List Paragraph"/>
    <w:basedOn w:val="Normal"/>
    <w:uiPriority w:val="34"/>
    <w:qFormat/>
    <w:rsid w:val="00063100"/>
    <w:pPr>
      <w:ind w:left="720"/>
    </w:pPr>
  </w:style>
  <w:style w:type="character" w:styleId="Strong">
    <w:name w:val="Strong"/>
    <w:uiPriority w:val="22"/>
    <w:qFormat/>
    <w:rsid w:val="00077A90"/>
    <w:rPr>
      <w:b/>
      <w:bCs/>
    </w:rPr>
  </w:style>
  <w:style w:type="paragraph" w:styleId="EndnoteText">
    <w:name w:val="endnote text"/>
    <w:basedOn w:val="Normal"/>
    <w:link w:val="EndnoteTextChar"/>
    <w:uiPriority w:val="99"/>
    <w:semiHidden/>
    <w:unhideWhenUsed/>
    <w:rsid w:val="00DD0559"/>
    <w:rPr>
      <w:sz w:val="20"/>
    </w:rPr>
  </w:style>
  <w:style w:type="character" w:customStyle="1" w:styleId="EndnoteTextChar">
    <w:name w:val="Endnote Text Char"/>
    <w:link w:val="EndnoteText"/>
    <w:uiPriority w:val="99"/>
    <w:semiHidden/>
    <w:rsid w:val="00DD0559"/>
    <w:rPr>
      <w:rFonts w:ascii="Times New Roman" w:eastAsia="Times New Roman" w:hAnsi="Times New Roman"/>
      <w:lang w:val="en-US"/>
    </w:rPr>
  </w:style>
  <w:style w:type="character" w:styleId="EndnoteReference">
    <w:name w:val="endnote reference"/>
    <w:uiPriority w:val="99"/>
    <w:semiHidden/>
    <w:unhideWhenUsed/>
    <w:rsid w:val="00DD0559"/>
    <w:rPr>
      <w:vertAlign w:val="superscript"/>
    </w:rPr>
  </w:style>
  <w:style w:type="character" w:customStyle="1" w:styleId="Heading5Char">
    <w:name w:val="Heading 5 Char"/>
    <w:link w:val="Heading5"/>
    <w:uiPriority w:val="9"/>
    <w:semiHidden/>
    <w:rsid w:val="00DE549B"/>
    <w:rPr>
      <w:rFonts w:ascii="Aptos" w:eastAsia="Times New Roman" w:hAnsi="Aptos"/>
      <w:color w:val="0F4761"/>
      <w:kern w:val="2"/>
      <w:sz w:val="24"/>
      <w:szCs w:val="24"/>
    </w:rPr>
  </w:style>
  <w:style w:type="paragraph" w:customStyle="1" w:styleId="xgmail-msonospacing">
    <w:name w:val="x_gmail-msonospacing"/>
    <w:basedOn w:val="Normal"/>
    <w:rsid w:val="006E14B4"/>
    <w:pPr>
      <w:spacing w:before="100" w:beforeAutospacing="1" w:after="100" w:afterAutospacing="1"/>
    </w:pPr>
    <w:rPr>
      <w:szCs w:val="24"/>
    </w:rPr>
  </w:style>
  <w:style w:type="paragraph" w:styleId="Header">
    <w:name w:val="header"/>
    <w:basedOn w:val="Normal"/>
    <w:link w:val="HeaderChar"/>
    <w:uiPriority w:val="99"/>
    <w:unhideWhenUsed/>
    <w:rsid w:val="00A77674"/>
    <w:pPr>
      <w:tabs>
        <w:tab w:val="center" w:pos="4680"/>
        <w:tab w:val="right" w:pos="9360"/>
      </w:tabs>
    </w:pPr>
  </w:style>
  <w:style w:type="character" w:customStyle="1" w:styleId="HeaderChar">
    <w:name w:val="Header Char"/>
    <w:basedOn w:val="DefaultParagraphFont"/>
    <w:link w:val="Header"/>
    <w:uiPriority w:val="99"/>
    <w:rsid w:val="00A77674"/>
    <w:rPr>
      <w:rFonts w:ascii="Times New Roman" w:eastAsia="Times New Roman" w:hAnsi="Times New Roman"/>
      <w:sz w:val="24"/>
    </w:rPr>
  </w:style>
  <w:style w:type="character" w:customStyle="1" w:styleId="Heading1Char">
    <w:name w:val="Heading 1 Char"/>
    <w:basedOn w:val="DefaultParagraphFont"/>
    <w:link w:val="Heading1"/>
    <w:uiPriority w:val="9"/>
    <w:rsid w:val="00ED30AA"/>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ED30AA"/>
    <w:rPr>
      <w:rFonts w:asciiTheme="majorHAnsi" w:eastAsiaTheme="majorEastAsia" w:hAnsiTheme="majorHAnsi" w:cstheme="majorBidi"/>
      <w:color w:val="0F4761" w:themeColor="accent1" w:themeShade="BF"/>
      <w:sz w:val="26"/>
      <w:szCs w:val="26"/>
    </w:rPr>
  </w:style>
  <w:style w:type="character" w:customStyle="1" w:styleId="Heading3Char">
    <w:name w:val="Heading 3 Char"/>
    <w:basedOn w:val="DefaultParagraphFont"/>
    <w:link w:val="Heading3"/>
    <w:uiPriority w:val="9"/>
    <w:semiHidden/>
    <w:rsid w:val="00ED30AA"/>
    <w:rPr>
      <w:rFonts w:asciiTheme="majorHAnsi" w:eastAsiaTheme="majorEastAsia" w:hAnsiTheme="majorHAnsi" w:cstheme="majorBidi"/>
      <w:color w:val="0A2F40" w:themeColor="accent1" w:themeShade="7F"/>
      <w:sz w:val="24"/>
      <w:szCs w:val="24"/>
    </w:rPr>
  </w:style>
  <w:style w:type="character" w:customStyle="1" w:styleId="s2">
    <w:name w:val="s2"/>
    <w:rsid w:val="00A30C0A"/>
    <w:rPr>
      <w:rFonts w:ascii="Times New Roman" w:hAnsi="Times New Roman" w:cs="Times New Roman" w:hint="default"/>
      <w:b w:val="0"/>
      <w:bCs w:val="0"/>
      <w:i w:val="0"/>
      <w:iCs w:val="0"/>
      <w:sz w:val="18"/>
      <w:szCs w:val="18"/>
    </w:rPr>
  </w:style>
  <w:style w:type="character" w:customStyle="1" w:styleId="s3">
    <w:name w:val="s3"/>
    <w:basedOn w:val="DefaultParagraphFont"/>
    <w:rsid w:val="00503F3C"/>
    <w:rPr>
      <w:rFonts w:ascii="Helvetica" w:hAnsi="Helvetica" w:hint="default"/>
      <w:b w:val="0"/>
      <w:bCs w:val="0"/>
      <w:i w:val="0"/>
      <w:iCs w:val="0"/>
      <w:sz w:val="15"/>
      <w:szCs w:val="15"/>
    </w:rPr>
  </w:style>
  <w:style w:type="character" w:customStyle="1" w:styleId="s4">
    <w:name w:val="s4"/>
    <w:basedOn w:val="DefaultParagraphFont"/>
    <w:rsid w:val="00503F3C"/>
    <w:rPr>
      <w:rFonts w:ascii="Arial" w:hAnsi="Arial" w:cs="Arial" w:hint="default"/>
      <w:b w:val="0"/>
      <w:bCs w:val="0"/>
      <w:i w:val="0"/>
      <w:iCs w:val="0"/>
      <w:sz w:val="15"/>
      <w:szCs w:val="15"/>
    </w:rPr>
  </w:style>
  <w:style w:type="paragraph" w:styleId="FootnoteText">
    <w:name w:val="footnote text"/>
    <w:basedOn w:val="Normal"/>
    <w:link w:val="FootnoteTextChar"/>
    <w:uiPriority w:val="99"/>
    <w:unhideWhenUsed/>
    <w:rsid w:val="00D17736"/>
    <w:rPr>
      <w:sz w:val="20"/>
    </w:rPr>
  </w:style>
  <w:style w:type="character" w:customStyle="1" w:styleId="FootnoteTextChar">
    <w:name w:val="Footnote Text Char"/>
    <w:basedOn w:val="DefaultParagraphFont"/>
    <w:link w:val="FootnoteText"/>
    <w:uiPriority w:val="99"/>
    <w:rsid w:val="00D17736"/>
    <w:rPr>
      <w:rFonts w:ascii="Times New Roman" w:eastAsia="Times New Roman" w:hAnsi="Times New Roman"/>
    </w:rPr>
  </w:style>
  <w:style w:type="character" w:styleId="FootnoteReference">
    <w:name w:val="footnote reference"/>
    <w:basedOn w:val="DefaultParagraphFont"/>
    <w:uiPriority w:val="99"/>
    <w:semiHidden/>
    <w:unhideWhenUsed/>
    <w:rsid w:val="00D17736"/>
    <w:rPr>
      <w:vertAlign w:val="superscript"/>
    </w:rPr>
  </w:style>
  <w:style w:type="character" w:styleId="Hyperlink">
    <w:name w:val="Hyperlink"/>
    <w:basedOn w:val="DefaultParagraphFont"/>
    <w:uiPriority w:val="99"/>
    <w:unhideWhenUsed/>
    <w:rsid w:val="00883C0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271022">
      <w:bodyDiv w:val="1"/>
      <w:marLeft w:val="0"/>
      <w:marRight w:val="0"/>
      <w:marTop w:val="0"/>
      <w:marBottom w:val="0"/>
      <w:divBdr>
        <w:top w:val="none" w:sz="0" w:space="0" w:color="auto"/>
        <w:left w:val="none" w:sz="0" w:space="0" w:color="auto"/>
        <w:bottom w:val="none" w:sz="0" w:space="0" w:color="auto"/>
        <w:right w:val="none" w:sz="0" w:space="0" w:color="auto"/>
      </w:divBdr>
    </w:div>
    <w:div w:id="190610019">
      <w:bodyDiv w:val="1"/>
      <w:marLeft w:val="0"/>
      <w:marRight w:val="0"/>
      <w:marTop w:val="0"/>
      <w:marBottom w:val="0"/>
      <w:divBdr>
        <w:top w:val="none" w:sz="0" w:space="0" w:color="auto"/>
        <w:left w:val="none" w:sz="0" w:space="0" w:color="auto"/>
        <w:bottom w:val="none" w:sz="0" w:space="0" w:color="auto"/>
        <w:right w:val="none" w:sz="0" w:space="0" w:color="auto"/>
      </w:divBdr>
    </w:div>
    <w:div w:id="318198405">
      <w:bodyDiv w:val="1"/>
      <w:marLeft w:val="0"/>
      <w:marRight w:val="0"/>
      <w:marTop w:val="0"/>
      <w:marBottom w:val="0"/>
      <w:divBdr>
        <w:top w:val="none" w:sz="0" w:space="0" w:color="auto"/>
        <w:left w:val="none" w:sz="0" w:space="0" w:color="auto"/>
        <w:bottom w:val="none" w:sz="0" w:space="0" w:color="auto"/>
        <w:right w:val="none" w:sz="0" w:space="0" w:color="auto"/>
      </w:divBdr>
      <w:divsChild>
        <w:div w:id="147946111">
          <w:marLeft w:val="0"/>
          <w:marRight w:val="0"/>
          <w:marTop w:val="0"/>
          <w:marBottom w:val="0"/>
          <w:divBdr>
            <w:top w:val="none" w:sz="0" w:space="0" w:color="auto"/>
            <w:left w:val="none" w:sz="0" w:space="0" w:color="auto"/>
            <w:bottom w:val="none" w:sz="0" w:space="0" w:color="auto"/>
            <w:right w:val="none" w:sz="0" w:space="0" w:color="auto"/>
          </w:divBdr>
        </w:div>
      </w:divsChild>
    </w:div>
    <w:div w:id="517499240">
      <w:bodyDiv w:val="1"/>
      <w:marLeft w:val="0"/>
      <w:marRight w:val="0"/>
      <w:marTop w:val="0"/>
      <w:marBottom w:val="0"/>
      <w:divBdr>
        <w:top w:val="none" w:sz="0" w:space="0" w:color="auto"/>
        <w:left w:val="none" w:sz="0" w:space="0" w:color="auto"/>
        <w:bottom w:val="none" w:sz="0" w:space="0" w:color="auto"/>
        <w:right w:val="none" w:sz="0" w:space="0" w:color="auto"/>
      </w:divBdr>
      <w:divsChild>
        <w:div w:id="168563454">
          <w:marLeft w:val="0"/>
          <w:marRight w:val="0"/>
          <w:marTop w:val="0"/>
          <w:marBottom w:val="0"/>
          <w:divBdr>
            <w:top w:val="none" w:sz="0" w:space="0" w:color="auto"/>
            <w:left w:val="none" w:sz="0" w:space="0" w:color="auto"/>
            <w:bottom w:val="none" w:sz="0" w:space="0" w:color="auto"/>
            <w:right w:val="none" w:sz="0" w:space="0" w:color="auto"/>
          </w:divBdr>
        </w:div>
      </w:divsChild>
    </w:div>
    <w:div w:id="582641281">
      <w:bodyDiv w:val="1"/>
      <w:marLeft w:val="0"/>
      <w:marRight w:val="0"/>
      <w:marTop w:val="0"/>
      <w:marBottom w:val="0"/>
      <w:divBdr>
        <w:top w:val="none" w:sz="0" w:space="0" w:color="auto"/>
        <w:left w:val="none" w:sz="0" w:space="0" w:color="auto"/>
        <w:bottom w:val="none" w:sz="0" w:space="0" w:color="auto"/>
        <w:right w:val="none" w:sz="0" w:space="0" w:color="auto"/>
      </w:divBdr>
    </w:div>
    <w:div w:id="1548488197">
      <w:bodyDiv w:val="1"/>
      <w:marLeft w:val="0"/>
      <w:marRight w:val="0"/>
      <w:marTop w:val="0"/>
      <w:marBottom w:val="0"/>
      <w:divBdr>
        <w:top w:val="none" w:sz="0" w:space="0" w:color="auto"/>
        <w:left w:val="none" w:sz="0" w:space="0" w:color="auto"/>
        <w:bottom w:val="none" w:sz="0" w:space="0" w:color="auto"/>
        <w:right w:val="none" w:sz="0" w:space="0" w:color="auto"/>
      </w:divBdr>
    </w:div>
    <w:div w:id="1622806669">
      <w:bodyDiv w:val="1"/>
      <w:marLeft w:val="0"/>
      <w:marRight w:val="0"/>
      <w:marTop w:val="0"/>
      <w:marBottom w:val="0"/>
      <w:divBdr>
        <w:top w:val="none" w:sz="0" w:space="0" w:color="auto"/>
        <w:left w:val="none" w:sz="0" w:space="0" w:color="auto"/>
        <w:bottom w:val="none" w:sz="0" w:space="0" w:color="auto"/>
        <w:right w:val="none" w:sz="0" w:space="0" w:color="auto"/>
      </w:divBdr>
    </w:div>
    <w:div w:id="1659765151">
      <w:bodyDiv w:val="1"/>
      <w:marLeft w:val="0"/>
      <w:marRight w:val="0"/>
      <w:marTop w:val="0"/>
      <w:marBottom w:val="0"/>
      <w:divBdr>
        <w:top w:val="none" w:sz="0" w:space="0" w:color="auto"/>
        <w:left w:val="none" w:sz="0" w:space="0" w:color="auto"/>
        <w:bottom w:val="none" w:sz="0" w:space="0" w:color="auto"/>
        <w:right w:val="none" w:sz="0" w:space="0" w:color="auto"/>
      </w:divBdr>
      <w:divsChild>
        <w:div w:id="864058146">
          <w:marLeft w:val="0"/>
          <w:marRight w:val="0"/>
          <w:marTop w:val="0"/>
          <w:marBottom w:val="0"/>
          <w:divBdr>
            <w:top w:val="none" w:sz="0" w:space="0" w:color="auto"/>
            <w:left w:val="none" w:sz="0" w:space="0" w:color="auto"/>
            <w:bottom w:val="none" w:sz="0" w:space="0" w:color="auto"/>
            <w:right w:val="none" w:sz="0" w:space="0" w:color="auto"/>
          </w:divBdr>
        </w:div>
      </w:divsChild>
    </w:div>
    <w:div w:id="1673333098">
      <w:bodyDiv w:val="1"/>
      <w:marLeft w:val="0"/>
      <w:marRight w:val="0"/>
      <w:marTop w:val="0"/>
      <w:marBottom w:val="0"/>
      <w:divBdr>
        <w:top w:val="none" w:sz="0" w:space="0" w:color="auto"/>
        <w:left w:val="none" w:sz="0" w:space="0" w:color="auto"/>
        <w:bottom w:val="none" w:sz="0" w:space="0" w:color="auto"/>
        <w:right w:val="none" w:sz="0" w:space="0" w:color="auto"/>
      </w:divBdr>
      <w:divsChild>
        <w:div w:id="8454871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4SQX5P7U7WPY-958212181-811592</_dlc_DocId>
    <_dlc_DocIdUrl xmlns="c890fddd-4e87-4e08-8b51-545f2a3f7b06">
      <Url>https://senpr.sharepoint.com/sites/obralegislativa/_layouts/15/DocIdRedir.aspx?ID=4SQX5P7U7WPY-958212181-811592</Url>
      <Description>4SQX5P7U7WPY-958212181-811592</Description>
    </_dlc_DocIdUrl>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EE9DA15-E3E9-476E-A26C-61B465D5EDB3}">
  <ds:schemaRefs>
    <ds:schemaRef ds:uri="http://schemas.microsoft.com/sharepoint/events"/>
  </ds:schemaRefs>
</ds:datastoreItem>
</file>

<file path=customXml/itemProps2.xml><?xml version="1.0" encoding="utf-8"?>
<ds:datastoreItem xmlns:ds="http://schemas.openxmlformats.org/officeDocument/2006/customXml" ds:itemID="{9C12A117-4C75-43B3-9091-B382768005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0B12C5E-EFFC-4B9D-B08F-78E3CFC8A79F}">
  <ds:schemaRefs>
    <ds:schemaRef ds:uri="http://schemas.openxmlformats.org/officeDocument/2006/bibliography"/>
  </ds:schemaRefs>
</ds:datastoreItem>
</file>

<file path=customXml/itemProps4.xml><?xml version="1.0" encoding="utf-8"?>
<ds:datastoreItem xmlns:ds="http://schemas.openxmlformats.org/officeDocument/2006/customXml" ds:itemID="{0922093A-62E4-406B-8101-44A83490B1CC}">
  <ds:schemaRefs>
    <ds:schemaRef ds:uri="http://schemas.microsoft.com/office/2006/metadata/longProperties"/>
  </ds:schemaRefs>
</ds:datastoreItem>
</file>

<file path=customXml/itemProps5.xml><?xml version="1.0" encoding="utf-8"?>
<ds:datastoreItem xmlns:ds="http://schemas.openxmlformats.org/officeDocument/2006/customXml" ds:itemID="{36C9D3D4-00A0-4669-94C5-0E316DC8FF5C}">
  <ds:schemaRefs>
    <ds:schemaRef ds:uri="http://schemas.microsoft.com/office/2006/metadata/properties"/>
    <ds:schemaRef ds:uri="http://schemas.microsoft.com/office/infopath/2007/PartnerControls"/>
    <ds:schemaRef ds:uri="c890fddd-4e87-4e08-8b51-545f2a3f7b06"/>
    <ds:schemaRef ds:uri="http://schemas.microsoft.com/sharepoint/v3"/>
    <ds:schemaRef ds:uri="f29de0d1-023e-4363-82d3-bb472b30be6a"/>
  </ds:schemaRefs>
</ds:datastoreItem>
</file>

<file path=customXml/itemProps6.xml><?xml version="1.0" encoding="utf-8"?>
<ds:datastoreItem xmlns:ds="http://schemas.openxmlformats.org/officeDocument/2006/customXml" ds:itemID="{1D4F2234-3033-4958-A670-D790E3B0462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1548</Words>
  <Characters>8830</Characters>
  <Application>Microsoft Office Word</Application>
  <DocSecurity>4</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Izael O. Santiago (Sen. Trujillo Plumey)</dc:creator>
  <cp:keywords/>
  <dc:description/>
  <cp:lastModifiedBy>Camyl Moreno Pantojas</cp:lastModifiedBy>
  <cp:revision>2</cp:revision>
  <cp:lastPrinted>2026-05-14T19:53:00Z</cp:lastPrinted>
  <dcterms:created xsi:type="dcterms:W3CDTF">2026-05-27T13:49:00Z</dcterms:created>
  <dcterms:modified xsi:type="dcterms:W3CDTF">2026-05-27T13:49:00Z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4SQX5P7U7WPY-958212181-795331</vt:lpwstr>
  </property>
  <property fmtid="{D5CDD505-2E9C-101B-9397-08002B2CF9AE}" pid="3" name="_dlc_DocIdItemGuid">
    <vt:lpwstr>2cdfeedf-23e9-402c-b1e9-dd06a9303bab</vt:lpwstr>
  </property>
  <property fmtid="{D5CDD505-2E9C-101B-9397-08002B2CF9AE}" pid="4" name="_dlc_DocIdUrl">
    <vt:lpwstr>https://senpr.sharepoint.com/sites/obralegislativa/_layouts/15/DocIdRedir.aspx?ID=4SQX5P7U7WPY-958212181-795331, 4SQX5P7U7WPY-958212181-795331</vt:lpwstr>
  </property>
  <property fmtid="{D5CDD505-2E9C-101B-9397-08002B2CF9AE}" pid="5" name="ContentTypeId">
    <vt:lpwstr>0x0101008C58FC75B682744FB4A53C756BEDC3A3</vt:lpwstr>
  </property>
  <property fmtid="{D5CDD505-2E9C-101B-9397-08002B2CF9AE}" pid="6" name="MediaServiceImageTags">
    <vt:lpwstr/>
  </property>
</Properties>
</file>