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241CA" w14:textId="77777777" w:rsidR="003B60C3" w:rsidRPr="001C2F48" w:rsidRDefault="003B60C3" w:rsidP="003B60C3">
      <w:pPr>
        <w:jc w:val="center"/>
        <w:rPr>
          <w:rFonts w:ascii="Book Antiqua" w:hAnsi="Book Antiqua"/>
          <w:b/>
          <w:bCs/>
        </w:rPr>
      </w:pPr>
      <w:bookmarkStart w:id="0" w:name="_Hlk138253982"/>
      <w:r w:rsidRPr="001C2F48">
        <w:rPr>
          <w:rFonts w:ascii="Book Antiqua" w:hAnsi="Book Antiqua"/>
          <w:b/>
          <w:bCs/>
        </w:rPr>
        <w:t>(TEXTO DE APROBACIÓN FINAL POR LA CÁMARA)</w:t>
      </w:r>
      <w:r w:rsidRPr="001C2F48">
        <w:rPr>
          <w:rFonts w:ascii="Book Antiqua" w:hAnsi="Book Antiqua"/>
          <w:lang w:val="es-ES"/>
        </w:rPr>
        <w:fldChar w:fldCharType="begin"/>
      </w:r>
      <w:r w:rsidRPr="001C2F48">
        <w:rPr>
          <w:rFonts w:ascii="Book Antiqua" w:hAnsi="Book Antiqua"/>
          <w:b/>
          <w:bCs/>
        </w:rPr>
        <w:instrText xml:space="preserve">PRIVATE </w:instrText>
      </w:r>
      <w:r w:rsidRPr="001C2F48">
        <w:rPr>
          <w:rFonts w:ascii="Book Antiqua" w:hAnsi="Book Antiqua"/>
          <w:lang w:val="es-ES"/>
        </w:rPr>
        <w:fldChar w:fldCharType="end"/>
      </w:r>
    </w:p>
    <w:p w14:paraId="6CB2A6CA" w14:textId="185B975B" w:rsidR="003B60C3" w:rsidRPr="001C2F48" w:rsidRDefault="003B60C3" w:rsidP="003B60C3">
      <w:pPr>
        <w:jc w:val="center"/>
        <w:rPr>
          <w:rFonts w:ascii="Book Antiqua" w:hAnsi="Book Antiqua"/>
          <w:b/>
          <w:bCs/>
          <w:sz w:val="28"/>
          <w:szCs w:val="28"/>
        </w:rPr>
      </w:pPr>
      <w:r w:rsidRPr="001C2F48">
        <w:rPr>
          <w:rFonts w:ascii="Book Antiqua" w:hAnsi="Book Antiqua"/>
          <w:b/>
          <w:bCs/>
        </w:rPr>
        <w:t>(</w:t>
      </w:r>
      <w:r>
        <w:rPr>
          <w:rFonts w:ascii="Book Antiqua" w:hAnsi="Book Antiqua"/>
          <w:b/>
          <w:bCs/>
        </w:rPr>
        <w:t>7</w:t>
      </w:r>
      <w:r w:rsidRPr="001C2F48">
        <w:rPr>
          <w:rFonts w:ascii="Book Antiqua" w:hAnsi="Book Antiqua"/>
          <w:b/>
          <w:bCs/>
        </w:rPr>
        <w:t xml:space="preserve"> DE </w:t>
      </w:r>
      <w:r>
        <w:rPr>
          <w:rFonts w:ascii="Book Antiqua" w:hAnsi="Book Antiqua"/>
          <w:b/>
          <w:bCs/>
        </w:rPr>
        <w:t xml:space="preserve">ABRIL </w:t>
      </w:r>
      <w:r w:rsidRPr="001C2F48">
        <w:rPr>
          <w:rFonts w:ascii="Book Antiqua" w:hAnsi="Book Antiqua"/>
          <w:b/>
          <w:bCs/>
        </w:rPr>
        <w:t>DE 2025)</w:t>
      </w:r>
    </w:p>
    <w:p w14:paraId="1CB58D5E" w14:textId="67AFCCC2" w:rsidR="003B60C3" w:rsidRPr="001C2F48" w:rsidRDefault="003B60C3" w:rsidP="003B60C3">
      <w:pPr>
        <w:jc w:val="center"/>
        <w:rPr>
          <w:rFonts w:ascii="Book Antiqua" w:hAnsi="Book Antiqua"/>
          <w:b/>
          <w:bCs/>
          <w:sz w:val="28"/>
          <w:szCs w:val="28"/>
          <w:lang w:val="es-ES_tradnl"/>
        </w:rPr>
      </w:pPr>
      <w:r w:rsidRPr="001C2F48">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39BCAD54" wp14:editId="1021470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8AF7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r>
        <w:rPr>
          <w:rFonts w:ascii="Book Antiqua" w:hAnsi="Book Antiqua"/>
          <w:sz w:val="28"/>
          <w:szCs w:val="28"/>
        </w:rPr>
        <w:t xml:space="preserve"> </w:t>
      </w:r>
    </w:p>
    <w:p w14:paraId="79550656" w14:textId="231C6409" w:rsidR="00FF2214" w:rsidRPr="001B65EB" w:rsidRDefault="00850770">
      <w:pPr>
        <w:jc w:val="center"/>
        <w:rPr>
          <w:rFonts w:ascii="Book Antiqua" w:eastAsia="Book Antiqua" w:hAnsi="Book Antiqua" w:cs="Book Antiqua"/>
          <w:bCs/>
          <w:color w:val="000000" w:themeColor="text1"/>
          <w:sz w:val="28"/>
          <w:szCs w:val="28"/>
        </w:rPr>
      </w:pPr>
      <w:r w:rsidRPr="001B65EB">
        <w:rPr>
          <w:rFonts w:ascii="Book Antiqua" w:eastAsia="Book Antiqua" w:hAnsi="Book Antiqua" w:cs="Book Antiqua"/>
          <w:bCs/>
          <w:color w:val="000000" w:themeColor="text1"/>
          <w:sz w:val="28"/>
          <w:szCs w:val="28"/>
        </w:rPr>
        <w:t xml:space="preserve">GOBIERNO DE </w:t>
      </w:r>
      <w:sdt>
        <w:sdtPr>
          <w:rPr>
            <w:bCs/>
            <w:color w:val="000000" w:themeColor="text1"/>
            <w:sz w:val="28"/>
            <w:szCs w:val="28"/>
          </w:rPr>
          <w:tag w:val="goog_rdk_0"/>
          <w:id w:val="-2063775325"/>
        </w:sdtPr>
        <w:sdtEndPr/>
        <w:sdtContent/>
      </w:sdt>
      <w:r w:rsidRPr="001B65EB">
        <w:rPr>
          <w:rFonts w:ascii="Book Antiqua" w:eastAsia="Book Antiqua" w:hAnsi="Book Antiqua" w:cs="Book Antiqua"/>
          <w:bCs/>
          <w:color w:val="000000" w:themeColor="text1"/>
          <w:sz w:val="28"/>
          <w:szCs w:val="28"/>
        </w:rPr>
        <w:t>PUERTO RICO</w:t>
      </w:r>
    </w:p>
    <w:p w14:paraId="79550657" w14:textId="77777777" w:rsidR="00FF2214" w:rsidRPr="007F2135" w:rsidRDefault="00FF2214">
      <w:pPr>
        <w:jc w:val="center"/>
        <w:rPr>
          <w:rFonts w:ascii="Book Antiqua" w:eastAsia="Book Antiqua" w:hAnsi="Book Antiqua" w:cs="Book Antiqua"/>
          <w:color w:val="000000" w:themeColor="text1"/>
        </w:rPr>
      </w:pPr>
    </w:p>
    <w:p w14:paraId="79550658"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 xml:space="preserve">20 </w:t>
      </w:r>
      <w:r w:rsidRPr="007F2135">
        <w:rPr>
          <w:rFonts w:ascii="Book Antiqua" w:eastAsia="Book Antiqua" w:hAnsi="Book Antiqua" w:cs="Book Antiqua"/>
          <w:color w:val="000000" w:themeColor="text1"/>
          <w:vertAlign w:val="superscript"/>
        </w:rPr>
        <w:t>ma.</w:t>
      </w:r>
      <w:r w:rsidRPr="007F2135">
        <w:rPr>
          <w:rFonts w:ascii="Book Antiqua" w:eastAsia="Book Antiqua" w:hAnsi="Book Antiqua" w:cs="Book Antiqua"/>
          <w:color w:val="000000" w:themeColor="text1"/>
        </w:rPr>
        <w:tab/>
        <w:t>Asamblea</w:t>
      </w:r>
      <w:r w:rsidRPr="007F2135">
        <w:rPr>
          <w:rFonts w:ascii="Book Antiqua" w:eastAsia="Book Antiqua" w:hAnsi="Book Antiqua" w:cs="Book Antiqua"/>
          <w:color w:val="000000" w:themeColor="text1"/>
        </w:rPr>
        <w:tab/>
        <w:t>1</w:t>
      </w:r>
      <w:r w:rsidRPr="007F2135">
        <w:rPr>
          <w:rFonts w:ascii="Book Antiqua" w:eastAsia="Book Antiqua" w:hAnsi="Book Antiqua" w:cs="Book Antiqua"/>
          <w:color w:val="000000" w:themeColor="text1"/>
          <w:vertAlign w:val="superscript"/>
        </w:rPr>
        <w:t>ra.</w:t>
      </w:r>
      <w:r w:rsidRPr="007F2135">
        <w:rPr>
          <w:rFonts w:ascii="Book Antiqua" w:eastAsia="Book Antiqua" w:hAnsi="Book Antiqua" w:cs="Book Antiqua"/>
          <w:color w:val="000000" w:themeColor="text1"/>
          <w:vertAlign w:val="superscript"/>
        </w:rPr>
        <w:tab/>
      </w:r>
      <w:r w:rsidRPr="007F2135">
        <w:rPr>
          <w:rFonts w:ascii="Book Antiqua" w:eastAsia="Book Antiqua" w:hAnsi="Book Antiqua" w:cs="Book Antiqua"/>
          <w:color w:val="000000" w:themeColor="text1"/>
        </w:rPr>
        <w:t>Sesión</w:t>
      </w:r>
    </w:p>
    <w:p w14:paraId="79550659" w14:textId="77777777" w:rsidR="00FF2214" w:rsidRPr="007F2135" w:rsidRDefault="00850770">
      <w:pPr>
        <w:tabs>
          <w:tab w:val="left" w:pos="648"/>
          <w:tab w:val="right" w:pos="7776"/>
          <w:tab w:val="left" w:pos="7848"/>
        </w:tabs>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ab/>
        <w:t>Legislativa</w:t>
      </w:r>
      <w:r w:rsidRPr="007F2135">
        <w:rPr>
          <w:rFonts w:ascii="Book Antiqua" w:eastAsia="Book Antiqua" w:hAnsi="Book Antiqua" w:cs="Book Antiqua"/>
          <w:color w:val="000000" w:themeColor="text1"/>
        </w:rPr>
        <w:tab/>
      </w:r>
      <w:r w:rsidRPr="007F2135">
        <w:rPr>
          <w:rFonts w:ascii="Book Antiqua" w:eastAsia="Book Antiqua" w:hAnsi="Book Antiqua" w:cs="Book Antiqua"/>
          <w:color w:val="000000" w:themeColor="text1"/>
        </w:rPr>
        <w:tab/>
        <w:t>Ordinaria</w:t>
      </w:r>
    </w:p>
    <w:p w14:paraId="7955065A" w14:textId="77777777" w:rsidR="00FF2214" w:rsidRPr="007F2135" w:rsidRDefault="00FF2214">
      <w:pPr>
        <w:rPr>
          <w:rFonts w:ascii="Book Antiqua" w:eastAsia="Book Antiqua" w:hAnsi="Book Antiqua" w:cs="Book Antiqua"/>
          <w:color w:val="000000" w:themeColor="text1"/>
        </w:rPr>
      </w:pPr>
    </w:p>
    <w:p w14:paraId="32A931BE" w14:textId="77777777" w:rsidR="00950505" w:rsidRPr="007F2135" w:rsidRDefault="00950505" w:rsidP="00950505">
      <w:pPr>
        <w:jc w:val="center"/>
        <w:rPr>
          <w:rFonts w:ascii="Book Antiqua" w:hAnsi="Book Antiqua"/>
          <w:b/>
          <w:color w:val="000000" w:themeColor="text1"/>
          <w:sz w:val="36"/>
          <w:szCs w:val="36"/>
        </w:rPr>
      </w:pPr>
      <w:r w:rsidRPr="007F2135">
        <w:rPr>
          <w:rFonts w:ascii="Book Antiqua" w:hAnsi="Book Antiqua"/>
          <w:b/>
          <w:color w:val="000000" w:themeColor="text1"/>
          <w:sz w:val="36"/>
          <w:szCs w:val="36"/>
        </w:rPr>
        <w:t>CÁMARA DE REPRESENTANTES</w:t>
      </w:r>
    </w:p>
    <w:p w14:paraId="1FE61380" w14:textId="77777777" w:rsidR="00950505" w:rsidRPr="007F2135" w:rsidRDefault="00950505" w:rsidP="00950505">
      <w:pPr>
        <w:jc w:val="center"/>
        <w:rPr>
          <w:rFonts w:ascii="Book Antiqua" w:hAnsi="Book Antiqua"/>
          <w:color w:val="000000" w:themeColor="text1"/>
        </w:rPr>
      </w:pPr>
    </w:p>
    <w:p w14:paraId="5886E84B" w14:textId="00BF29B8" w:rsidR="00950505" w:rsidRPr="007F2135" w:rsidRDefault="00950505" w:rsidP="00950505">
      <w:pPr>
        <w:jc w:val="center"/>
        <w:rPr>
          <w:rFonts w:ascii="Book Antiqua" w:hAnsi="Book Antiqua"/>
          <w:b/>
          <w:color w:val="000000" w:themeColor="text1"/>
          <w:sz w:val="52"/>
          <w:szCs w:val="52"/>
        </w:rPr>
      </w:pPr>
      <w:r w:rsidRPr="007F2135">
        <w:rPr>
          <w:rFonts w:ascii="Book Antiqua" w:hAnsi="Book Antiqua"/>
          <w:b/>
          <w:color w:val="000000" w:themeColor="text1"/>
          <w:sz w:val="52"/>
          <w:szCs w:val="52"/>
        </w:rPr>
        <w:t>P. de la C.</w:t>
      </w:r>
      <w:r w:rsidR="000D67BA">
        <w:rPr>
          <w:rFonts w:ascii="Book Antiqua" w:hAnsi="Book Antiqua"/>
          <w:b/>
          <w:color w:val="000000" w:themeColor="text1"/>
          <w:sz w:val="52"/>
          <w:szCs w:val="52"/>
        </w:rPr>
        <w:t xml:space="preserve"> 498</w:t>
      </w:r>
    </w:p>
    <w:p w14:paraId="4A8A7A6F" w14:textId="77777777" w:rsidR="00950505" w:rsidRPr="007F2135" w:rsidRDefault="00950505" w:rsidP="00950505">
      <w:pPr>
        <w:jc w:val="center"/>
        <w:rPr>
          <w:rFonts w:ascii="Book Antiqua" w:hAnsi="Book Antiqua"/>
          <w:color w:val="000000" w:themeColor="text1"/>
        </w:rPr>
      </w:pPr>
    </w:p>
    <w:p w14:paraId="3D87D176" w14:textId="3E757D40" w:rsidR="00950505" w:rsidRPr="007F2135" w:rsidRDefault="000D67BA" w:rsidP="00950505">
      <w:pPr>
        <w:jc w:val="center"/>
        <w:rPr>
          <w:rFonts w:ascii="Book Antiqua" w:hAnsi="Book Antiqua"/>
          <w:b/>
          <w:color w:val="000000" w:themeColor="text1"/>
          <w:sz w:val="48"/>
        </w:rPr>
      </w:pPr>
      <w:r>
        <w:rPr>
          <w:rFonts w:ascii="Book Antiqua" w:hAnsi="Book Antiqua"/>
          <w:caps/>
          <w:color w:val="000000" w:themeColor="text1"/>
        </w:rPr>
        <w:t xml:space="preserve">4 </w:t>
      </w:r>
      <w:r w:rsidR="00950505" w:rsidRPr="007F2135">
        <w:rPr>
          <w:rFonts w:ascii="Book Antiqua" w:hAnsi="Book Antiqua"/>
          <w:caps/>
          <w:color w:val="000000" w:themeColor="text1"/>
        </w:rPr>
        <w:t xml:space="preserve">de </w:t>
      </w:r>
      <w:r w:rsidR="00864305" w:rsidRPr="007F2135">
        <w:rPr>
          <w:rFonts w:ascii="Book Antiqua" w:hAnsi="Book Antiqua"/>
          <w:caps/>
          <w:color w:val="000000" w:themeColor="text1"/>
        </w:rPr>
        <w:t>abril</w:t>
      </w:r>
      <w:r w:rsidR="00950505" w:rsidRPr="007F2135">
        <w:rPr>
          <w:rFonts w:ascii="Book Antiqua" w:hAnsi="Book Antiqua"/>
          <w:caps/>
          <w:color w:val="000000" w:themeColor="text1"/>
        </w:rPr>
        <w:t xml:space="preserve"> de</w:t>
      </w:r>
      <w:r w:rsidR="00950505" w:rsidRPr="007F2135">
        <w:rPr>
          <w:rFonts w:ascii="Book Antiqua" w:hAnsi="Book Antiqua"/>
          <w:color w:val="000000" w:themeColor="text1"/>
          <w:sz w:val="22"/>
          <w:szCs w:val="22"/>
        </w:rPr>
        <w:t xml:space="preserve"> </w:t>
      </w:r>
      <w:r w:rsidR="00950505" w:rsidRPr="007F2135">
        <w:rPr>
          <w:rFonts w:ascii="Book Antiqua" w:hAnsi="Book Antiqua"/>
          <w:color w:val="000000" w:themeColor="text1"/>
        </w:rPr>
        <w:t>2025</w:t>
      </w:r>
    </w:p>
    <w:p w14:paraId="1E7B6D3E" w14:textId="77777777" w:rsidR="00950505" w:rsidRPr="007F2135" w:rsidRDefault="00950505" w:rsidP="00950505">
      <w:pPr>
        <w:jc w:val="center"/>
        <w:rPr>
          <w:rFonts w:ascii="Book Antiqua" w:hAnsi="Book Antiqua"/>
          <w:color w:val="000000" w:themeColor="text1"/>
        </w:rPr>
      </w:pPr>
    </w:p>
    <w:p w14:paraId="001AA10B" w14:textId="2388B596" w:rsidR="00950505" w:rsidRPr="007F2135" w:rsidRDefault="00950505" w:rsidP="00B00227">
      <w:pPr>
        <w:ind w:left="810" w:hanging="810"/>
        <w:jc w:val="both"/>
        <w:rPr>
          <w:rFonts w:ascii="Book Antiqua" w:eastAsia="Aptos" w:hAnsi="Book Antiqua"/>
          <w:i/>
          <w:iCs/>
          <w:kern w:val="2"/>
          <w14:ligatures w14:val="standardContextual"/>
        </w:rPr>
      </w:pPr>
      <w:r w:rsidRPr="007F2135">
        <w:rPr>
          <w:rFonts w:ascii="Book Antiqua" w:hAnsi="Book Antiqua"/>
          <w:color w:val="000000" w:themeColor="text1"/>
        </w:rPr>
        <w:t xml:space="preserve">Presentado </w:t>
      </w:r>
      <w:r w:rsidR="00B02CD9" w:rsidRPr="007F2135">
        <w:rPr>
          <w:rFonts w:ascii="Book Antiqua" w:eastAsia="Book Antiqua" w:hAnsi="Book Antiqua" w:cs="Book Antiqua"/>
          <w:color w:val="000000" w:themeColor="text1"/>
        </w:rPr>
        <w:t xml:space="preserve">por </w:t>
      </w:r>
      <w:r w:rsidR="00B02CD9" w:rsidRPr="007F2135">
        <w:rPr>
          <w:rFonts w:ascii="Book Antiqua" w:hAnsi="Book Antiqua"/>
        </w:rPr>
        <w:t xml:space="preserve">el representante </w:t>
      </w:r>
      <w:r w:rsidR="00B02CD9" w:rsidRPr="007F2135">
        <w:rPr>
          <w:rFonts w:ascii="Book Antiqua" w:hAnsi="Book Antiqua"/>
          <w:i/>
          <w:iCs/>
        </w:rPr>
        <w:t xml:space="preserve">Méndez Núñez;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Lebrón Rodríguez;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Peña Ramírez, Torres Zamora, Román López, Aponte Hernández, Carlo Acosta, Charbonier Chinea, Colón Rodríguez;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del Valle Correa;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Estévez Vélez, </w:t>
      </w:r>
      <w:proofErr w:type="spellStart"/>
      <w:r w:rsidR="00B02CD9" w:rsidRPr="007F2135">
        <w:rPr>
          <w:rFonts w:ascii="Book Antiqua" w:eastAsia="Aptos" w:hAnsi="Book Antiqua"/>
          <w:i/>
          <w:iCs/>
          <w:kern w:val="2"/>
          <w14:ligatures w14:val="standardContextual"/>
        </w:rPr>
        <w:t>Franqui</w:t>
      </w:r>
      <w:proofErr w:type="spellEnd"/>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Atiles</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González Aguayo, González </w:t>
      </w:r>
      <w:proofErr w:type="spellStart"/>
      <w:r w:rsidR="00B02CD9" w:rsidRPr="007F2135">
        <w:rPr>
          <w:rFonts w:ascii="Book Antiqua" w:eastAsia="Aptos" w:hAnsi="Book Antiqua"/>
          <w:i/>
          <w:iCs/>
          <w:kern w:val="2"/>
          <w14:ligatures w14:val="standardContextual"/>
        </w:rPr>
        <w:t>González</w:t>
      </w:r>
      <w:proofErr w:type="spellEnd"/>
      <w:r w:rsidR="00B02CD9" w:rsidRPr="007F2135">
        <w:rPr>
          <w:rFonts w:ascii="Book Antiqua" w:eastAsia="Aptos" w:hAnsi="Book Antiqua"/>
          <w:i/>
          <w:iCs/>
          <w:kern w:val="2"/>
          <w14:ligatures w14:val="standardContextual"/>
        </w:rPr>
        <w:t xml:space="preserve">;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Hernández Concepción, Jiménez Torres;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Martínez Vázquez, Medina Calderón;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w:t>
      </w:r>
      <w:proofErr w:type="spellStart"/>
      <w:r w:rsidR="00B02CD9" w:rsidRPr="007F2135">
        <w:rPr>
          <w:rFonts w:ascii="Book Antiqua" w:eastAsia="Aptos" w:hAnsi="Book Antiqua"/>
          <w:i/>
          <w:iCs/>
          <w:kern w:val="2"/>
          <w14:ligatures w14:val="standardContextual"/>
        </w:rPr>
        <w:t>Morey</w:t>
      </w:r>
      <w:proofErr w:type="spellEnd"/>
      <w:r w:rsidR="00B02CD9" w:rsidRPr="007F2135">
        <w:rPr>
          <w:rFonts w:ascii="Book Antiqua" w:eastAsia="Aptos" w:hAnsi="Book Antiqua"/>
          <w:i/>
          <w:iCs/>
          <w:kern w:val="2"/>
          <w14:ligatures w14:val="standardContextual"/>
        </w:rPr>
        <w:t xml:space="preserve"> Noble, Muriel Sánchez, Navarro Suárez, Nieves</w:t>
      </w:r>
      <w:r w:rsidR="00EB0D65" w:rsidRPr="007F2135">
        <w:rPr>
          <w:rFonts w:ascii="Book Antiqua" w:eastAsia="Aptos" w:hAnsi="Book Antiqua"/>
          <w:i/>
          <w:iCs/>
          <w:kern w:val="2"/>
          <w14:ligatures w14:val="standardContextual"/>
        </w:rPr>
        <w:t xml:space="preserve"> </w:t>
      </w:r>
      <w:r w:rsidR="00B02CD9" w:rsidRPr="007F2135">
        <w:rPr>
          <w:rFonts w:ascii="Book Antiqua" w:eastAsia="Aptos" w:hAnsi="Book Antiqua"/>
          <w:i/>
          <w:iCs/>
          <w:kern w:val="2"/>
          <w14:ligatures w14:val="standardContextual"/>
        </w:rPr>
        <w:t xml:space="preserve">Rosario, Ocasio Ramos, Pacheco Burgos, Parés Otero; </w:t>
      </w:r>
      <w:r w:rsidR="00B02CD9" w:rsidRPr="007F2135">
        <w:rPr>
          <w:rFonts w:ascii="Book Antiqua" w:eastAsia="Aptos" w:hAnsi="Book Antiqua"/>
          <w:kern w:val="2"/>
          <w14:ligatures w14:val="standardContextual"/>
        </w:rPr>
        <w:t>la representante</w:t>
      </w:r>
      <w:r w:rsidR="00B02CD9" w:rsidRPr="007F2135">
        <w:rPr>
          <w:rFonts w:ascii="Book Antiqua" w:eastAsia="Aptos" w:hAnsi="Book Antiqua"/>
          <w:i/>
          <w:iCs/>
          <w:kern w:val="2"/>
          <w14:ligatures w14:val="standardContextual"/>
        </w:rPr>
        <w:t xml:space="preserve"> Peña Dávila;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Pérez Cordero, Pérez Ortiz; </w:t>
      </w:r>
      <w:r w:rsidR="00B02CD9" w:rsidRPr="007F2135">
        <w:rPr>
          <w:rFonts w:ascii="Book Antiqua" w:eastAsia="Aptos" w:hAnsi="Book Antiqua"/>
          <w:kern w:val="2"/>
          <w14:ligatures w14:val="standardContextual"/>
        </w:rPr>
        <w:t>las representantes</w:t>
      </w:r>
      <w:r w:rsidR="00B02CD9" w:rsidRPr="007F2135">
        <w:rPr>
          <w:rFonts w:ascii="Book Antiqua" w:eastAsia="Aptos" w:hAnsi="Book Antiqua"/>
          <w:i/>
          <w:iCs/>
          <w:kern w:val="2"/>
          <w14:ligatures w14:val="standardContextual"/>
        </w:rPr>
        <w:t xml:space="preserve"> Pérez Ramírez, Ramos Rivera; </w:t>
      </w:r>
      <w:r w:rsidR="00B02CD9" w:rsidRPr="007F2135">
        <w:rPr>
          <w:rFonts w:ascii="Book Antiqua" w:eastAsia="Aptos" w:hAnsi="Book Antiqua"/>
          <w:kern w:val="2"/>
          <w14:ligatures w14:val="standardContextual"/>
        </w:rPr>
        <w:t>los representantes</w:t>
      </w:r>
      <w:r w:rsidR="00B02CD9" w:rsidRPr="007F2135">
        <w:rPr>
          <w:rFonts w:ascii="Book Antiqua" w:eastAsia="Aptos" w:hAnsi="Book Antiqua"/>
          <w:i/>
          <w:iCs/>
          <w:kern w:val="2"/>
          <w14:ligatures w14:val="standardContextual"/>
        </w:rPr>
        <w:t xml:space="preserve"> Robles Rivera, Rodríguez Aguiló, Rodríguez Torres, Roque Gracia, Sanabria Colón y Santiago Guzmán</w:t>
      </w:r>
    </w:p>
    <w:p w14:paraId="18A0DB58" w14:textId="77777777" w:rsidR="00950505" w:rsidRPr="007F2135" w:rsidRDefault="00950505" w:rsidP="00950505">
      <w:pPr>
        <w:jc w:val="center"/>
        <w:rPr>
          <w:rFonts w:ascii="Book Antiqua" w:hAnsi="Book Antiqua"/>
          <w:color w:val="000000" w:themeColor="text1"/>
        </w:rPr>
      </w:pPr>
    </w:p>
    <w:p w14:paraId="6E0B8939" w14:textId="6135736B" w:rsidR="00950505" w:rsidRPr="007F2135" w:rsidRDefault="00950505" w:rsidP="00950505">
      <w:pPr>
        <w:jc w:val="center"/>
        <w:rPr>
          <w:rFonts w:ascii="Book Antiqua" w:hAnsi="Book Antiqua"/>
          <w:color w:val="000000" w:themeColor="text1"/>
        </w:rPr>
      </w:pPr>
      <w:r w:rsidRPr="007F2135">
        <w:rPr>
          <w:rFonts w:ascii="Book Antiqua" w:hAnsi="Book Antiqua"/>
          <w:color w:val="000000" w:themeColor="text1"/>
        </w:rPr>
        <w:t>Referido a</w:t>
      </w:r>
      <w:r w:rsidR="00225160">
        <w:rPr>
          <w:rFonts w:ascii="Book Antiqua" w:hAnsi="Book Antiqua"/>
          <w:color w:val="000000" w:themeColor="text1"/>
        </w:rPr>
        <w:t xml:space="preserve"> la Comisión de Hacienda</w:t>
      </w:r>
    </w:p>
    <w:p w14:paraId="4B9C3823" w14:textId="77777777" w:rsidR="00950505" w:rsidRPr="007F2135" w:rsidRDefault="00950505" w:rsidP="00950505">
      <w:pPr>
        <w:jc w:val="both"/>
        <w:rPr>
          <w:rFonts w:ascii="Book Antiqua" w:hAnsi="Book Antiqua"/>
          <w:color w:val="000000" w:themeColor="text1"/>
        </w:rPr>
      </w:pPr>
    </w:p>
    <w:p w14:paraId="43228070" w14:textId="77777777" w:rsidR="00950505" w:rsidRPr="007F2135" w:rsidRDefault="00950505" w:rsidP="00950505">
      <w:pPr>
        <w:jc w:val="center"/>
        <w:rPr>
          <w:rFonts w:ascii="Book Antiqua" w:hAnsi="Book Antiqua"/>
          <w:b/>
          <w:color w:val="000000" w:themeColor="text1"/>
          <w:sz w:val="28"/>
        </w:rPr>
      </w:pPr>
      <w:r w:rsidRPr="007F2135">
        <w:rPr>
          <w:rFonts w:ascii="Book Antiqua" w:hAnsi="Book Antiqua"/>
          <w:b/>
          <w:color w:val="000000" w:themeColor="text1"/>
          <w:sz w:val="28"/>
        </w:rPr>
        <w:t>LEY</w:t>
      </w:r>
    </w:p>
    <w:p w14:paraId="79550663" w14:textId="77777777" w:rsidR="00FF2214" w:rsidRPr="007F2135" w:rsidRDefault="00FF2214">
      <w:pPr>
        <w:jc w:val="both"/>
        <w:rPr>
          <w:rFonts w:ascii="Book Antiqua" w:eastAsia="Book Antiqua" w:hAnsi="Book Antiqua" w:cs="Book Antiqua"/>
          <w:color w:val="000000" w:themeColor="text1"/>
        </w:rPr>
      </w:pPr>
    </w:p>
    <w:p w14:paraId="78661B12" w14:textId="77777777" w:rsidR="00867C30" w:rsidRPr="0015054D" w:rsidRDefault="00850770" w:rsidP="00867C30">
      <w:pPr>
        <w:ind w:left="540" w:hanging="540"/>
        <w:jc w:val="both"/>
        <w:rPr>
          <w:rFonts w:ascii="Book Antiqua" w:eastAsia="Book Antiqua" w:hAnsi="Book Antiqua" w:cs="Book Antiqua"/>
          <w:color w:val="000000" w:themeColor="text1"/>
        </w:rPr>
      </w:pPr>
      <w:r w:rsidRPr="007F2135">
        <w:rPr>
          <w:rFonts w:ascii="Book Antiqua" w:eastAsia="Book Antiqua" w:hAnsi="Book Antiqua" w:cs="Book Antiqua"/>
          <w:color w:val="000000" w:themeColor="text1"/>
        </w:rPr>
        <w:t>Para</w:t>
      </w:r>
      <w:r w:rsidR="00E45E9B" w:rsidRPr="007F2135">
        <w:rPr>
          <w:rFonts w:ascii="Book Antiqua" w:eastAsia="Book Antiqua" w:hAnsi="Book Antiqua" w:cs="Book Antiqua"/>
          <w:color w:val="000000" w:themeColor="text1"/>
        </w:rPr>
        <w:t xml:space="preserve"> </w:t>
      </w:r>
      <w:r w:rsidR="00867C30" w:rsidRPr="003462C8">
        <w:rPr>
          <w:rFonts w:ascii="Book Antiqua" w:eastAsia="Book Antiqua" w:hAnsi="Book Antiqua" w:cs="Book Antiqua"/>
          <w:color w:val="000000" w:themeColor="text1"/>
        </w:rPr>
        <w:t xml:space="preserve">enmendar la Sección 1101.01, de la Ley Núm. 1-2011, según enmendada, conocida como “Código de Rentas Internas de </w:t>
      </w:r>
      <w:r w:rsidR="00867C30" w:rsidRPr="0015054D">
        <w:rPr>
          <w:rFonts w:ascii="Book Antiqua" w:eastAsia="Book Antiqua" w:hAnsi="Book Antiqua" w:cs="Book Antiqua"/>
          <w:color w:val="000000" w:themeColor="text1"/>
        </w:rPr>
        <w:t>Puerto Rico de 2011 con el fin de flexibilizar y agilizar la aprobación de solicitudes de exención contributiva de entidades sin fines de lucro a nivel estatal y</w:t>
      </w:r>
      <w:r w:rsidR="00867C30">
        <w:rPr>
          <w:rFonts w:ascii="Book Antiqua" w:eastAsia="Book Antiqua" w:hAnsi="Book Antiqua" w:cs="Book Antiqua"/>
          <w:color w:val="000000" w:themeColor="text1"/>
        </w:rPr>
        <w:t xml:space="preserve"> las asociaciones de propietarios,</w:t>
      </w:r>
      <w:r w:rsidR="00867C30" w:rsidRPr="0015054D">
        <w:rPr>
          <w:rFonts w:ascii="Book Antiqua" w:eastAsia="Book Antiqua" w:hAnsi="Book Antiqua" w:cs="Book Antiqua"/>
          <w:color w:val="000000" w:themeColor="text1"/>
        </w:rPr>
        <w:t xml:space="preserve"> atemperar dicho proceso</w:t>
      </w:r>
      <w:r w:rsidR="00867C30" w:rsidRPr="0015054D">
        <w:rPr>
          <w:rFonts w:ascii="Book Antiqua" w:hAnsi="Book Antiqua"/>
        </w:rPr>
        <w:t xml:space="preserve"> con las disposiciones de la </w:t>
      </w:r>
      <w:r w:rsidR="00867C30" w:rsidRPr="0015054D">
        <w:rPr>
          <w:rFonts w:ascii="Book Antiqua" w:eastAsia="Book Antiqua" w:hAnsi="Book Antiqua" w:cs="Book Antiqua"/>
          <w:color w:val="000000" w:themeColor="text1"/>
        </w:rPr>
        <w:t>Sección 501(c)(3) del Código de Rentas Internas Federal; y para otros fines</w:t>
      </w:r>
      <w:r w:rsidR="00867C30">
        <w:rPr>
          <w:rFonts w:ascii="Book Antiqua" w:eastAsia="Book Antiqua" w:hAnsi="Book Antiqua" w:cs="Book Antiqua"/>
          <w:color w:val="000000" w:themeColor="text1"/>
        </w:rPr>
        <w:t xml:space="preserve"> relacionados</w:t>
      </w:r>
      <w:r w:rsidR="00867C30" w:rsidRPr="0015054D">
        <w:rPr>
          <w:rFonts w:ascii="Book Antiqua" w:eastAsia="Book Antiqua" w:hAnsi="Book Antiqua" w:cs="Book Antiqua"/>
          <w:color w:val="000000" w:themeColor="text1"/>
        </w:rPr>
        <w:t xml:space="preserve">. </w:t>
      </w:r>
    </w:p>
    <w:p w14:paraId="026EAB11" w14:textId="00296B1E" w:rsidR="00EE63CA" w:rsidRPr="007F2135" w:rsidRDefault="00EE63CA" w:rsidP="00EE63CA">
      <w:pPr>
        <w:suppressLineNumbers/>
        <w:ind w:left="540" w:hanging="540"/>
        <w:jc w:val="both"/>
        <w:rPr>
          <w:rFonts w:ascii="Book Antiqua" w:eastAsia="Aptos" w:hAnsi="Book Antiqua"/>
          <w:color w:val="000000" w:themeColor="text1"/>
          <w:kern w:val="2"/>
          <w14:ligatures w14:val="standardContextual"/>
        </w:rPr>
      </w:pPr>
    </w:p>
    <w:p w14:paraId="3D851F5B" w14:textId="49317F2C" w:rsidR="00867C30" w:rsidRDefault="00850770" w:rsidP="00867C30">
      <w:pPr>
        <w:ind w:left="540" w:hanging="540"/>
        <w:jc w:val="center"/>
        <w:rPr>
          <w:rFonts w:ascii="Book Antiqua" w:eastAsia="Book Antiqua" w:hAnsi="Book Antiqua" w:cs="Book Antiqua"/>
          <w:bCs/>
          <w:color w:val="000000" w:themeColor="text1"/>
        </w:rPr>
      </w:pPr>
      <w:r w:rsidRPr="007F2135">
        <w:rPr>
          <w:rFonts w:ascii="Book Antiqua" w:eastAsia="Book Antiqua" w:hAnsi="Book Antiqua" w:cs="Book Antiqua"/>
          <w:bCs/>
          <w:color w:val="000000" w:themeColor="text1"/>
        </w:rPr>
        <w:t>EXPOSICIÓN DE MOTIVOS</w:t>
      </w:r>
    </w:p>
    <w:p w14:paraId="1779F623" w14:textId="77777777" w:rsidR="00867C30" w:rsidRDefault="00867C30" w:rsidP="00867C30">
      <w:pPr>
        <w:ind w:left="540" w:hanging="540"/>
        <w:jc w:val="center"/>
        <w:rPr>
          <w:rFonts w:ascii="Book Antiqua" w:eastAsia="Book Antiqua" w:hAnsi="Book Antiqua" w:cs="Book Antiqua"/>
          <w:bCs/>
          <w:color w:val="000000" w:themeColor="text1"/>
        </w:rPr>
      </w:pPr>
    </w:p>
    <w:p w14:paraId="53CA3AFA" w14:textId="5AA66BDF" w:rsidR="00867C30"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t>Las organizaciones sin fines de lucro constituyen un pilar esencial del tejido social puertorriqueño. A través de su labor altruista y comprometida, estas entidades suplen necesidades apremiantes en las esferas sociales, educativas, culturales y humanitarias</w:t>
      </w:r>
      <w:r>
        <w:rPr>
          <w:rFonts w:ascii="Book Antiqua" w:eastAsia="Book Antiqua" w:hAnsi="Book Antiqua" w:cs="Book Antiqua"/>
          <w:color w:val="000000" w:themeColor="text1"/>
        </w:rPr>
        <w:t>.</w:t>
      </w:r>
      <w:r w:rsidRPr="00870A73">
        <w:rPr>
          <w:rFonts w:ascii="Book Antiqua" w:eastAsia="Book Antiqua" w:hAnsi="Book Antiqua" w:cs="Book Antiqua"/>
          <w:color w:val="000000" w:themeColor="text1"/>
        </w:rPr>
        <w:t xml:space="preserve"> </w:t>
      </w:r>
      <w:r w:rsidRPr="00870A73">
        <w:rPr>
          <w:rFonts w:ascii="Book Antiqua" w:eastAsia="Book Antiqua" w:hAnsi="Book Antiqua" w:cs="Book Antiqua"/>
          <w:color w:val="000000" w:themeColor="text1"/>
        </w:rPr>
        <w:lastRenderedPageBreak/>
        <w:t xml:space="preserve">Motivadas por un profundo sentido de servicio público, canalizan el esfuerzo </w:t>
      </w:r>
      <w:r>
        <w:rPr>
          <w:rFonts w:ascii="Book Antiqua" w:eastAsia="Book Antiqua" w:hAnsi="Book Antiqua" w:cs="Book Antiqua"/>
          <w:color w:val="000000" w:themeColor="text1"/>
        </w:rPr>
        <w:t>solidario</w:t>
      </w:r>
      <w:r w:rsidRPr="00870A73">
        <w:rPr>
          <w:rFonts w:ascii="Book Antiqua" w:eastAsia="Book Antiqua" w:hAnsi="Book Antiqua" w:cs="Book Antiqua"/>
          <w:color w:val="000000" w:themeColor="text1"/>
        </w:rPr>
        <w:t xml:space="preserve"> de la ciudadanía y movilizan recursos privados para transformar comunidades y mejorar la calidad de vida de nuestr</w:t>
      </w:r>
      <w:r>
        <w:rPr>
          <w:rFonts w:ascii="Book Antiqua" w:eastAsia="Book Antiqua" w:hAnsi="Book Antiqua" w:cs="Book Antiqua"/>
          <w:color w:val="000000" w:themeColor="text1"/>
        </w:rPr>
        <w:t>a</w:t>
      </w:r>
      <w:r w:rsidRPr="00870A73">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gente</w:t>
      </w:r>
      <w:r w:rsidRPr="00870A73">
        <w:rPr>
          <w:rFonts w:ascii="Book Antiqua" w:eastAsia="Book Antiqua" w:hAnsi="Book Antiqua" w:cs="Book Antiqua"/>
          <w:color w:val="000000" w:themeColor="text1"/>
        </w:rPr>
        <w:t>.</w:t>
      </w:r>
    </w:p>
    <w:p w14:paraId="02F7DF56" w14:textId="77777777" w:rsidR="003B60C3" w:rsidRDefault="003B60C3" w:rsidP="001B65EB">
      <w:pPr>
        <w:ind w:firstLine="540"/>
        <w:jc w:val="both"/>
        <w:rPr>
          <w:rFonts w:ascii="Book Antiqua" w:eastAsia="Book Antiqua" w:hAnsi="Book Antiqua" w:cs="Book Antiqua"/>
          <w:color w:val="000000" w:themeColor="text1"/>
        </w:rPr>
      </w:pPr>
    </w:p>
    <w:p w14:paraId="10455EC4" w14:textId="2DB6F72E" w:rsidR="00867C30" w:rsidRPr="00870A73"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t xml:space="preserve">No obstante, las entidades sin fines de lucro están sujetas al cumplimiento de diversos requisitos </w:t>
      </w:r>
      <w:r>
        <w:rPr>
          <w:rFonts w:ascii="Book Antiqua" w:eastAsia="Book Antiqua" w:hAnsi="Book Antiqua" w:cs="Book Antiqua"/>
          <w:color w:val="000000" w:themeColor="text1"/>
        </w:rPr>
        <w:t>burocráticos previos a alcanzar una certificación de</w:t>
      </w:r>
      <w:r w:rsidRPr="00870A73">
        <w:rPr>
          <w:rFonts w:ascii="Book Antiqua" w:eastAsia="Book Antiqua" w:hAnsi="Book Antiqua" w:cs="Book Antiqua"/>
          <w:color w:val="000000" w:themeColor="text1"/>
        </w:rPr>
        <w:t xml:space="preserve"> exención contributiva</w:t>
      </w:r>
      <w:r>
        <w:rPr>
          <w:rFonts w:ascii="Book Antiqua" w:eastAsia="Book Antiqua" w:hAnsi="Book Antiqua" w:cs="Book Antiqua"/>
          <w:color w:val="000000" w:themeColor="text1"/>
        </w:rPr>
        <w:t xml:space="preserve"> a nivel estatal</w:t>
      </w:r>
      <w:r w:rsidRPr="00870A73">
        <w:rPr>
          <w:rFonts w:ascii="Book Antiqua" w:eastAsia="Book Antiqua" w:hAnsi="Book Antiqua" w:cs="Book Antiqua"/>
          <w:color w:val="000000" w:themeColor="text1"/>
        </w:rPr>
        <w:t>. Esta exención es vital para su viabilidad financiera, pues permite que los donativos recibidos no sean considerados ingresos sujetos a contribución, al tiempo que habilita a los donantes a deducir dichas aportaciones de sus planillas contributivas.</w:t>
      </w:r>
    </w:p>
    <w:p w14:paraId="66AF0B40" w14:textId="77777777" w:rsidR="00867C30" w:rsidRDefault="00867C30" w:rsidP="00867C30">
      <w:pPr>
        <w:jc w:val="both"/>
        <w:rPr>
          <w:rFonts w:ascii="Book Antiqua" w:eastAsia="Book Antiqua" w:hAnsi="Book Antiqua" w:cs="Book Antiqua"/>
          <w:color w:val="000000" w:themeColor="text1"/>
        </w:rPr>
      </w:pPr>
    </w:p>
    <w:p w14:paraId="505145CA" w14:textId="4D9C309D" w:rsidR="00867C30" w:rsidRDefault="00867C30" w:rsidP="001B65EB">
      <w:pPr>
        <w:ind w:firstLine="540"/>
        <w:jc w:val="both"/>
        <w:rPr>
          <w:rFonts w:ascii="Book Antiqua" w:eastAsia="Book Antiqua" w:hAnsi="Book Antiqua" w:cs="Book Antiqua"/>
          <w:color w:val="000000" w:themeColor="text1"/>
        </w:rPr>
      </w:pPr>
      <w:r>
        <w:rPr>
          <w:rFonts w:ascii="Book Antiqua" w:eastAsia="Book Antiqua" w:hAnsi="Book Antiqua" w:cs="Book Antiqua"/>
          <w:color w:val="000000" w:themeColor="text1"/>
        </w:rPr>
        <w:t>S</w:t>
      </w:r>
      <w:r w:rsidRPr="00870A73">
        <w:rPr>
          <w:rFonts w:ascii="Book Antiqua" w:eastAsia="Book Antiqua" w:hAnsi="Book Antiqua" w:cs="Book Antiqua"/>
          <w:color w:val="000000" w:themeColor="text1"/>
        </w:rPr>
        <w:t xml:space="preserve">in embargo, </w:t>
      </w:r>
      <w:r>
        <w:rPr>
          <w:rFonts w:ascii="Book Antiqua" w:eastAsia="Book Antiqua" w:hAnsi="Book Antiqua" w:cs="Book Antiqua"/>
          <w:color w:val="000000" w:themeColor="text1"/>
        </w:rPr>
        <w:t>e</w:t>
      </w:r>
      <w:r w:rsidRPr="00870A73">
        <w:rPr>
          <w:rFonts w:ascii="Book Antiqua" w:eastAsia="Book Antiqua" w:hAnsi="Book Antiqua" w:cs="Book Antiqua"/>
          <w:color w:val="000000" w:themeColor="text1"/>
        </w:rPr>
        <w:t>l proceso actual resulta ser engorroso y fragmentad</w:t>
      </w:r>
      <w:r>
        <w:rPr>
          <w:rFonts w:ascii="Book Antiqua" w:eastAsia="Book Antiqua" w:hAnsi="Book Antiqua" w:cs="Book Antiqua"/>
          <w:color w:val="000000" w:themeColor="text1"/>
        </w:rPr>
        <w:t xml:space="preserve">o, en ese contexto, </w:t>
      </w:r>
      <w:r w:rsidRPr="00870A73">
        <w:rPr>
          <w:rFonts w:ascii="Book Antiqua" w:eastAsia="Book Antiqua" w:hAnsi="Book Antiqua" w:cs="Book Antiqua"/>
          <w:color w:val="000000" w:themeColor="text1"/>
        </w:rPr>
        <w:t>muchas organizaciones gestionan y obtienen una exención contributiva federal bajo la Sección 501(c)(3) del Código de Rentas Internas de los Estados Unidos, sin entender que dicho reconocimiento no tiene efectos automáticos bajo el sistema contributivo de Puerto Rico.</w:t>
      </w:r>
      <w:r>
        <w:rPr>
          <w:rFonts w:ascii="Book Antiqua" w:eastAsia="Book Antiqua" w:hAnsi="Book Antiqua" w:cs="Book Antiqua"/>
          <w:color w:val="000000" w:themeColor="text1"/>
        </w:rPr>
        <w:t xml:space="preserve"> </w:t>
      </w:r>
      <w:r w:rsidRPr="00870A73">
        <w:rPr>
          <w:rFonts w:ascii="Book Antiqua" w:eastAsia="Book Antiqua" w:hAnsi="Book Antiqua" w:cs="Book Antiqua"/>
          <w:color w:val="000000" w:themeColor="text1"/>
        </w:rPr>
        <w:t>En reconocimiento del valor inestimable de estas entidades y conscientes del impacto que</w:t>
      </w:r>
      <w:r>
        <w:rPr>
          <w:rFonts w:ascii="Book Antiqua" w:eastAsia="Book Antiqua" w:hAnsi="Book Antiqua" w:cs="Book Antiqua"/>
          <w:color w:val="000000" w:themeColor="text1"/>
        </w:rPr>
        <w:t xml:space="preserve"> su labor</w:t>
      </w:r>
      <w:r w:rsidRPr="00870A73">
        <w:rPr>
          <w:rFonts w:ascii="Book Antiqua" w:eastAsia="Book Antiqua" w:hAnsi="Book Antiqua" w:cs="Book Antiqua"/>
          <w:color w:val="000000" w:themeColor="text1"/>
        </w:rPr>
        <w:t xml:space="preserve"> tiene en </w:t>
      </w:r>
      <w:r>
        <w:rPr>
          <w:rFonts w:ascii="Book Antiqua" w:eastAsia="Book Antiqua" w:hAnsi="Book Antiqua" w:cs="Book Antiqua"/>
          <w:color w:val="000000" w:themeColor="text1"/>
        </w:rPr>
        <w:t>nuestra calidad de vida</w:t>
      </w:r>
      <w:r w:rsidRPr="00870A73">
        <w:rPr>
          <w:rFonts w:ascii="Book Antiqua" w:eastAsia="Book Antiqua" w:hAnsi="Book Antiqua" w:cs="Book Antiqua"/>
          <w:color w:val="000000" w:themeColor="text1"/>
        </w:rPr>
        <w:t xml:space="preserve">, esta </w:t>
      </w:r>
      <w:r w:rsidR="008D47FA">
        <w:rPr>
          <w:rFonts w:ascii="Book Antiqua" w:eastAsia="Book Antiqua" w:hAnsi="Book Antiqua" w:cs="Book Antiqua"/>
          <w:color w:val="000000" w:themeColor="text1"/>
        </w:rPr>
        <w:t>Ley</w:t>
      </w:r>
      <w:r w:rsidRPr="00870A73">
        <w:rPr>
          <w:rFonts w:ascii="Book Antiqua" w:eastAsia="Book Antiqua" w:hAnsi="Book Antiqua" w:cs="Book Antiqua"/>
          <w:color w:val="000000" w:themeColor="text1"/>
        </w:rPr>
        <w:t xml:space="preserve"> propone transformar el sistema actual mediante un proceso más ágil, integrado y eficiente. A tales fines, esta </w:t>
      </w:r>
      <w:r w:rsidR="008D47FA">
        <w:rPr>
          <w:rFonts w:ascii="Book Antiqua" w:eastAsia="Book Antiqua" w:hAnsi="Book Antiqua" w:cs="Book Antiqua"/>
          <w:color w:val="000000" w:themeColor="text1"/>
        </w:rPr>
        <w:t>Ley</w:t>
      </w:r>
      <w:r w:rsidRPr="00870A73">
        <w:rPr>
          <w:rFonts w:ascii="Book Antiqua" w:eastAsia="Book Antiqua" w:hAnsi="Book Antiqua" w:cs="Book Antiqua"/>
          <w:color w:val="000000" w:themeColor="text1"/>
        </w:rPr>
        <w:t xml:space="preserve"> tiene como objetivo armonizar nuestro ordenamiento contributivo con el federal. Para ello, se faculta al Secretario del Departamento de Hacienda a evaluar y conceder, a solicitud de la entidad interesada, una exención contributiva a aquellas organizaciones reconocidas como entidades sin fines de lucro bajo la Sección 501(c)(3) del Código de Rentas Internas Federal, siempre y cuando el Secretario determine que otorgar dicha exención responde a los mejores intereses de Puerto Rico. El Secretario podrá, además, establecer por carta circular u otro medio de carácter general, el procedimiento a seguir para solicitar esta exención expedita.</w:t>
      </w:r>
    </w:p>
    <w:p w14:paraId="57235391" w14:textId="77777777" w:rsidR="00867C30" w:rsidRDefault="00867C30" w:rsidP="00867C30">
      <w:pPr>
        <w:jc w:val="both"/>
        <w:rPr>
          <w:rFonts w:ascii="Book Antiqua" w:eastAsia="Book Antiqua" w:hAnsi="Book Antiqua" w:cs="Book Antiqua"/>
          <w:color w:val="000000" w:themeColor="text1"/>
        </w:rPr>
      </w:pPr>
    </w:p>
    <w:p w14:paraId="58EF4640" w14:textId="39AAD766" w:rsidR="00867C30" w:rsidRPr="00576AE4" w:rsidRDefault="00867C30" w:rsidP="001B65EB">
      <w:pPr>
        <w:ind w:firstLine="540"/>
        <w:jc w:val="both"/>
        <w:rPr>
          <w:rFonts w:ascii="Book Antiqua" w:eastAsia="Book Antiqua" w:hAnsi="Book Antiqua" w:cs="Book Antiqua"/>
          <w:color w:val="000000" w:themeColor="text1"/>
        </w:rPr>
      </w:pPr>
      <w:r w:rsidRPr="00576AE4">
        <w:rPr>
          <w:rFonts w:ascii="Book Antiqua" w:eastAsia="Book Antiqua" w:hAnsi="Book Antiqua" w:cs="Book Antiqua"/>
          <w:color w:val="000000" w:themeColor="text1"/>
        </w:rPr>
        <w:t xml:space="preserve">Asimismo, esta </w:t>
      </w:r>
      <w:r w:rsidR="008D47FA">
        <w:rPr>
          <w:rFonts w:ascii="Book Antiqua" w:eastAsia="Book Antiqua" w:hAnsi="Book Antiqua" w:cs="Book Antiqua"/>
          <w:color w:val="000000" w:themeColor="text1"/>
        </w:rPr>
        <w:t>Ley</w:t>
      </w:r>
      <w:r w:rsidRPr="00576AE4">
        <w:rPr>
          <w:rFonts w:ascii="Book Antiqua" w:eastAsia="Book Antiqua" w:hAnsi="Book Antiqua" w:cs="Book Antiqua"/>
          <w:color w:val="000000" w:themeColor="text1"/>
        </w:rPr>
        <w:t xml:space="preserve"> incluye disposiciones para facilitar el tratamiento contributivo de asociaciones que administran propiedades residenciales o mixtas —como asociaciones de residentes y consejos de titulares. </w:t>
      </w:r>
      <w:r w:rsidRPr="00B62588">
        <w:rPr>
          <w:rFonts w:ascii="Book Antiqua" w:eastAsia="Book Antiqua" w:hAnsi="Book Antiqua" w:cs="Book Antiqua"/>
          <w:color w:val="000000" w:themeColor="text1"/>
        </w:rPr>
        <w:t xml:space="preserve">Con ello, se extiende el beneficio de este marco jurídico a este tipo de entidades comunitarias que también contribuyen al bienestar </w:t>
      </w:r>
      <w:r>
        <w:rPr>
          <w:rFonts w:ascii="Book Antiqua" w:eastAsia="Book Antiqua" w:hAnsi="Book Antiqua" w:cs="Book Antiqua"/>
          <w:color w:val="000000" w:themeColor="text1"/>
        </w:rPr>
        <w:t>de nuestra gente</w:t>
      </w:r>
      <w:r w:rsidRPr="00576AE4">
        <w:rPr>
          <w:rFonts w:ascii="Book Antiqua" w:eastAsia="Book Antiqua" w:hAnsi="Book Antiqua" w:cs="Book Antiqua"/>
          <w:color w:val="000000" w:themeColor="text1"/>
        </w:rPr>
        <w:t>.</w:t>
      </w:r>
    </w:p>
    <w:p w14:paraId="44DA2A60" w14:textId="77777777" w:rsidR="00867C30" w:rsidRDefault="00867C30" w:rsidP="00867C30">
      <w:pPr>
        <w:jc w:val="both"/>
        <w:rPr>
          <w:rFonts w:ascii="Book Antiqua" w:eastAsia="Book Antiqua" w:hAnsi="Book Antiqua" w:cs="Book Antiqua"/>
          <w:color w:val="000000" w:themeColor="text1"/>
        </w:rPr>
      </w:pPr>
    </w:p>
    <w:p w14:paraId="6E66E65B" w14:textId="7E8B6622" w:rsidR="00867C30" w:rsidRDefault="00867C30" w:rsidP="001B65EB">
      <w:pPr>
        <w:ind w:firstLine="540"/>
        <w:jc w:val="both"/>
        <w:rPr>
          <w:rFonts w:ascii="Book Antiqua" w:eastAsia="Book Antiqua" w:hAnsi="Book Antiqua" w:cs="Book Antiqua"/>
          <w:color w:val="000000" w:themeColor="text1"/>
        </w:rPr>
      </w:pPr>
      <w:r w:rsidRPr="00870A73">
        <w:rPr>
          <w:rFonts w:ascii="Book Antiqua" w:eastAsia="Book Antiqua" w:hAnsi="Book Antiqua" w:cs="Book Antiqua"/>
          <w:color w:val="000000" w:themeColor="text1"/>
        </w:rPr>
        <w:t>Este esfuerzo</w:t>
      </w:r>
      <w:r>
        <w:rPr>
          <w:rFonts w:ascii="Book Antiqua" w:eastAsia="Book Antiqua" w:hAnsi="Book Antiqua" w:cs="Book Antiqua"/>
          <w:color w:val="000000" w:themeColor="text1"/>
        </w:rPr>
        <w:t>, responde al compromiso programático</w:t>
      </w:r>
      <w:r w:rsidRPr="00870A73">
        <w:rPr>
          <w:rFonts w:ascii="Book Antiqua" w:eastAsia="Book Antiqua" w:hAnsi="Book Antiqua" w:cs="Book Antiqua"/>
          <w:color w:val="000000" w:themeColor="text1"/>
        </w:rPr>
        <w:t xml:space="preserve"> de simplificación </w:t>
      </w:r>
      <w:r>
        <w:rPr>
          <w:rFonts w:ascii="Book Antiqua" w:eastAsia="Book Antiqua" w:hAnsi="Book Antiqua" w:cs="Book Antiqua"/>
          <w:color w:val="000000" w:themeColor="text1"/>
        </w:rPr>
        <w:t xml:space="preserve">de procesos </w:t>
      </w:r>
      <w:r w:rsidRPr="00870A73">
        <w:rPr>
          <w:rFonts w:ascii="Book Antiqua" w:eastAsia="Book Antiqua" w:hAnsi="Book Antiqua" w:cs="Book Antiqua"/>
          <w:color w:val="000000" w:themeColor="text1"/>
        </w:rPr>
        <w:t>administrativ</w:t>
      </w:r>
      <w:r>
        <w:rPr>
          <w:rFonts w:ascii="Book Antiqua" w:eastAsia="Book Antiqua" w:hAnsi="Book Antiqua" w:cs="Book Antiqua"/>
          <w:color w:val="000000" w:themeColor="text1"/>
        </w:rPr>
        <w:t>os y</w:t>
      </w:r>
      <w:r w:rsidRPr="00870A73">
        <w:rPr>
          <w:rFonts w:ascii="Book Antiqua" w:eastAsia="Book Antiqua" w:hAnsi="Book Antiqua" w:cs="Book Antiqua"/>
          <w:color w:val="000000" w:themeColor="text1"/>
        </w:rPr>
        <w:t xml:space="preserve"> modernización</w:t>
      </w:r>
      <w:r>
        <w:rPr>
          <w:rFonts w:ascii="Book Antiqua" w:eastAsia="Book Antiqua" w:hAnsi="Book Antiqua" w:cs="Book Antiqua"/>
          <w:color w:val="000000" w:themeColor="text1"/>
        </w:rPr>
        <w:t>,</w:t>
      </w:r>
      <w:r w:rsidRPr="00870A73">
        <w:rPr>
          <w:rFonts w:ascii="Book Antiqua" w:eastAsia="Book Antiqua" w:hAnsi="Book Antiqua" w:cs="Book Antiqua"/>
          <w:color w:val="000000" w:themeColor="text1"/>
        </w:rPr>
        <w:t xml:space="preserve"> </w:t>
      </w:r>
      <w:r>
        <w:rPr>
          <w:rFonts w:ascii="Book Antiqua" w:eastAsia="Book Antiqua" w:hAnsi="Book Antiqua" w:cs="Book Antiqua"/>
          <w:color w:val="000000" w:themeColor="text1"/>
        </w:rPr>
        <w:t>que</w:t>
      </w:r>
      <w:r w:rsidRPr="00870A73">
        <w:rPr>
          <w:rFonts w:ascii="Book Antiqua" w:eastAsia="Book Antiqua" w:hAnsi="Book Antiqua" w:cs="Book Antiqua"/>
          <w:color w:val="000000" w:themeColor="text1"/>
        </w:rPr>
        <w:t xml:space="preserve"> busca fortalecer el ecosistema del tercer sector en la Isla, garantizando que las organizaciones sin fines de lucro puedan enfocar sus energías en su misión social y comunitaria, sin verse obstaculizadas por procesos burocráticos innecesarios. De este modo, el Estado no solo reconoce su función transformadora, sino que reafirma su compromiso con la </w:t>
      </w:r>
      <w:r>
        <w:rPr>
          <w:rFonts w:ascii="Book Antiqua" w:eastAsia="Book Antiqua" w:hAnsi="Book Antiqua" w:cs="Book Antiqua"/>
          <w:color w:val="000000" w:themeColor="text1"/>
        </w:rPr>
        <w:t>igualdad,</w:t>
      </w:r>
      <w:r w:rsidRPr="00870A73">
        <w:rPr>
          <w:rFonts w:ascii="Book Antiqua" w:eastAsia="Book Antiqua" w:hAnsi="Book Antiqua" w:cs="Book Antiqua"/>
          <w:color w:val="000000" w:themeColor="text1"/>
        </w:rPr>
        <w:t xml:space="preserve"> la justicia social y el desarrollo solidario de Puerto Rico</w:t>
      </w:r>
      <w:r w:rsidRPr="0009646E">
        <w:rPr>
          <w:rFonts w:ascii="Book Antiqua" w:eastAsia="Book Antiqua" w:hAnsi="Book Antiqua" w:cs="Book Antiqua"/>
          <w:color w:val="000000" w:themeColor="text1"/>
        </w:rPr>
        <w:t>.</w:t>
      </w:r>
    </w:p>
    <w:p w14:paraId="055DBB31" w14:textId="77777777" w:rsidR="003B60C3" w:rsidRDefault="003B60C3" w:rsidP="001B65EB">
      <w:pPr>
        <w:ind w:firstLine="540"/>
        <w:jc w:val="both"/>
        <w:rPr>
          <w:rFonts w:ascii="Book Antiqua" w:eastAsia="Book Antiqua" w:hAnsi="Book Antiqua" w:cs="Book Antiqua"/>
          <w:color w:val="000000" w:themeColor="text1"/>
        </w:rPr>
      </w:pPr>
    </w:p>
    <w:p w14:paraId="757DA61C" w14:textId="77777777" w:rsidR="000474CF" w:rsidRPr="00867C30" w:rsidRDefault="000474CF" w:rsidP="00A5416B">
      <w:pPr>
        <w:rPr>
          <w:rFonts w:ascii="Book Antiqua" w:eastAsia="Book Antiqua" w:hAnsi="Book Antiqua" w:cs="Book Antiqua"/>
          <w:color w:val="000000" w:themeColor="text1"/>
        </w:rPr>
      </w:pPr>
    </w:p>
    <w:p w14:paraId="7955066D" w14:textId="77777777" w:rsidR="00FF2214" w:rsidRPr="007F2135" w:rsidRDefault="00850770">
      <w:pPr>
        <w:spacing w:line="480" w:lineRule="auto"/>
        <w:jc w:val="both"/>
        <w:rPr>
          <w:rFonts w:ascii="Book Antiqua" w:eastAsia="Book Antiqua" w:hAnsi="Book Antiqua" w:cs="Book Antiqua"/>
          <w:i/>
          <w:color w:val="000000" w:themeColor="text1"/>
        </w:rPr>
        <w:sectPr w:rsidR="00FF2214" w:rsidRPr="007F2135">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r w:rsidRPr="007F2135">
        <w:rPr>
          <w:rFonts w:ascii="Book Antiqua" w:eastAsia="Book Antiqua" w:hAnsi="Book Antiqua" w:cs="Book Antiqua"/>
          <w:i/>
          <w:color w:val="000000" w:themeColor="text1"/>
        </w:rPr>
        <w:lastRenderedPageBreak/>
        <w:t>DECRÉTASE POR LA ASAMBLEA LEGISLATIVA DE PUERTO RICO:</w:t>
      </w:r>
    </w:p>
    <w:p w14:paraId="4227E201" w14:textId="77777777" w:rsidR="00867C30" w:rsidRPr="00E72EAF" w:rsidRDefault="00867C30" w:rsidP="00867C30">
      <w:pPr>
        <w:pStyle w:val="BodyText"/>
        <w:spacing w:line="480" w:lineRule="auto"/>
        <w:ind w:firstLine="720"/>
        <w:rPr>
          <w:rFonts w:ascii="Book Antiqua" w:hAnsi="Book Antiqua"/>
        </w:rPr>
      </w:pPr>
      <w:bookmarkStart w:id="1" w:name="_Hlk194667208"/>
      <w:r w:rsidRPr="00DF5DF0">
        <w:rPr>
          <w:rFonts w:ascii="Book Antiqua" w:hAnsi="Book Antiqua"/>
        </w:rPr>
        <w:t xml:space="preserve">Artículo 1.- Se enmienda la Sección 1101.01 de la Ley 1-2011, según enmendada, para que </w:t>
      </w:r>
      <w:r>
        <w:rPr>
          <w:rFonts w:ascii="Book Antiqua" w:hAnsi="Book Antiqua"/>
        </w:rPr>
        <w:t xml:space="preserve">se </w:t>
      </w:r>
      <w:r w:rsidRPr="00DF5DF0">
        <w:rPr>
          <w:rFonts w:ascii="Book Antiqua" w:hAnsi="Book Antiqua"/>
        </w:rPr>
        <w:t>lea como sigue:</w:t>
      </w:r>
    </w:p>
    <w:p w14:paraId="0F161184" w14:textId="77777777" w:rsidR="00867C30" w:rsidRPr="00E72EAF" w:rsidRDefault="00867C30" w:rsidP="00867C30">
      <w:pPr>
        <w:pStyle w:val="BodyText"/>
        <w:spacing w:line="480" w:lineRule="auto"/>
        <w:ind w:left="720" w:firstLine="720"/>
        <w:rPr>
          <w:rFonts w:ascii="Book Antiqua" w:hAnsi="Book Antiqua"/>
        </w:rPr>
      </w:pPr>
      <w:r w:rsidRPr="00E72EAF">
        <w:rPr>
          <w:rFonts w:ascii="Book Antiqua" w:hAnsi="Book Antiqua"/>
        </w:rPr>
        <w:t xml:space="preserve">“Sección 1101.01. — Exenciones de Contribución sobre Corporaciones y Entidades sin Fines de Lucro. </w:t>
      </w:r>
    </w:p>
    <w:p w14:paraId="5CAA9D90" w14:textId="77777777" w:rsidR="00867C30" w:rsidRPr="00E72EAF" w:rsidRDefault="00867C30" w:rsidP="00867C30">
      <w:pPr>
        <w:pStyle w:val="BodyText"/>
        <w:spacing w:line="480" w:lineRule="auto"/>
        <w:ind w:left="720"/>
        <w:rPr>
          <w:rFonts w:ascii="Book Antiqua" w:hAnsi="Book Antiqua"/>
        </w:rPr>
      </w:pPr>
      <w:r w:rsidRPr="00E72EAF">
        <w:rPr>
          <w:rFonts w:ascii="Book Antiqua" w:hAnsi="Book Antiqua"/>
        </w:rPr>
        <w:t>(a) Excepto según se dispone en el Subcapítulo B del Capítulo 10 de este Subtítulo, las siguientes organizaciones estarán exentas de tributación bajo este Subtítulo:</w:t>
      </w:r>
    </w:p>
    <w:p w14:paraId="186B8863" w14:textId="77777777" w:rsidR="00867C30" w:rsidRPr="00E72EAF" w:rsidRDefault="00867C30" w:rsidP="00867C30">
      <w:pPr>
        <w:pStyle w:val="BodyText"/>
        <w:spacing w:line="480" w:lineRule="auto"/>
        <w:ind w:left="720" w:firstLine="720"/>
        <w:rPr>
          <w:rFonts w:ascii="Book Antiqua" w:hAnsi="Book Antiqua"/>
        </w:rPr>
      </w:pPr>
      <w:r w:rsidRPr="00E72EAF">
        <w:rPr>
          <w:rFonts w:ascii="Book Antiqua" w:hAnsi="Book Antiqua"/>
        </w:rPr>
        <w:t>(1)</w:t>
      </w:r>
      <w:r w:rsidRPr="00E72EAF">
        <w:rPr>
          <w:rFonts w:ascii="Book Antiqua" w:hAnsi="Book Antiqua"/>
        </w:rPr>
        <w:tab/>
        <w:t>…</w:t>
      </w:r>
    </w:p>
    <w:p w14:paraId="705C0718" w14:textId="77777777" w:rsidR="00867C30" w:rsidRPr="00E72EAF" w:rsidRDefault="00867C30" w:rsidP="00867C30">
      <w:pPr>
        <w:pStyle w:val="BodyText"/>
        <w:spacing w:line="480" w:lineRule="auto"/>
        <w:ind w:left="720" w:firstLine="720"/>
        <w:rPr>
          <w:rFonts w:ascii="Book Antiqua" w:hAnsi="Book Antiqua"/>
        </w:rPr>
      </w:pPr>
      <w:r w:rsidRPr="00E72EAF">
        <w:rPr>
          <w:rFonts w:ascii="Book Antiqua" w:hAnsi="Book Antiqua"/>
        </w:rPr>
        <w:t>…</w:t>
      </w:r>
    </w:p>
    <w:p w14:paraId="1589085A" w14:textId="77777777" w:rsidR="00867C30" w:rsidRPr="00E72EAF" w:rsidRDefault="00867C30" w:rsidP="00867C30">
      <w:pPr>
        <w:pStyle w:val="BodyText"/>
        <w:spacing w:line="480" w:lineRule="auto"/>
        <w:ind w:left="720" w:firstLine="720"/>
        <w:rPr>
          <w:rFonts w:ascii="Book Antiqua" w:hAnsi="Book Antiqua"/>
        </w:rPr>
      </w:pPr>
      <w:r w:rsidRPr="00E72EAF">
        <w:rPr>
          <w:rFonts w:ascii="Book Antiqua" w:hAnsi="Book Antiqua"/>
        </w:rPr>
        <w:t>(5) Asociaciones de propietarios:</w:t>
      </w:r>
    </w:p>
    <w:p w14:paraId="45121613" w14:textId="77BFE1A2" w:rsidR="00867C30" w:rsidRPr="00E72EAF" w:rsidRDefault="00867C30" w:rsidP="00867C30">
      <w:pPr>
        <w:pStyle w:val="BodyText"/>
        <w:spacing w:line="480" w:lineRule="auto"/>
        <w:ind w:left="2160"/>
        <w:rPr>
          <w:rFonts w:ascii="Book Antiqua" w:hAnsi="Book Antiqua"/>
        </w:rPr>
      </w:pPr>
      <w:r w:rsidRPr="00E72EAF">
        <w:rPr>
          <w:rFonts w:ascii="Book Antiqua" w:hAnsi="Book Antiqua"/>
        </w:rPr>
        <w:t>(A) Asociaciones para la administración de propiedad residencial o mixta.</w:t>
      </w:r>
    </w:p>
    <w:p w14:paraId="61E5A547" w14:textId="77777777" w:rsidR="00867C30" w:rsidRPr="00E72EAF" w:rsidRDefault="00867C30" w:rsidP="00867C30">
      <w:pPr>
        <w:pStyle w:val="BodyText"/>
        <w:spacing w:line="480" w:lineRule="auto"/>
        <w:ind w:left="2880"/>
        <w:rPr>
          <w:rFonts w:ascii="Book Antiqua" w:hAnsi="Book Antiqua"/>
        </w:rPr>
      </w:pPr>
      <w:r w:rsidRPr="00E72EAF">
        <w:rPr>
          <w:rFonts w:ascii="Book Antiqua" w:hAnsi="Book Antiqua"/>
        </w:rPr>
        <w:t xml:space="preserve">(i) Las asociaciones cualificadas para la administración de propiedad residencial o mixta organizadas para operar la administración, construcción, mantenimiento, cuidado de la propiedad, control de vigilancia y actividades similares para beneficio de la comunidad, incluyendo: </w:t>
      </w:r>
    </w:p>
    <w:p w14:paraId="42026E7B" w14:textId="77777777" w:rsidR="00867C30" w:rsidRPr="00E72EAF" w:rsidRDefault="00867C30" w:rsidP="00867C30">
      <w:pPr>
        <w:pStyle w:val="BodyText"/>
        <w:spacing w:line="480" w:lineRule="auto"/>
        <w:ind w:left="2880" w:firstLine="720"/>
        <w:rPr>
          <w:rFonts w:ascii="Book Antiqua" w:hAnsi="Book Antiqua"/>
        </w:rPr>
      </w:pPr>
      <w:r w:rsidRPr="00E72EAF">
        <w:rPr>
          <w:rFonts w:ascii="Book Antiqua" w:hAnsi="Book Antiqua"/>
        </w:rPr>
        <w:t>(I) …</w:t>
      </w:r>
    </w:p>
    <w:p w14:paraId="72554EC8" w14:textId="77777777" w:rsidR="00867C30" w:rsidRPr="00E72EAF" w:rsidRDefault="00867C30" w:rsidP="00867C30">
      <w:pPr>
        <w:pStyle w:val="BodyText"/>
        <w:spacing w:line="480" w:lineRule="auto"/>
        <w:ind w:left="2880" w:firstLine="720"/>
        <w:rPr>
          <w:rFonts w:ascii="Book Antiqua" w:hAnsi="Book Antiqua"/>
        </w:rPr>
      </w:pPr>
      <w:r w:rsidRPr="00E72EAF">
        <w:rPr>
          <w:rFonts w:ascii="Book Antiqua" w:hAnsi="Book Antiqua"/>
        </w:rPr>
        <w:t>…</w:t>
      </w:r>
    </w:p>
    <w:p w14:paraId="4DBC304A" w14:textId="77777777" w:rsidR="00867C30" w:rsidRPr="00E72EAF" w:rsidRDefault="00867C30" w:rsidP="00867C30">
      <w:pPr>
        <w:pStyle w:val="BodyText"/>
        <w:spacing w:line="480" w:lineRule="auto"/>
        <w:ind w:left="2160" w:firstLine="720"/>
        <w:rPr>
          <w:rFonts w:ascii="Book Antiqua" w:hAnsi="Book Antiqua"/>
        </w:rPr>
      </w:pPr>
      <w:r w:rsidRPr="00E72EAF">
        <w:rPr>
          <w:rFonts w:ascii="Book Antiqua" w:hAnsi="Book Antiqua"/>
        </w:rPr>
        <w:t>(</w:t>
      </w:r>
      <w:proofErr w:type="spellStart"/>
      <w:r w:rsidRPr="00E72EAF">
        <w:rPr>
          <w:rFonts w:ascii="Book Antiqua" w:hAnsi="Book Antiqua"/>
        </w:rPr>
        <w:t>ii</w:t>
      </w:r>
      <w:proofErr w:type="spellEnd"/>
      <w:r w:rsidRPr="00E72EAF">
        <w:rPr>
          <w:rFonts w:ascii="Book Antiqua" w:hAnsi="Book Antiqua"/>
        </w:rPr>
        <w:t>) …</w:t>
      </w:r>
    </w:p>
    <w:p w14:paraId="4795546F" w14:textId="77777777" w:rsidR="00867C30" w:rsidRPr="00E72EAF" w:rsidRDefault="00867C30" w:rsidP="00867C30">
      <w:pPr>
        <w:pStyle w:val="BodyText"/>
        <w:spacing w:line="480" w:lineRule="auto"/>
        <w:ind w:left="2880"/>
        <w:rPr>
          <w:rFonts w:ascii="Book Antiqua" w:hAnsi="Book Antiqua"/>
        </w:rPr>
      </w:pPr>
      <w:r w:rsidRPr="00E72EAF">
        <w:rPr>
          <w:rFonts w:ascii="Book Antiqua" w:hAnsi="Book Antiqua"/>
        </w:rPr>
        <w:lastRenderedPageBreak/>
        <w:t>(</w:t>
      </w:r>
      <w:proofErr w:type="spellStart"/>
      <w:r w:rsidRPr="00E72EAF">
        <w:rPr>
          <w:rFonts w:ascii="Book Antiqua" w:hAnsi="Book Antiqua"/>
        </w:rPr>
        <w:t>iii</w:t>
      </w:r>
      <w:proofErr w:type="spellEnd"/>
      <w:r w:rsidRPr="00E72EAF">
        <w:rPr>
          <w:rFonts w:ascii="Book Antiqua" w:hAnsi="Book Antiqua"/>
        </w:rPr>
        <w:t>) Las disposiciones de este inciso, aplicarán únicamente a aquellas asociaciones que cumplan con los siguientes criterios de ingresos, gastos y ganancias:</w:t>
      </w:r>
    </w:p>
    <w:p w14:paraId="46D50017" w14:textId="0BE6D91E" w:rsidR="00867C30" w:rsidRPr="00E72EAF" w:rsidRDefault="00867C30" w:rsidP="00867C30">
      <w:pPr>
        <w:pStyle w:val="BodyText"/>
        <w:spacing w:line="480" w:lineRule="auto"/>
        <w:ind w:left="3600"/>
        <w:rPr>
          <w:rFonts w:ascii="Book Antiqua" w:hAnsi="Book Antiqua"/>
        </w:rPr>
      </w:pPr>
      <w:r w:rsidRPr="00E72EAF">
        <w:rPr>
          <w:rFonts w:ascii="Book Antiqua" w:hAnsi="Book Antiqua"/>
        </w:rPr>
        <w:t>(I) sesenta (60) por ciento o más de su ingreso para el año contributivo deberá consistir en cuotas realizadas por sus integrantes, cargos o derramas de los dueños de unidades residenciales, propiedad destinada a fines no residenciales o comerciales (asociaciones de condómines o Consejos de Titulares) o residencias o lotes residenciales o comerciales (asociaciones de residentes),</w:t>
      </w:r>
    </w:p>
    <w:p w14:paraId="74713D0E" w14:textId="77777777" w:rsidR="00867C30" w:rsidRPr="00E72EAF" w:rsidRDefault="00867C30" w:rsidP="00867C30">
      <w:pPr>
        <w:pStyle w:val="BodyText"/>
        <w:spacing w:line="480" w:lineRule="auto"/>
        <w:ind w:left="2880" w:firstLine="720"/>
        <w:rPr>
          <w:rFonts w:ascii="Book Antiqua" w:hAnsi="Book Antiqua"/>
        </w:rPr>
      </w:pPr>
      <w:r w:rsidRPr="00E72EAF">
        <w:rPr>
          <w:rFonts w:ascii="Book Antiqua" w:hAnsi="Book Antiqua"/>
        </w:rPr>
        <w:t>…</w:t>
      </w:r>
    </w:p>
    <w:p w14:paraId="374045F6" w14:textId="77777777" w:rsidR="00867C30" w:rsidRPr="00E72EAF" w:rsidRDefault="00867C30" w:rsidP="00867C30">
      <w:pPr>
        <w:pStyle w:val="BodyText"/>
        <w:spacing w:line="480" w:lineRule="auto"/>
        <w:ind w:firstLine="720"/>
        <w:rPr>
          <w:rFonts w:ascii="Book Antiqua" w:hAnsi="Book Antiqua"/>
        </w:rPr>
      </w:pPr>
      <w:r w:rsidRPr="00E72EAF">
        <w:rPr>
          <w:rFonts w:ascii="Book Antiqua" w:hAnsi="Book Antiqua"/>
        </w:rPr>
        <w:t>(b) …</w:t>
      </w:r>
    </w:p>
    <w:p w14:paraId="37C8BC38" w14:textId="77777777" w:rsidR="00867C30" w:rsidRPr="00E72EAF" w:rsidRDefault="00867C30" w:rsidP="00867C30">
      <w:pPr>
        <w:pStyle w:val="BodyText"/>
        <w:spacing w:line="480" w:lineRule="auto"/>
        <w:ind w:firstLine="720"/>
        <w:rPr>
          <w:rFonts w:ascii="Book Antiqua" w:hAnsi="Book Antiqua"/>
        </w:rPr>
      </w:pPr>
      <w:r w:rsidRPr="00E72EAF">
        <w:rPr>
          <w:rFonts w:ascii="Book Antiqua" w:hAnsi="Book Antiqua"/>
        </w:rPr>
        <w:t>…</w:t>
      </w:r>
    </w:p>
    <w:p w14:paraId="2AE97F9F" w14:textId="77777777" w:rsidR="00867C30" w:rsidRPr="00E72EAF" w:rsidRDefault="00867C30" w:rsidP="00867C30">
      <w:pPr>
        <w:pStyle w:val="BodyText"/>
        <w:spacing w:line="480" w:lineRule="auto"/>
        <w:ind w:left="720"/>
        <w:rPr>
          <w:rFonts w:ascii="Book Antiqua" w:hAnsi="Book Antiqua"/>
        </w:rPr>
      </w:pPr>
      <w:r w:rsidRPr="00E72EAF">
        <w:rPr>
          <w:rFonts w:ascii="Book Antiqua" w:hAnsi="Book Antiqua"/>
        </w:rPr>
        <w:t xml:space="preserve">(h) El Secretario queda facultado, a solicitud de la entidad sin fines de lucro, evaluar la solicitud y conceder la exención, cuando la entidad solicitante haya sido reconocida como una entidad sin fines de lucro bajo la Sección 501(c)(3) del Código de Rentas Internas Federal, aun cuando no cumpla con la definición del apartado (a) de esta sección o los requisitos del apartado (d) de esta Sección, siempre y cuando el Secretario considere necesario que dicha exención servirá a los mejores intereses de Puerto Rico. El Secretario podrá, mediante carta circular u otra </w:t>
      </w:r>
      <w:r w:rsidRPr="00E72EAF">
        <w:rPr>
          <w:rFonts w:ascii="Book Antiqua" w:hAnsi="Book Antiqua"/>
        </w:rPr>
        <w:lastRenderedPageBreak/>
        <w:t>publicación de carácter general, establecer el procedimiento a seguir para solicitar exención expedita bajo este apartado.”</w:t>
      </w:r>
    </w:p>
    <w:p w14:paraId="5AD1B0FB" w14:textId="77777777" w:rsidR="00867C30" w:rsidRPr="00E72EAF" w:rsidRDefault="00867C30" w:rsidP="00867C30">
      <w:pPr>
        <w:pStyle w:val="BodyA"/>
        <w:spacing w:line="480" w:lineRule="auto"/>
        <w:ind w:firstLine="720"/>
        <w:jc w:val="both"/>
        <w:rPr>
          <w:rFonts w:ascii="Book Antiqua" w:hAnsi="Book Antiqua"/>
          <w:lang w:val="es-PR"/>
        </w:rPr>
      </w:pPr>
      <w:r w:rsidRPr="00E72EAF">
        <w:rPr>
          <w:rFonts w:ascii="Book Antiqua" w:hAnsi="Book Antiqua"/>
          <w:lang w:val="es-PR"/>
        </w:rPr>
        <w:t xml:space="preserve">Artículo 2.- Separabilidad. </w:t>
      </w:r>
    </w:p>
    <w:p w14:paraId="397F6C32" w14:textId="77777777" w:rsidR="00867C30" w:rsidRPr="00E72EAF" w:rsidRDefault="00867C30" w:rsidP="00867C30">
      <w:pPr>
        <w:pStyle w:val="BodyA"/>
        <w:spacing w:line="480" w:lineRule="auto"/>
        <w:ind w:firstLine="720"/>
        <w:jc w:val="both"/>
        <w:rPr>
          <w:rFonts w:ascii="Book Antiqua" w:hAnsi="Book Antiqua"/>
          <w:lang w:val="es-PR"/>
        </w:rPr>
      </w:pPr>
      <w:r w:rsidRPr="00E72EAF">
        <w:rPr>
          <w:rFonts w:ascii="Book Antiqua" w:hAnsi="Book Antiqua"/>
          <w:lang w:val="es-PR"/>
        </w:rPr>
        <w:t>Si cualquier cláusula, párrafo, subpárrafo, oración, palabra, letra, artículo, disposición, sección, subsección, título, capítulo, subcapítulo, acápite o parte de esta Ley fuera anulada o declarada inconstitucional, la resolución, el dictamen o la sentencia dictada a tal efecto no afectará, perjudicará, ni invalidará el remanente de esta Ley. El efecto de tal sentencia quedará limitado a la cláusula, párrafo, subpárrafo, oración, palabra, letra, artículo, disposición, sección, subsección, título, capítulo, subcapítulo, acápite o parte de ésta que así hubiera sido anulada o declarada inconstitucional. Si la aplicación a una persona o a una circunstancia de cualquier cláusula, párrafo, subpárrafo, oración, palabra, letra, artículo, disposición, sección, subsección, título, capítulo, subcapítulo, acápite o parte de esta Ley se invalidara o se declarara inconstitucional, la resolución, el dictamen o la sentencia dictada no afectará ni invalidará la aplicación del remanente de esta Ley a aquellas personas o circunstancias a las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w:t>
      </w:r>
    </w:p>
    <w:p w14:paraId="686679ED" w14:textId="77777777" w:rsidR="00867C30" w:rsidRPr="00E72EAF" w:rsidRDefault="00867C30" w:rsidP="00867C30">
      <w:pPr>
        <w:pStyle w:val="BodyA"/>
        <w:spacing w:line="480" w:lineRule="auto"/>
        <w:ind w:firstLine="720"/>
        <w:jc w:val="both"/>
        <w:rPr>
          <w:rFonts w:ascii="Book Antiqua" w:hAnsi="Book Antiqua"/>
          <w:lang w:val="es-PR"/>
        </w:rPr>
      </w:pPr>
      <w:r w:rsidRPr="00E72EAF">
        <w:rPr>
          <w:rFonts w:ascii="Book Antiqua" w:hAnsi="Book Antiqua"/>
          <w:lang w:val="es-PR"/>
        </w:rPr>
        <w:lastRenderedPageBreak/>
        <w:t>Artículo 3.-Vigencia.</w:t>
      </w:r>
    </w:p>
    <w:p w14:paraId="79550695" w14:textId="19F33427" w:rsidR="00FF2214" w:rsidRDefault="00867C30" w:rsidP="00867C30">
      <w:pPr>
        <w:pStyle w:val="BodyA"/>
        <w:spacing w:line="480" w:lineRule="auto"/>
        <w:ind w:firstLine="720"/>
        <w:jc w:val="both"/>
        <w:rPr>
          <w:rFonts w:ascii="Book Antiqua" w:hAnsi="Book Antiqua"/>
          <w:lang w:val="es-PR"/>
        </w:rPr>
      </w:pPr>
      <w:r w:rsidRPr="00E72EAF">
        <w:rPr>
          <w:rFonts w:ascii="Book Antiqua" w:hAnsi="Book Antiqua"/>
        </w:rPr>
        <w:t>Esta Ley comenzará a regir inmediatamente después de su aprobación</w:t>
      </w:r>
      <w:r w:rsidRPr="00E72EAF">
        <w:rPr>
          <w:rFonts w:ascii="Book Antiqua" w:hAnsi="Book Antiqua"/>
          <w:lang w:val="es-PR"/>
        </w:rPr>
        <w:t>.</w:t>
      </w:r>
      <w:bookmarkEnd w:id="1"/>
    </w:p>
    <w:p w14:paraId="633CED93" w14:textId="466ADFF7" w:rsidR="00013289" w:rsidRPr="00013289" w:rsidRDefault="00013289" w:rsidP="00013289">
      <w:pPr>
        <w:suppressLineNumbers/>
        <w:ind w:left="2074" w:right="2434"/>
        <w:contextualSpacing/>
        <w:rPr>
          <w:rFonts w:ascii="Book Antiqua" w:hAnsi="Book Antiqua" w:cs="Arial"/>
          <w:b/>
        </w:rPr>
      </w:pPr>
      <w:bookmarkStart w:id="2" w:name="_Hlk193289973"/>
      <w:r w:rsidRPr="00013289">
        <w:rPr>
          <w:rFonts w:ascii="Book Antiqua" w:hAnsi="Book Antiqua" w:cs="Arial"/>
          <w:b/>
        </w:rPr>
        <w:t xml:space="preserve"> </w:t>
      </w:r>
      <w:bookmarkEnd w:id="2"/>
    </w:p>
    <w:sectPr w:rsidR="00013289" w:rsidRPr="00013289" w:rsidSect="00867C30">
      <w:footerReference w:type="default" r:id="rId12"/>
      <w:footerReference w:type="first" r:id="rId13"/>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E2D5C" w14:textId="77777777" w:rsidR="00425710" w:rsidRPr="007F2135" w:rsidRDefault="00425710">
      <w:r w:rsidRPr="007F2135">
        <w:separator/>
      </w:r>
    </w:p>
  </w:endnote>
  <w:endnote w:type="continuationSeparator" w:id="0">
    <w:p w14:paraId="79F099AB" w14:textId="77777777" w:rsidR="00425710" w:rsidRPr="007F2135" w:rsidRDefault="00425710">
      <w:r w:rsidRPr="007F2135">
        <w:continuationSeparator/>
      </w:r>
    </w:p>
  </w:endnote>
  <w:endnote w:type="continuationNotice" w:id="1">
    <w:p w14:paraId="3B1D331F" w14:textId="77777777" w:rsidR="00425710" w:rsidRPr="007F2135" w:rsidRDefault="004257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69FD2950-6A73-47F8-BF4C-B44245131457}"/>
    <w:embedBold r:id="rId2" w:fontKey="{FC22F414-AD1D-49EF-B535-D31B1C107CCF}"/>
    <w:embedItalic r:id="rId3" w:fontKey="{924A7807-0DB2-4947-8BB7-2B3242970276}"/>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9851F372-FC21-40E3-BBB8-1A3B2FBCB3A1}"/>
  </w:font>
  <w:font w:name="Georgia">
    <w:panose1 w:val="02040502050405020303"/>
    <w:charset w:val="00"/>
    <w:family w:val="roman"/>
    <w:pitch w:val="variable"/>
    <w:sig w:usb0="00000287" w:usb1="00000000" w:usb2="00000000" w:usb3="00000000" w:csb0="0000009F" w:csb1="00000000"/>
    <w:embedRegular r:id="rId5" w:fontKey="{5B308738-C9E7-4707-84E7-815122648914}"/>
    <w:embedItalic r:id="rId6" w:fontKey="{D6C91762-D8DE-4B52-85CF-5AC3C7DB1356}"/>
  </w:font>
  <w:font w:name="DengXian">
    <w:altName w:val="等线"/>
    <w:panose1 w:val="02010600030101010101"/>
    <w:charset w:val="86"/>
    <w:family w:val="auto"/>
    <w:pitch w:val="variable"/>
    <w:sig w:usb0="A00002BF" w:usb1="38CF7CFA" w:usb2="00000016" w:usb3="00000000" w:csb0="0004000F" w:csb1="00000000"/>
  </w:font>
  <w:font w:name="DXANP N+ Serifa B T,">
    <w:altName w:val="Cambria"/>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embedRegular r:id="rId7" w:fontKey="{F700EC97-A63E-4D64-9E87-93C5F4ED8FD6}"/>
    <w:embedItalic r:id="rId8" w:fontKey="{53E4E026-B346-4D64-8F92-63FA2251997D}"/>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125CACB7-CF0D-42C3-8B4F-5B3B2A54C0C4}"/>
  </w:font>
  <w:font w:name="Calibri">
    <w:panose1 w:val="020F0502020204030204"/>
    <w:charset w:val="00"/>
    <w:family w:val="swiss"/>
    <w:pitch w:val="variable"/>
    <w:sig w:usb0="E4002EFF" w:usb1="C200247B" w:usb2="00000009" w:usb3="00000000" w:csb0="000001FF" w:csb1="00000000"/>
    <w:embedRegular r:id="rId10" w:fontKey="{13864B98-D744-4359-A2A2-49E1897C1A7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Pr="007F2135"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rsidRPr="007F2135" w14:paraId="7955069F" w14:textId="77777777">
      <w:trPr>
        <w:trHeight w:val="300"/>
      </w:trPr>
      <w:tc>
        <w:tcPr>
          <w:tcW w:w="3120" w:type="dxa"/>
          <w:tcMar>
            <w:top w:w="0" w:type="dxa"/>
            <w:left w:w="108" w:type="dxa"/>
            <w:bottom w:w="0" w:type="dxa"/>
            <w:right w:w="108" w:type="dxa"/>
          </w:tcMar>
        </w:tcPr>
        <w:p w14:paraId="7955069C"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Pr="007F2135" w:rsidRDefault="00FF2214">
          <w:pPr>
            <w:tabs>
              <w:tab w:val="center" w:pos="4320"/>
              <w:tab w:val="right" w:pos="8640"/>
            </w:tabs>
            <w:ind w:right="-115"/>
            <w:jc w:val="right"/>
            <w:rPr>
              <w:color w:val="000000"/>
            </w:rPr>
          </w:pPr>
        </w:p>
      </w:tc>
    </w:tr>
  </w:tbl>
  <w:p w14:paraId="795506A0" w14:textId="77777777" w:rsidR="00FF2214" w:rsidRPr="007F2135"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Pr="007F2135"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rsidRPr="007F2135" w14:paraId="795506A7" w14:textId="77777777">
      <w:trPr>
        <w:trHeight w:val="300"/>
      </w:trPr>
      <w:tc>
        <w:tcPr>
          <w:tcW w:w="3120" w:type="dxa"/>
          <w:tcMar>
            <w:top w:w="0" w:type="dxa"/>
            <w:left w:w="108" w:type="dxa"/>
            <w:bottom w:w="0" w:type="dxa"/>
            <w:right w:w="108" w:type="dxa"/>
          </w:tcMar>
        </w:tcPr>
        <w:p w14:paraId="795506A4" w14:textId="77777777" w:rsidR="00FF2214" w:rsidRPr="007F2135"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Pr="007F2135"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Pr="007F2135" w:rsidRDefault="00FF2214">
          <w:pPr>
            <w:tabs>
              <w:tab w:val="center" w:pos="4320"/>
              <w:tab w:val="right" w:pos="8640"/>
            </w:tabs>
            <w:ind w:right="-115"/>
            <w:jc w:val="right"/>
            <w:rPr>
              <w:color w:val="000000"/>
            </w:rPr>
          </w:pPr>
        </w:p>
      </w:tc>
    </w:tr>
  </w:tbl>
  <w:p w14:paraId="795506A8" w14:textId="77777777" w:rsidR="00FF2214" w:rsidRPr="007F2135" w:rsidRDefault="00FF2214">
    <w:pPr>
      <w:tabs>
        <w:tab w:val="center" w:pos="4320"/>
        <w:tab w:val="right" w:pos="8640"/>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A8CB6" w14:textId="77777777" w:rsidR="00FF2214" w:rsidRDefault="00FF2214">
    <w:pPr>
      <w:widowControl w:val="0"/>
      <w:spacing w:line="276" w:lineRule="auto"/>
      <w:rPr>
        <w:color w:val="000000"/>
      </w:rPr>
    </w:pPr>
  </w:p>
  <w:tbl>
    <w:tblPr>
      <w:tblStyle w:val="Style43"/>
      <w:tblW w:w="9360" w:type="dxa"/>
      <w:tblInd w:w="0" w:type="dxa"/>
      <w:tblLayout w:type="fixed"/>
      <w:tblLook w:val="04A0" w:firstRow="1" w:lastRow="0" w:firstColumn="1" w:lastColumn="0" w:noHBand="0" w:noVBand="1"/>
    </w:tblPr>
    <w:tblGrid>
      <w:gridCol w:w="3120"/>
      <w:gridCol w:w="3120"/>
      <w:gridCol w:w="3120"/>
    </w:tblGrid>
    <w:tr w:rsidR="00FF2214" w14:paraId="16681698" w14:textId="77777777">
      <w:trPr>
        <w:trHeight w:val="300"/>
      </w:trPr>
      <w:tc>
        <w:tcPr>
          <w:tcW w:w="3120" w:type="dxa"/>
          <w:tcMar>
            <w:top w:w="0" w:type="dxa"/>
            <w:left w:w="108" w:type="dxa"/>
            <w:bottom w:w="0" w:type="dxa"/>
            <w:right w:w="108" w:type="dxa"/>
          </w:tcMar>
        </w:tcPr>
        <w:p w14:paraId="10E4E10F"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379AC61B"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47AEC27D" w14:textId="77777777" w:rsidR="00FF2214" w:rsidRDefault="00FF2214">
          <w:pPr>
            <w:tabs>
              <w:tab w:val="center" w:pos="4320"/>
              <w:tab w:val="right" w:pos="8640"/>
            </w:tabs>
            <w:ind w:right="-115"/>
            <w:jc w:val="right"/>
            <w:rPr>
              <w:color w:val="000000"/>
            </w:rPr>
          </w:pPr>
        </w:p>
      </w:tc>
    </w:tr>
  </w:tbl>
  <w:p w14:paraId="32378F40" w14:textId="77777777" w:rsidR="00FF2214" w:rsidRDefault="00FF2214">
    <w:pPr>
      <w:tabs>
        <w:tab w:val="center" w:pos="4320"/>
        <w:tab w:val="right" w:pos="8640"/>
      </w:tabs>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63BB8" w14:textId="77777777" w:rsidR="00FF2214" w:rsidRDefault="00FF2214">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FF2214" w14:paraId="692E601E" w14:textId="77777777">
      <w:trPr>
        <w:trHeight w:val="300"/>
      </w:trPr>
      <w:tc>
        <w:tcPr>
          <w:tcW w:w="3120" w:type="dxa"/>
          <w:tcMar>
            <w:top w:w="0" w:type="dxa"/>
            <w:left w:w="108" w:type="dxa"/>
            <w:bottom w:w="0" w:type="dxa"/>
            <w:right w:w="108" w:type="dxa"/>
          </w:tcMar>
        </w:tcPr>
        <w:p w14:paraId="5AFDF41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5B8AB016"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29214A1" w14:textId="77777777" w:rsidR="00FF2214" w:rsidRDefault="00FF2214">
          <w:pPr>
            <w:tabs>
              <w:tab w:val="center" w:pos="4320"/>
              <w:tab w:val="right" w:pos="8640"/>
            </w:tabs>
            <w:ind w:right="-115"/>
            <w:jc w:val="right"/>
            <w:rPr>
              <w:color w:val="000000"/>
            </w:rPr>
          </w:pPr>
        </w:p>
      </w:tc>
    </w:tr>
  </w:tbl>
  <w:p w14:paraId="332A5403"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84359" w14:textId="77777777" w:rsidR="00425710" w:rsidRPr="007F2135" w:rsidRDefault="00425710">
      <w:r w:rsidRPr="007F2135">
        <w:separator/>
      </w:r>
    </w:p>
  </w:footnote>
  <w:footnote w:type="continuationSeparator" w:id="0">
    <w:p w14:paraId="167421D6" w14:textId="77777777" w:rsidR="00425710" w:rsidRPr="007F2135" w:rsidRDefault="00425710">
      <w:r w:rsidRPr="007F2135">
        <w:continuationSeparator/>
      </w:r>
    </w:p>
  </w:footnote>
  <w:footnote w:type="continuationNotice" w:id="1">
    <w:p w14:paraId="1AD15F26" w14:textId="77777777" w:rsidR="00425710" w:rsidRPr="007F2135" w:rsidRDefault="004257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Pr="007F2135" w:rsidRDefault="00850770">
    <w:pPr>
      <w:tabs>
        <w:tab w:val="center" w:pos="4320"/>
        <w:tab w:val="right" w:pos="8640"/>
      </w:tabs>
      <w:jc w:val="center"/>
      <w:rPr>
        <w:color w:val="000000"/>
      </w:rPr>
    </w:pPr>
    <w:r w:rsidRPr="007F2135">
      <w:rPr>
        <w:color w:val="000000"/>
      </w:rPr>
      <w:fldChar w:fldCharType="begin"/>
    </w:r>
    <w:r w:rsidRPr="007F2135">
      <w:rPr>
        <w:color w:val="000000"/>
      </w:rPr>
      <w:instrText>PAGE</w:instrText>
    </w:r>
    <w:r w:rsidRPr="007F2135">
      <w:rPr>
        <w:color w:val="000000"/>
      </w:rPr>
      <w:fldChar w:fldCharType="separate"/>
    </w:r>
    <w:r w:rsidRPr="007F2135">
      <w:rPr>
        <w:color w:val="000000"/>
      </w:rPr>
      <w:t>2</w:t>
    </w:r>
    <w:r w:rsidRPr="007F2135">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7821B033" w:rsidR="00FF2214" w:rsidRPr="007F2135" w:rsidRDefault="00850770">
    <w:pPr>
      <w:tabs>
        <w:tab w:val="center" w:pos="4320"/>
        <w:tab w:val="right" w:pos="8640"/>
      </w:tabs>
      <w:jc w:val="right"/>
      <w:rPr>
        <w:color w:val="000000"/>
      </w:rPr>
    </w:pPr>
    <w:r w:rsidRPr="007F2135">
      <w:rPr>
        <w:color w:val="000000"/>
      </w:rPr>
      <w:t>A-0</w:t>
    </w:r>
    <w:r w:rsidR="00EE63CA">
      <w:rPr>
        <w:color w:val="000000"/>
      </w:rPr>
      <w:t>4</w:t>
    </w:r>
    <w:r w:rsidR="00867C30">
      <w:rPr>
        <w:color w:val="000000"/>
      </w:rPr>
      <w:t>4</w:t>
    </w:r>
  </w:p>
  <w:p w14:paraId="795506A2" w14:textId="77777777" w:rsidR="00FF2214" w:rsidRPr="007F2135" w:rsidRDefault="00850770">
    <w:pPr>
      <w:tabs>
        <w:tab w:val="center" w:pos="4320"/>
        <w:tab w:val="right" w:pos="8640"/>
      </w:tabs>
      <w:rPr>
        <w:color w:val="000000"/>
      </w:rPr>
    </w:pPr>
    <w:r w:rsidRPr="007F2135">
      <w:rPr>
        <w:color w:val="000000"/>
      </w:rPr>
      <w:tab/>
    </w:r>
    <w:r w:rsidRPr="007F2135">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225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7051407">
    <w:abstractNumId w:val="11"/>
  </w:num>
  <w:num w:numId="2" w16cid:durableId="1011832284">
    <w:abstractNumId w:val="4"/>
  </w:num>
  <w:num w:numId="3" w16cid:durableId="1943102285">
    <w:abstractNumId w:val="20"/>
  </w:num>
  <w:num w:numId="4" w16cid:durableId="1106316835">
    <w:abstractNumId w:val="16"/>
  </w:num>
  <w:num w:numId="5" w16cid:durableId="455106598">
    <w:abstractNumId w:val="14"/>
  </w:num>
  <w:num w:numId="6" w16cid:durableId="175340939">
    <w:abstractNumId w:val="1"/>
  </w:num>
  <w:num w:numId="7" w16cid:durableId="1854225982">
    <w:abstractNumId w:val="17"/>
  </w:num>
  <w:num w:numId="8" w16cid:durableId="1919754197">
    <w:abstractNumId w:val="0"/>
  </w:num>
  <w:num w:numId="9" w16cid:durableId="365562201">
    <w:abstractNumId w:val="3"/>
  </w:num>
  <w:num w:numId="10" w16cid:durableId="1904826230">
    <w:abstractNumId w:val="7"/>
  </w:num>
  <w:num w:numId="11" w16cid:durableId="118687224">
    <w:abstractNumId w:val="8"/>
  </w:num>
  <w:num w:numId="12" w16cid:durableId="508376565">
    <w:abstractNumId w:val="12"/>
  </w:num>
  <w:num w:numId="13" w16cid:durableId="216819222">
    <w:abstractNumId w:val="10"/>
  </w:num>
  <w:num w:numId="14" w16cid:durableId="517544549">
    <w:abstractNumId w:val="18"/>
  </w:num>
  <w:num w:numId="15" w16cid:durableId="478498451">
    <w:abstractNumId w:val="9"/>
  </w:num>
  <w:num w:numId="16" w16cid:durableId="46998239">
    <w:abstractNumId w:val="19"/>
  </w:num>
  <w:num w:numId="17" w16cid:durableId="275597364">
    <w:abstractNumId w:val="2"/>
  </w:num>
  <w:num w:numId="18" w16cid:durableId="1162702400">
    <w:abstractNumId w:val="5"/>
  </w:num>
  <w:num w:numId="19" w16cid:durableId="2055156664">
    <w:abstractNumId w:val="13"/>
  </w:num>
  <w:num w:numId="20" w16cid:durableId="1121461949">
    <w:abstractNumId w:val="15"/>
  </w:num>
  <w:num w:numId="21" w16cid:durableId="5043975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3E86"/>
    <w:rsid w:val="000069C8"/>
    <w:rsid w:val="000102C6"/>
    <w:rsid w:val="0001054D"/>
    <w:rsid w:val="000107AB"/>
    <w:rsid w:val="00010836"/>
    <w:rsid w:val="00013289"/>
    <w:rsid w:val="0001793B"/>
    <w:rsid w:val="00022FC4"/>
    <w:rsid w:val="00027C66"/>
    <w:rsid w:val="00032F6A"/>
    <w:rsid w:val="00040CAA"/>
    <w:rsid w:val="000474CF"/>
    <w:rsid w:val="000502AE"/>
    <w:rsid w:val="00056D71"/>
    <w:rsid w:val="00057EF4"/>
    <w:rsid w:val="0007036F"/>
    <w:rsid w:val="000741B3"/>
    <w:rsid w:val="0008657D"/>
    <w:rsid w:val="00091F49"/>
    <w:rsid w:val="00093558"/>
    <w:rsid w:val="00094484"/>
    <w:rsid w:val="0009603C"/>
    <w:rsid w:val="000A1DC3"/>
    <w:rsid w:val="000A33B9"/>
    <w:rsid w:val="000B33EC"/>
    <w:rsid w:val="000B757B"/>
    <w:rsid w:val="000B77A8"/>
    <w:rsid w:val="000C0F6A"/>
    <w:rsid w:val="000C5223"/>
    <w:rsid w:val="000C58FF"/>
    <w:rsid w:val="000C68E5"/>
    <w:rsid w:val="000D2EB5"/>
    <w:rsid w:val="000D30A4"/>
    <w:rsid w:val="000D67BA"/>
    <w:rsid w:val="000E515E"/>
    <w:rsid w:val="000E6633"/>
    <w:rsid w:val="000F222B"/>
    <w:rsid w:val="00113415"/>
    <w:rsid w:val="001150B3"/>
    <w:rsid w:val="00115129"/>
    <w:rsid w:val="001216F2"/>
    <w:rsid w:val="0012419B"/>
    <w:rsid w:val="001255FB"/>
    <w:rsid w:val="001275A9"/>
    <w:rsid w:val="001336EE"/>
    <w:rsid w:val="00133D83"/>
    <w:rsid w:val="001433C2"/>
    <w:rsid w:val="00150C87"/>
    <w:rsid w:val="00152B9A"/>
    <w:rsid w:val="00157BB5"/>
    <w:rsid w:val="001613A5"/>
    <w:rsid w:val="00164E97"/>
    <w:rsid w:val="001677A8"/>
    <w:rsid w:val="0017795B"/>
    <w:rsid w:val="00185EA9"/>
    <w:rsid w:val="00191362"/>
    <w:rsid w:val="00194A5E"/>
    <w:rsid w:val="00194D59"/>
    <w:rsid w:val="0019674C"/>
    <w:rsid w:val="001969E8"/>
    <w:rsid w:val="001A1EA2"/>
    <w:rsid w:val="001B65EB"/>
    <w:rsid w:val="001C05DD"/>
    <w:rsid w:val="001C1387"/>
    <w:rsid w:val="001C50A0"/>
    <w:rsid w:val="001C7468"/>
    <w:rsid w:val="001D07B3"/>
    <w:rsid w:val="001D0FDF"/>
    <w:rsid w:val="001D1537"/>
    <w:rsid w:val="001D4BBB"/>
    <w:rsid w:val="001D54A8"/>
    <w:rsid w:val="001E1A20"/>
    <w:rsid w:val="001F0F16"/>
    <w:rsid w:val="001F3565"/>
    <w:rsid w:val="001F4366"/>
    <w:rsid w:val="0021009A"/>
    <w:rsid w:val="002121D5"/>
    <w:rsid w:val="002138BE"/>
    <w:rsid w:val="00225160"/>
    <w:rsid w:val="00230215"/>
    <w:rsid w:val="002304C5"/>
    <w:rsid w:val="002318F0"/>
    <w:rsid w:val="00231C2C"/>
    <w:rsid w:val="0023393F"/>
    <w:rsid w:val="002429DB"/>
    <w:rsid w:val="002435A4"/>
    <w:rsid w:val="0024422E"/>
    <w:rsid w:val="00251AFB"/>
    <w:rsid w:val="00252646"/>
    <w:rsid w:val="00254DCC"/>
    <w:rsid w:val="002600AE"/>
    <w:rsid w:val="00260FC0"/>
    <w:rsid w:val="002646F8"/>
    <w:rsid w:val="00266688"/>
    <w:rsid w:val="00273031"/>
    <w:rsid w:val="00285A15"/>
    <w:rsid w:val="0028794F"/>
    <w:rsid w:val="00291A4F"/>
    <w:rsid w:val="002A1D65"/>
    <w:rsid w:val="002A23EE"/>
    <w:rsid w:val="002A4F4F"/>
    <w:rsid w:val="002B2FBB"/>
    <w:rsid w:val="002B5618"/>
    <w:rsid w:val="002B62EE"/>
    <w:rsid w:val="002B7906"/>
    <w:rsid w:val="002C1726"/>
    <w:rsid w:val="002C47C3"/>
    <w:rsid w:val="002D6159"/>
    <w:rsid w:val="002F21CF"/>
    <w:rsid w:val="002F48BA"/>
    <w:rsid w:val="002F5B16"/>
    <w:rsid w:val="00302F90"/>
    <w:rsid w:val="0030308D"/>
    <w:rsid w:val="00310FDD"/>
    <w:rsid w:val="0031323F"/>
    <w:rsid w:val="00313C97"/>
    <w:rsid w:val="00314E6B"/>
    <w:rsid w:val="00321AB7"/>
    <w:rsid w:val="0032794E"/>
    <w:rsid w:val="00332E7A"/>
    <w:rsid w:val="00343CBC"/>
    <w:rsid w:val="0034626A"/>
    <w:rsid w:val="00346582"/>
    <w:rsid w:val="003524D5"/>
    <w:rsid w:val="00356264"/>
    <w:rsid w:val="00356E97"/>
    <w:rsid w:val="00365FFA"/>
    <w:rsid w:val="00371D68"/>
    <w:rsid w:val="00372E7F"/>
    <w:rsid w:val="0037751A"/>
    <w:rsid w:val="00381E1D"/>
    <w:rsid w:val="00391B13"/>
    <w:rsid w:val="003A2100"/>
    <w:rsid w:val="003A7B1A"/>
    <w:rsid w:val="003B17EE"/>
    <w:rsid w:val="003B2357"/>
    <w:rsid w:val="003B60C3"/>
    <w:rsid w:val="003B6F6C"/>
    <w:rsid w:val="003C79D6"/>
    <w:rsid w:val="003D3B08"/>
    <w:rsid w:val="003D42BF"/>
    <w:rsid w:val="003D4499"/>
    <w:rsid w:val="003E0CF2"/>
    <w:rsid w:val="003E2D11"/>
    <w:rsid w:val="003E30F3"/>
    <w:rsid w:val="003F18AA"/>
    <w:rsid w:val="003F352A"/>
    <w:rsid w:val="00411B21"/>
    <w:rsid w:val="00411D69"/>
    <w:rsid w:val="004143E0"/>
    <w:rsid w:val="00415E5D"/>
    <w:rsid w:val="00416F13"/>
    <w:rsid w:val="004221C5"/>
    <w:rsid w:val="004246A8"/>
    <w:rsid w:val="00425710"/>
    <w:rsid w:val="0042619D"/>
    <w:rsid w:val="00432896"/>
    <w:rsid w:val="00437135"/>
    <w:rsid w:val="00437DC4"/>
    <w:rsid w:val="004403A8"/>
    <w:rsid w:val="00444257"/>
    <w:rsid w:val="00452649"/>
    <w:rsid w:val="00461FBD"/>
    <w:rsid w:val="00462353"/>
    <w:rsid w:val="00462BEA"/>
    <w:rsid w:val="00465256"/>
    <w:rsid w:val="004674AD"/>
    <w:rsid w:val="0048210C"/>
    <w:rsid w:val="0049425A"/>
    <w:rsid w:val="004A0EAF"/>
    <w:rsid w:val="004A5974"/>
    <w:rsid w:val="004A63FB"/>
    <w:rsid w:val="004A763E"/>
    <w:rsid w:val="004B290C"/>
    <w:rsid w:val="004B357F"/>
    <w:rsid w:val="004C411D"/>
    <w:rsid w:val="004C41AE"/>
    <w:rsid w:val="004C6236"/>
    <w:rsid w:val="004D03F5"/>
    <w:rsid w:val="004D0CDB"/>
    <w:rsid w:val="004D7071"/>
    <w:rsid w:val="004E04A9"/>
    <w:rsid w:val="004E6136"/>
    <w:rsid w:val="004F6B8B"/>
    <w:rsid w:val="005003F6"/>
    <w:rsid w:val="00502B14"/>
    <w:rsid w:val="00503836"/>
    <w:rsid w:val="00503C13"/>
    <w:rsid w:val="00504742"/>
    <w:rsid w:val="00506CA0"/>
    <w:rsid w:val="00511693"/>
    <w:rsid w:val="00521CE8"/>
    <w:rsid w:val="005229AD"/>
    <w:rsid w:val="00524FBA"/>
    <w:rsid w:val="005268D5"/>
    <w:rsid w:val="00526AC9"/>
    <w:rsid w:val="00527B13"/>
    <w:rsid w:val="00534596"/>
    <w:rsid w:val="005427F8"/>
    <w:rsid w:val="00543529"/>
    <w:rsid w:val="00546040"/>
    <w:rsid w:val="00552C7A"/>
    <w:rsid w:val="00556C43"/>
    <w:rsid w:val="005640D7"/>
    <w:rsid w:val="0056577A"/>
    <w:rsid w:val="00573345"/>
    <w:rsid w:val="0057336F"/>
    <w:rsid w:val="00573C36"/>
    <w:rsid w:val="0057595D"/>
    <w:rsid w:val="0057614A"/>
    <w:rsid w:val="00576725"/>
    <w:rsid w:val="00580739"/>
    <w:rsid w:val="00591957"/>
    <w:rsid w:val="005A3527"/>
    <w:rsid w:val="005A5C2E"/>
    <w:rsid w:val="005B3512"/>
    <w:rsid w:val="005B3BBD"/>
    <w:rsid w:val="005C3826"/>
    <w:rsid w:val="005C3AFC"/>
    <w:rsid w:val="005C7524"/>
    <w:rsid w:val="005D3EB3"/>
    <w:rsid w:val="005E3602"/>
    <w:rsid w:val="005E3680"/>
    <w:rsid w:val="005E4152"/>
    <w:rsid w:val="005E63C3"/>
    <w:rsid w:val="005E7EC5"/>
    <w:rsid w:val="005F0A2C"/>
    <w:rsid w:val="005F265C"/>
    <w:rsid w:val="005F2872"/>
    <w:rsid w:val="005F486E"/>
    <w:rsid w:val="0060246B"/>
    <w:rsid w:val="00604DA6"/>
    <w:rsid w:val="006156E3"/>
    <w:rsid w:val="00615B4D"/>
    <w:rsid w:val="0061628B"/>
    <w:rsid w:val="0062471D"/>
    <w:rsid w:val="006414C7"/>
    <w:rsid w:val="00642C79"/>
    <w:rsid w:val="006430D0"/>
    <w:rsid w:val="0064494E"/>
    <w:rsid w:val="00654571"/>
    <w:rsid w:val="00657A02"/>
    <w:rsid w:val="00663D06"/>
    <w:rsid w:val="00670249"/>
    <w:rsid w:val="00670CA7"/>
    <w:rsid w:val="0068065A"/>
    <w:rsid w:val="006819FE"/>
    <w:rsid w:val="00694E17"/>
    <w:rsid w:val="006950A2"/>
    <w:rsid w:val="006A1488"/>
    <w:rsid w:val="006B17C2"/>
    <w:rsid w:val="006B3A56"/>
    <w:rsid w:val="006B78AD"/>
    <w:rsid w:val="006C4755"/>
    <w:rsid w:val="006C5540"/>
    <w:rsid w:val="006C6334"/>
    <w:rsid w:val="006D1974"/>
    <w:rsid w:val="006D7DF6"/>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53E10"/>
    <w:rsid w:val="00755AEC"/>
    <w:rsid w:val="00755DDC"/>
    <w:rsid w:val="00760792"/>
    <w:rsid w:val="0077017C"/>
    <w:rsid w:val="00773ABA"/>
    <w:rsid w:val="0078017D"/>
    <w:rsid w:val="00781480"/>
    <w:rsid w:val="00791FA9"/>
    <w:rsid w:val="00795BD6"/>
    <w:rsid w:val="007A346E"/>
    <w:rsid w:val="007A4745"/>
    <w:rsid w:val="007A5875"/>
    <w:rsid w:val="007B090C"/>
    <w:rsid w:val="007C7157"/>
    <w:rsid w:val="007D76E0"/>
    <w:rsid w:val="007E368D"/>
    <w:rsid w:val="007F2135"/>
    <w:rsid w:val="00804D98"/>
    <w:rsid w:val="00805B64"/>
    <w:rsid w:val="00805D96"/>
    <w:rsid w:val="00807CED"/>
    <w:rsid w:val="00812840"/>
    <w:rsid w:val="008316F2"/>
    <w:rsid w:val="00831773"/>
    <w:rsid w:val="008337A4"/>
    <w:rsid w:val="00834801"/>
    <w:rsid w:val="00836115"/>
    <w:rsid w:val="00836710"/>
    <w:rsid w:val="008402C1"/>
    <w:rsid w:val="008450D8"/>
    <w:rsid w:val="00850770"/>
    <w:rsid w:val="008574AE"/>
    <w:rsid w:val="00864305"/>
    <w:rsid w:val="008670BC"/>
    <w:rsid w:val="00867C30"/>
    <w:rsid w:val="008720A6"/>
    <w:rsid w:val="00881D48"/>
    <w:rsid w:val="008863D7"/>
    <w:rsid w:val="0089008A"/>
    <w:rsid w:val="00890C4D"/>
    <w:rsid w:val="00891773"/>
    <w:rsid w:val="008925BB"/>
    <w:rsid w:val="008A1F5E"/>
    <w:rsid w:val="008A5641"/>
    <w:rsid w:val="008B3680"/>
    <w:rsid w:val="008C0934"/>
    <w:rsid w:val="008D172D"/>
    <w:rsid w:val="008D2008"/>
    <w:rsid w:val="008D47FA"/>
    <w:rsid w:val="008D5A27"/>
    <w:rsid w:val="008D5B00"/>
    <w:rsid w:val="008E23CC"/>
    <w:rsid w:val="008E3AED"/>
    <w:rsid w:val="008E5542"/>
    <w:rsid w:val="008E5DA2"/>
    <w:rsid w:val="008F27E4"/>
    <w:rsid w:val="008F7FC7"/>
    <w:rsid w:val="0090179D"/>
    <w:rsid w:val="009061B2"/>
    <w:rsid w:val="009063F6"/>
    <w:rsid w:val="00910CF1"/>
    <w:rsid w:val="00916051"/>
    <w:rsid w:val="0091725F"/>
    <w:rsid w:val="00922818"/>
    <w:rsid w:val="00930E48"/>
    <w:rsid w:val="0093314A"/>
    <w:rsid w:val="0093744C"/>
    <w:rsid w:val="00942E06"/>
    <w:rsid w:val="00950505"/>
    <w:rsid w:val="00950A46"/>
    <w:rsid w:val="00952875"/>
    <w:rsid w:val="00954675"/>
    <w:rsid w:val="00962C3E"/>
    <w:rsid w:val="0096300D"/>
    <w:rsid w:val="00963E17"/>
    <w:rsid w:val="00965195"/>
    <w:rsid w:val="00970540"/>
    <w:rsid w:val="00971D18"/>
    <w:rsid w:val="00975B0E"/>
    <w:rsid w:val="009833D3"/>
    <w:rsid w:val="009927E5"/>
    <w:rsid w:val="009A0ED5"/>
    <w:rsid w:val="009B47BF"/>
    <w:rsid w:val="009D1C75"/>
    <w:rsid w:val="009D5726"/>
    <w:rsid w:val="009D61E3"/>
    <w:rsid w:val="009D7450"/>
    <w:rsid w:val="009D79EC"/>
    <w:rsid w:val="009E36AA"/>
    <w:rsid w:val="009F15AE"/>
    <w:rsid w:val="00A02203"/>
    <w:rsid w:val="00A04577"/>
    <w:rsid w:val="00A11BAB"/>
    <w:rsid w:val="00A1720E"/>
    <w:rsid w:val="00A22039"/>
    <w:rsid w:val="00A23051"/>
    <w:rsid w:val="00A23CBE"/>
    <w:rsid w:val="00A26252"/>
    <w:rsid w:val="00A26489"/>
    <w:rsid w:val="00A30925"/>
    <w:rsid w:val="00A3392B"/>
    <w:rsid w:val="00A41F69"/>
    <w:rsid w:val="00A44362"/>
    <w:rsid w:val="00A47378"/>
    <w:rsid w:val="00A47BDC"/>
    <w:rsid w:val="00A52322"/>
    <w:rsid w:val="00A52F9B"/>
    <w:rsid w:val="00A5416B"/>
    <w:rsid w:val="00A55370"/>
    <w:rsid w:val="00A62528"/>
    <w:rsid w:val="00A67A3A"/>
    <w:rsid w:val="00A770A7"/>
    <w:rsid w:val="00A7759E"/>
    <w:rsid w:val="00A8093F"/>
    <w:rsid w:val="00A860DC"/>
    <w:rsid w:val="00A92D34"/>
    <w:rsid w:val="00A94A37"/>
    <w:rsid w:val="00A9567F"/>
    <w:rsid w:val="00AA1BAB"/>
    <w:rsid w:val="00AB417C"/>
    <w:rsid w:val="00AB6B2F"/>
    <w:rsid w:val="00AC7A4D"/>
    <w:rsid w:val="00AD173C"/>
    <w:rsid w:val="00AD1CE3"/>
    <w:rsid w:val="00AD2586"/>
    <w:rsid w:val="00AD3CF8"/>
    <w:rsid w:val="00AD473B"/>
    <w:rsid w:val="00AD4C7D"/>
    <w:rsid w:val="00AE1FE1"/>
    <w:rsid w:val="00AF19DC"/>
    <w:rsid w:val="00AF26DE"/>
    <w:rsid w:val="00B00227"/>
    <w:rsid w:val="00B01686"/>
    <w:rsid w:val="00B02CD9"/>
    <w:rsid w:val="00B03F2F"/>
    <w:rsid w:val="00B06BD6"/>
    <w:rsid w:val="00B06EBD"/>
    <w:rsid w:val="00B12738"/>
    <w:rsid w:val="00B139D2"/>
    <w:rsid w:val="00B13D1B"/>
    <w:rsid w:val="00B14DA2"/>
    <w:rsid w:val="00B155EE"/>
    <w:rsid w:val="00B158BC"/>
    <w:rsid w:val="00B20626"/>
    <w:rsid w:val="00B231AC"/>
    <w:rsid w:val="00B23F46"/>
    <w:rsid w:val="00B24BAA"/>
    <w:rsid w:val="00B34B9F"/>
    <w:rsid w:val="00B41851"/>
    <w:rsid w:val="00B51DBD"/>
    <w:rsid w:val="00B5375E"/>
    <w:rsid w:val="00B53B27"/>
    <w:rsid w:val="00B54199"/>
    <w:rsid w:val="00B57F92"/>
    <w:rsid w:val="00B60014"/>
    <w:rsid w:val="00B70B63"/>
    <w:rsid w:val="00B72A6A"/>
    <w:rsid w:val="00B74EC0"/>
    <w:rsid w:val="00B81E44"/>
    <w:rsid w:val="00B84666"/>
    <w:rsid w:val="00B84B1D"/>
    <w:rsid w:val="00B87A1C"/>
    <w:rsid w:val="00B87D3C"/>
    <w:rsid w:val="00B950B6"/>
    <w:rsid w:val="00BA3CB8"/>
    <w:rsid w:val="00BA70CD"/>
    <w:rsid w:val="00BB3314"/>
    <w:rsid w:val="00BB3C4F"/>
    <w:rsid w:val="00BB48CC"/>
    <w:rsid w:val="00BB4F4D"/>
    <w:rsid w:val="00BC1AD6"/>
    <w:rsid w:val="00BD11DE"/>
    <w:rsid w:val="00BD4F99"/>
    <w:rsid w:val="00BE4BBF"/>
    <w:rsid w:val="00BE55AC"/>
    <w:rsid w:val="00BE6A63"/>
    <w:rsid w:val="00BE7D02"/>
    <w:rsid w:val="00BF5A14"/>
    <w:rsid w:val="00BF5DE6"/>
    <w:rsid w:val="00C004A4"/>
    <w:rsid w:val="00C05E49"/>
    <w:rsid w:val="00C05E9D"/>
    <w:rsid w:val="00C13DC9"/>
    <w:rsid w:val="00C25487"/>
    <w:rsid w:val="00C32AB8"/>
    <w:rsid w:val="00C32AF1"/>
    <w:rsid w:val="00C33CEB"/>
    <w:rsid w:val="00C361CD"/>
    <w:rsid w:val="00C57448"/>
    <w:rsid w:val="00C635EB"/>
    <w:rsid w:val="00C708B7"/>
    <w:rsid w:val="00C71782"/>
    <w:rsid w:val="00C8076C"/>
    <w:rsid w:val="00C87975"/>
    <w:rsid w:val="00C90DA0"/>
    <w:rsid w:val="00C93262"/>
    <w:rsid w:val="00C97C1A"/>
    <w:rsid w:val="00CA38D8"/>
    <w:rsid w:val="00CA3F74"/>
    <w:rsid w:val="00CA5BDF"/>
    <w:rsid w:val="00CB2AE9"/>
    <w:rsid w:val="00CB6810"/>
    <w:rsid w:val="00CC12B7"/>
    <w:rsid w:val="00CC16C2"/>
    <w:rsid w:val="00CC2987"/>
    <w:rsid w:val="00CC3134"/>
    <w:rsid w:val="00CC3852"/>
    <w:rsid w:val="00CC4EDC"/>
    <w:rsid w:val="00CD0E6C"/>
    <w:rsid w:val="00CD7B56"/>
    <w:rsid w:val="00CE36C8"/>
    <w:rsid w:val="00CF3010"/>
    <w:rsid w:val="00CF4242"/>
    <w:rsid w:val="00CF70FE"/>
    <w:rsid w:val="00D00EE1"/>
    <w:rsid w:val="00D21E5F"/>
    <w:rsid w:val="00D24065"/>
    <w:rsid w:val="00D312C4"/>
    <w:rsid w:val="00D42696"/>
    <w:rsid w:val="00D43E19"/>
    <w:rsid w:val="00D50765"/>
    <w:rsid w:val="00D50CD3"/>
    <w:rsid w:val="00D84992"/>
    <w:rsid w:val="00D937E3"/>
    <w:rsid w:val="00D938F9"/>
    <w:rsid w:val="00D95879"/>
    <w:rsid w:val="00D962FB"/>
    <w:rsid w:val="00DA5EB9"/>
    <w:rsid w:val="00DD225A"/>
    <w:rsid w:val="00DD4EC2"/>
    <w:rsid w:val="00DD633A"/>
    <w:rsid w:val="00DE4C0D"/>
    <w:rsid w:val="00DF4DB8"/>
    <w:rsid w:val="00DF5718"/>
    <w:rsid w:val="00DF5E51"/>
    <w:rsid w:val="00E03053"/>
    <w:rsid w:val="00E05064"/>
    <w:rsid w:val="00E138E0"/>
    <w:rsid w:val="00E142DA"/>
    <w:rsid w:val="00E15D1D"/>
    <w:rsid w:val="00E22AE3"/>
    <w:rsid w:val="00E22CE1"/>
    <w:rsid w:val="00E2741C"/>
    <w:rsid w:val="00E30811"/>
    <w:rsid w:val="00E31356"/>
    <w:rsid w:val="00E45E9B"/>
    <w:rsid w:val="00E64141"/>
    <w:rsid w:val="00E65583"/>
    <w:rsid w:val="00E67017"/>
    <w:rsid w:val="00E673B7"/>
    <w:rsid w:val="00E72EAF"/>
    <w:rsid w:val="00E73B27"/>
    <w:rsid w:val="00E75D0B"/>
    <w:rsid w:val="00E83E85"/>
    <w:rsid w:val="00E8449E"/>
    <w:rsid w:val="00E87812"/>
    <w:rsid w:val="00E90225"/>
    <w:rsid w:val="00E93811"/>
    <w:rsid w:val="00E97260"/>
    <w:rsid w:val="00EA3595"/>
    <w:rsid w:val="00EA5801"/>
    <w:rsid w:val="00EA6377"/>
    <w:rsid w:val="00EB087E"/>
    <w:rsid w:val="00EB0D65"/>
    <w:rsid w:val="00EB506F"/>
    <w:rsid w:val="00EC2169"/>
    <w:rsid w:val="00EC31D3"/>
    <w:rsid w:val="00EC69F6"/>
    <w:rsid w:val="00ED3996"/>
    <w:rsid w:val="00ED3D87"/>
    <w:rsid w:val="00ED5A58"/>
    <w:rsid w:val="00EE009B"/>
    <w:rsid w:val="00EE63CA"/>
    <w:rsid w:val="00EF2711"/>
    <w:rsid w:val="00EF2D8D"/>
    <w:rsid w:val="00F026C9"/>
    <w:rsid w:val="00F16B71"/>
    <w:rsid w:val="00F245C1"/>
    <w:rsid w:val="00F27415"/>
    <w:rsid w:val="00F3308A"/>
    <w:rsid w:val="00F36138"/>
    <w:rsid w:val="00F42967"/>
    <w:rsid w:val="00F519A3"/>
    <w:rsid w:val="00F55BC6"/>
    <w:rsid w:val="00F571EB"/>
    <w:rsid w:val="00F65464"/>
    <w:rsid w:val="00F70223"/>
    <w:rsid w:val="00F70BEF"/>
    <w:rsid w:val="00F70D38"/>
    <w:rsid w:val="00F739FE"/>
    <w:rsid w:val="00F813CD"/>
    <w:rsid w:val="00F84E23"/>
    <w:rsid w:val="00F858BD"/>
    <w:rsid w:val="00FA0CB1"/>
    <w:rsid w:val="00FA11F4"/>
    <w:rsid w:val="00FB470E"/>
    <w:rsid w:val="00FB77D5"/>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link w:val="Heading1Char"/>
    <w:qFormat/>
    <w:pPr>
      <w:spacing w:line="480" w:lineRule="auto"/>
      <w:ind w:firstLine="720"/>
      <w:jc w:val="both"/>
      <w:outlineLvl w:val="0"/>
    </w:pPr>
    <w:rPr>
      <w:rFonts w:ascii="Book Antiqua" w:hAnsi="Book Antiqua"/>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Segoe UI" w:hAnsi="Segoe UI" w:cs="Segoe UI"/>
      <w:sz w:val="18"/>
      <w:szCs w:val="18"/>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qFormat/>
    <w:rPr>
      <w:sz w:val="20"/>
    </w:rPr>
  </w:style>
  <w:style w:type="paragraph" w:styleId="CommentSubject">
    <w:name w:val="annotation subject"/>
    <w:basedOn w:val="CommentText"/>
    <w:next w:val="CommentText"/>
    <w:link w:val="CommentSubjectChar"/>
    <w:semiHidden/>
    <w:unhideWhenUsed/>
    <w:qFormat/>
    <w:rPr>
      <w:b/>
      <w:bCs/>
    </w:rPr>
  </w:style>
  <w:style w:type="paragraph" w:styleId="Footer">
    <w:name w:val="footer"/>
    <w:basedOn w:val="Normal"/>
    <w:qFormat/>
    <w:pPr>
      <w:tabs>
        <w:tab w:val="center" w:pos="4320"/>
        <w:tab w:val="right" w:pos="8640"/>
      </w:tabs>
    </w:pPr>
  </w:style>
  <w:style w:type="character" w:styleId="FootnoteReference">
    <w:name w:val="footnote reference"/>
    <w:qFormat/>
    <w:rPr>
      <w:vertAlign w:val="superscript"/>
    </w:rPr>
  </w:style>
  <w:style w:type="paragraph" w:styleId="FootnoteText">
    <w:name w:val="footnote text"/>
    <w:basedOn w:val="Normal"/>
    <w:link w:val="FootnoteTextChar"/>
    <w:qFormat/>
    <w:rPr>
      <w:sz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rPr>
      <w:color w:val="0563C1" w:themeColor="hyperlink"/>
      <w:u w:val="single"/>
    </w:rPr>
  </w:style>
  <w:style w:type="character" w:styleId="LineNumber">
    <w:name w:val="line number"/>
    <w:basedOn w:val="DefaultParagraphFont"/>
    <w:qFormat/>
  </w:style>
  <w:style w:type="character" w:styleId="PageNumber">
    <w:name w:val="page number"/>
    <w:basedOn w:val="DefaultParagraphFont"/>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FootnoteTextChar">
    <w:name w:val="Footnote Text Char"/>
    <w:basedOn w:val="DefaultParagraphFont"/>
    <w:link w:val="FootnoteText"/>
    <w:qFormat/>
  </w:style>
  <w:style w:type="character" w:customStyle="1" w:styleId="BalloonTextChar">
    <w:name w:val="Balloon Text Char"/>
    <w:link w:val="BalloonText"/>
    <w:qFormat/>
    <w:rPr>
      <w:rFonts w:ascii="Segoe UI" w:hAnsi="Segoe UI" w:cs="Segoe UI"/>
      <w:sz w:val="18"/>
      <w:szCs w:val="18"/>
    </w:rPr>
  </w:style>
  <w:style w:type="character" w:customStyle="1" w:styleId="CommentTextChar">
    <w:name w:val="Comment Text Char"/>
    <w:link w:val="CommentText"/>
    <w:uiPriority w:val="99"/>
    <w:qFormat/>
    <w:rPr>
      <w:lang w:val="en-US" w:eastAsia="en-US"/>
    </w:rPr>
  </w:style>
  <w:style w:type="character" w:customStyle="1" w:styleId="CommentSubjectChar">
    <w:name w:val="Comment Subject Char"/>
    <w:link w:val="CommentSubject"/>
    <w:semiHidden/>
    <w:qFormat/>
    <w:rPr>
      <w:b/>
      <w:bCs/>
      <w:lang w:val="en-US" w:eastAsia="en-US"/>
    </w:rPr>
  </w:style>
  <w:style w:type="paragraph" w:styleId="ListParagraph">
    <w:name w:val="List Paragraph"/>
    <w:basedOn w:val="Normal"/>
    <w:uiPriority w:val="99"/>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DefaultParagraphFont"/>
    <w:qFormat/>
  </w:style>
  <w:style w:type="character" w:customStyle="1" w:styleId="eop">
    <w:name w:val="eop"/>
    <w:basedOn w:val="DefaultParagraphFont"/>
    <w:qFormat/>
  </w:style>
  <w:style w:type="character" w:customStyle="1" w:styleId="contextualspellingandgrammarerror">
    <w:name w:val="contextualspellingandgrammarerror"/>
    <w:basedOn w:val="DefaultParagraphFont"/>
    <w:qFormat/>
  </w:style>
  <w:style w:type="character" w:customStyle="1" w:styleId="spellingerror">
    <w:name w:val="spellingerror"/>
    <w:basedOn w:val="DefaultParagraphFont"/>
  </w:style>
  <w:style w:type="character" w:customStyle="1" w:styleId="HeaderChar">
    <w:name w:val="Header Char"/>
    <w:link w:val="Header"/>
    <w:qFormat/>
    <w:rPr>
      <w:sz w:val="24"/>
      <w:lang w:val="en-US" w:eastAsia="en-US"/>
    </w:rPr>
  </w:style>
  <w:style w:type="character" w:customStyle="1" w:styleId="markedcontent">
    <w:name w:val="markedcontent"/>
    <w:basedOn w:val="DefaultParagraphFont"/>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on">
    <w:name w:val="Revision"/>
    <w:hidden/>
    <w:uiPriority w:val="99"/>
    <w:semiHidden/>
    <w:rsid w:val="00891773"/>
    <w:rPr>
      <w:sz w:val="24"/>
      <w:szCs w:val="24"/>
    </w:rPr>
  </w:style>
  <w:style w:type="paragraph" w:styleId="BodyText">
    <w:name w:val="Body Text"/>
    <w:basedOn w:val="Normal"/>
    <w:link w:val="BodyTextChar"/>
    <w:qFormat/>
    <w:rsid w:val="009061B2"/>
    <w:pPr>
      <w:jc w:val="both"/>
    </w:pPr>
  </w:style>
  <w:style w:type="character" w:customStyle="1" w:styleId="BodyTextChar">
    <w:name w:val="Body Text Char"/>
    <w:basedOn w:val="DefaultParagraphFont"/>
    <w:link w:val="BodyText"/>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character" w:customStyle="1" w:styleId="Heading1Char">
    <w:name w:val="Heading 1 Char"/>
    <w:basedOn w:val="DefaultParagraphFont"/>
    <w:link w:val="Heading1"/>
    <w:rsid w:val="003A7B1A"/>
    <w:rPr>
      <w:rFonts w:ascii="Book Antiqua" w:hAnsi="Book Antiqua"/>
      <w:sz w:val="24"/>
      <w:szCs w:val="24"/>
      <w:lang w:val="es-PR"/>
    </w:rPr>
  </w:style>
  <w:style w:type="paragraph" w:customStyle="1" w:styleId="BodyA">
    <w:name w:val="Body A"/>
    <w:rsid w:val="00867C30"/>
    <w:pPr>
      <w:pBdr>
        <w:top w:val="nil"/>
        <w:left w:val="nil"/>
        <w:bottom w:val="nil"/>
        <w:right w:val="nil"/>
        <w:between w:val="nil"/>
        <w:bar w:val="nil"/>
      </w:pBdr>
    </w:pPr>
    <w:rPr>
      <w:rFonts w:eastAsia="Arial Unicode MS" w:cs="Arial Unicode MS"/>
      <w:color w:val="000000"/>
      <w:sz w:val="24"/>
      <w:szCs w:val="24"/>
      <w:u w:color="000000"/>
      <w:bdr w:val="nil"/>
      <w:lang w:val="es-ES_tradnl"/>
      <w14:textOutline w14:w="12700" w14:cap="flat" w14:cmpd="sng" w14:algn="ctr">
        <w14:noFill/>
        <w14:prstDash w14:val="solid"/>
        <w14:miter w14:lim="400000"/>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1258</Words>
  <Characters>7172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dc:creator>
  <cp:keywords/>
  <cp:lastModifiedBy>Victor E. Vélez Cucuta</cp:lastModifiedBy>
  <cp:revision>3</cp:revision>
  <cp:lastPrinted>2025-04-08T16:31:00Z</cp:lastPrinted>
  <dcterms:created xsi:type="dcterms:W3CDTF">2025-04-08T16:30:00Z</dcterms:created>
  <dcterms:modified xsi:type="dcterms:W3CDTF">2025-04-08T16:32:00Z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