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392D9" w14:textId="77777777" w:rsidR="00535EF5" w:rsidRPr="00535EF5" w:rsidRDefault="00535EF5" w:rsidP="00535EF5">
      <w:pPr>
        <w:jc w:val="center"/>
        <w:rPr>
          <w:rFonts w:ascii="Book Antiqua" w:eastAsia="Book Antiqua" w:hAnsi="Book Antiqua" w:cs="Book Antiqua"/>
          <w:b/>
          <w:bCs/>
          <w:color w:val="000000"/>
        </w:rPr>
      </w:pPr>
      <w:bookmarkStart w:id="0" w:name="_Hlk138253982"/>
      <w:r w:rsidRPr="00535EF5">
        <w:rPr>
          <w:rFonts w:ascii="Book Antiqua" w:eastAsia="Book Antiqua" w:hAnsi="Book Antiqua" w:cs="Book Antiqua"/>
          <w:b/>
          <w:bCs/>
          <w:color w:val="000000"/>
        </w:rPr>
        <w:t>(TEXTO DE APROBACIÓN FINAL POR LA CÁMARA)</w:t>
      </w:r>
      <w:r w:rsidRPr="00535EF5">
        <w:rPr>
          <w:rFonts w:ascii="Book Antiqua" w:eastAsia="Book Antiqua" w:hAnsi="Book Antiqua" w:cs="Book Antiqua"/>
          <w:b/>
          <w:color w:val="000000"/>
          <w:lang w:val="es-ES"/>
        </w:rPr>
        <w:fldChar w:fldCharType="begin"/>
      </w:r>
      <w:r w:rsidRPr="00535EF5">
        <w:rPr>
          <w:rFonts w:ascii="Book Antiqua" w:eastAsia="Book Antiqua" w:hAnsi="Book Antiqua" w:cs="Book Antiqua"/>
          <w:b/>
          <w:bCs/>
          <w:color w:val="000000"/>
        </w:rPr>
        <w:instrText xml:space="preserve">PRIVATE </w:instrText>
      </w:r>
      <w:r w:rsidRPr="00535EF5">
        <w:rPr>
          <w:rFonts w:ascii="Book Antiqua" w:eastAsia="Book Antiqua" w:hAnsi="Book Antiqua" w:cs="Book Antiqua"/>
          <w:b/>
          <w:color w:val="000000"/>
          <w:lang w:val="es-ES"/>
        </w:rPr>
        <w:fldChar w:fldCharType="end"/>
      </w:r>
    </w:p>
    <w:p w14:paraId="53554EAC" w14:textId="77777777" w:rsidR="00535EF5" w:rsidRPr="00535EF5" w:rsidRDefault="00535EF5" w:rsidP="00535EF5">
      <w:pPr>
        <w:jc w:val="center"/>
        <w:rPr>
          <w:rFonts w:ascii="Book Antiqua" w:eastAsia="Book Antiqua" w:hAnsi="Book Antiqua" w:cs="Book Antiqua"/>
          <w:b/>
          <w:bCs/>
          <w:color w:val="000000"/>
        </w:rPr>
      </w:pPr>
      <w:r w:rsidRPr="00535EF5">
        <w:rPr>
          <w:rFonts w:ascii="Book Antiqua" w:eastAsia="Book Antiqua" w:hAnsi="Book Antiqua" w:cs="Book Antiqua"/>
          <w:b/>
          <w:bCs/>
          <w:color w:val="000000"/>
        </w:rPr>
        <w:t>(11 DE SEPTIEMBRE DE 2025)</w:t>
      </w:r>
    </w:p>
    <w:p w14:paraId="0AB7ED09" w14:textId="56861495" w:rsidR="00535EF5" w:rsidRPr="00535EF5" w:rsidRDefault="00535EF5" w:rsidP="00535EF5">
      <w:pPr>
        <w:jc w:val="center"/>
        <w:rPr>
          <w:rFonts w:ascii="Book Antiqua" w:eastAsia="Book Antiqua" w:hAnsi="Book Antiqua" w:cs="Book Antiqua"/>
          <w:b/>
          <w:bCs/>
          <w:color w:val="000000"/>
          <w:sz w:val="28"/>
          <w:szCs w:val="28"/>
          <w:lang w:val="es-ES_tradnl"/>
        </w:rPr>
      </w:pPr>
      <w:r w:rsidRPr="00535EF5">
        <w:rPr>
          <w:noProof/>
          <w:szCs w:val="20"/>
          <w:lang w:val="en-US"/>
        </w:rPr>
        <mc:AlternateContent>
          <mc:Choice Requires="wps">
            <w:drawing>
              <wp:anchor distT="0" distB="0" distL="114300" distR="114300" simplePos="0" relativeHeight="251659264" behindDoc="1" locked="0" layoutInCell="0" allowOverlap="1" wp14:anchorId="3B49CABD" wp14:editId="69BEC485">
                <wp:simplePos x="0" y="0"/>
                <wp:positionH relativeFrom="margin">
                  <wp:posOffset>0</wp:posOffset>
                </wp:positionH>
                <wp:positionV relativeFrom="paragraph">
                  <wp:posOffset>0</wp:posOffset>
                </wp:positionV>
                <wp:extent cx="5943600" cy="22860"/>
                <wp:effectExtent l="0" t="0" r="0" b="0"/>
                <wp:wrapNone/>
                <wp:docPr id="51456633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E3D0D" id="Rectangle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7BC14361" w:rsidR="00FF2214" w:rsidRPr="00EE593C" w:rsidRDefault="00850770">
      <w:pPr>
        <w:jc w:val="center"/>
        <w:rPr>
          <w:rFonts w:ascii="Book Antiqua" w:eastAsia="Book Antiqua" w:hAnsi="Book Antiqua" w:cs="Book Antiqua"/>
          <w:bCs/>
          <w:color w:val="000000" w:themeColor="text1"/>
          <w:sz w:val="28"/>
          <w:szCs w:val="28"/>
        </w:rPr>
      </w:pPr>
      <w:r w:rsidRPr="00EE593C">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EE593C">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50F01658"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B223C4">
        <w:rPr>
          <w:rFonts w:ascii="Book Antiqua" w:hAnsi="Book Antiqua"/>
          <w:b/>
          <w:color w:val="000000" w:themeColor="text1"/>
          <w:sz w:val="52"/>
          <w:szCs w:val="52"/>
        </w:rPr>
        <w:t xml:space="preserve"> </w:t>
      </w:r>
      <w:r w:rsidR="00721947">
        <w:rPr>
          <w:rFonts w:ascii="Book Antiqua" w:hAnsi="Book Antiqua"/>
          <w:b/>
          <w:color w:val="000000" w:themeColor="text1"/>
          <w:sz w:val="52"/>
          <w:szCs w:val="52"/>
        </w:rPr>
        <w:t>49</w:t>
      </w:r>
      <w:r w:rsidR="00B223C4">
        <w:rPr>
          <w:rFonts w:ascii="Book Antiqua" w:hAnsi="Book Antiqua"/>
          <w:b/>
          <w:color w:val="000000" w:themeColor="text1"/>
          <w:sz w:val="52"/>
          <w:szCs w:val="52"/>
        </w:rPr>
        <w:t>9</w:t>
      </w:r>
    </w:p>
    <w:p w14:paraId="4A8A7A6F" w14:textId="77777777" w:rsidR="00950505" w:rsidRPr="007F2135" w:rsidRDefault="00950505" w:rsidP="00950505">
      <w:pPr>
        <w:jc w:val="center"/>
        <w:rPr>
          <w:rFonts w:ascii="Book Antiqua" w:hAnsi="Book Antiqua"/>
          <w:color w:val="000000" w:themeColor="text1"/>
        </w:rPr>
      </w:pPr>
    </w:p>
    <w:p w14:paraId="3D87D176" w14:textId="0B5C97D8" w:rsidR="00950505" w:rsidRPr="007F2135" w:rsidRDefault="00B223C4"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EE593C">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w:t>
      </w:r>
      <w:proofErr w:type="spellStart"/>
      <w:r w:rsidR="00B02CD9" w:rsidRPr="007F2135">
        <w:rPr>
          <w:rFonts w:ascii="Book Antiqua" w:eastAsia="Aptos" w:hAnsi="Book Antiqua"/>
          <w:i/>
          <w:iCs/>
          <w:kern w:val="2"/>
          <w14:ligatures w14:val="standardContextual"/>
        </w:rPr>
        <w:t>Charbonier</w:t>
      </w:r>
      <w:proofErr w:type="spellEnd"/>
      <w:r w:rsidR="00B02CD9" w:rsidRPr="007F2135">
        <w:rPr>
          <w:rFonts w:ascii="Book Antiqua" w:eastAsia="Aptos" w:hAnsi="Book Antiqua"/>
          <w:i/>
          <w:iCs/>
          <w:kern w:val="2"/>
          <w14:ligatures w14:val="standardContextual"/>
        </w:rPr>
        <w:t xml:space="preserve">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w:t>
      </w:r>
      <w:proofErr w:type="spellStart"/>
      <w:r w:rsidR="00B02CD9" w:rsidRPr="007F2135">
        <w:rPr>
          <w:rFonts w:ascii="Book Antiqua" w:eastAsia="Aptos" w:hAnsi="Book Antiqua"/>
          <w:i/>
          <w:iCs/>
          <w:kern w:val="2"/>
          <w14:ligatures w14:val="standardContextual"/>
        </w:rPr>
        <w:t>Atiles</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w:t>
      </w:r>
      <w:proofErr w:type="spellStart"/>
      <w:r w:rsidR="00B02CD9" w:rsidRPr="007F2135">
        <w:rPr>
          <w:rFonts w:ascii="Book Antiqua" w:eastAsia="Aptos" w:hAnsi="Book Antiqua"/>
          <w:i/>
          <w:iCs/>
          <w:kern w:val="2"/>
          <w14:ligatures w14:val="standardContextual"/>
        </w:rPr>
        <w:t>González</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Morey</w:t>
      </w:r>
      <w:proofErr w:type="spellEnd"/>
      <w:r w:rsidR="00B02CD9" w:rsidRPr="007F2135">
        <w:rPr>
          <w:rFonts w:ascii="Book Antiqua" w:eastAsia="Aptos" w:hAnsi="Book Antiqua"/>
          <w:i/>
          <w:iCs/>
          <w:kern w:val="2"/>
          <w14:ligatures w14:val="standardContextual"/>
        </w:rPr>
        <w:t xml:space="preserve">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EE593C">
      <w:pPr>
        <w:jc w:val="center"/>
        <w:rPr>
          <w:rFonts w:ascii="Book Antiqua" w:hAnsi="Book Antiqua"/>
          <w:color w:val="000000" w:themeColor="text1"/>
        </w:rPr>
      </w:pPr>
    </w:p>
    <w:p w14:paraId="6E0B8939" w14:textId="4D86E003" w:rsidR="00950505" w:rsidRPr="007F2135" w:rsidRDefault="00950505" w:rsidP="00EE593C">
      <w:pPr>
        <w:jc w:val="center"/>
        <w:rPr>
          <w:rFonts w:ascii="Book Antiqua" w:hAnsi="Book Antiqua"/>
          <w:color w:val="000000" w:themeColor="text1"/>
        </w:rPr>
      </w:pPr>
      <w:r w:rsidRPr="007F2135">
        <w:rPr>
          <w:rFonts w:ascii="Book Antiqua" w:hAnsi="Book Antiqua"/>
          <w:color w:val="000000" w:themeColor="text1"/>
        </w:rPr>
        <w:t>Referido a</w:t>
      </w:r>
      <w:r w:rsidR="008C7925">
        <w:rPr>
          <w:rFonts w:ascii="Book Antiqua" w:hAnsi="Book Antiqua"/>
          <w:color w:val="000000" w:themeColor="text1"/>
        </w:rPr>
        <w:t xml:space="preserve"> la Comisión de Hacienda</w:t>
      </w:r>
    </w:p>
    <w:p w14:paraId="4B9C3823" w14:textId="77777777" w:rsidR="00950505" w:rsidRPr="007F2135" w:rsidRDefault="00950505" w:rsidP="00EE593C">
      <w:pPr>
        <w:jc w:val="both"/>
        <w:rPr>
          <w:rFonts w:ascii="Book Antiqua" w:hAnsi="Book Antiqua"/>
          <w:color w:val="000000" w:themeColor="text1"/>
        </w:rPr>
      </w:pPr>
    </w:p>
    <w:p w14:paraId="43228070" w14:textId="77777777" w:rsidR="00950505" w:rsidRPr="007F2135" w:rsidRDefault="00950505" w:rsidP="00EE593C">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rsidP="00EE593C">
      <w:pPr>
        <w:jc w:val="both"/>
        <w:rPr>
          <w:rFonts w:ascii="Book Antiqua" w:eastAsia="Book Antiqua" w:hAnsi="Book Antiqua" w:cs="Book Antiqua"/>
          <w:color w:val="000000" w:themeColor="text1"/>
        </w:rPr>
      </w:pPr>
    </w:p>
    <w:p w14:paraId="6DD5A2FA" w14:textId="0114A6B9" w:rsidR="00D27900" w:rsidRPr="00E15C97" w:rsidRDefault="00850770" w:rsidP="00EE593C">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D27900" w:rsidRPr="00E15C97">
        <w:rPr>
          <w:rFonts w:ascii="Book Antiqua" w:hAnsi="Book Antiqua"/>
          <w:color w:val="000000" w:themeColor="text1"/>
        </w:rPr>
        <w:t>enmendar la</w:t>
      </w:r>
      <w:r w:rsidR="00D27900">
        <w:rPr>
          <w:rFonts w:ascii="Book Antiqua" w:hAnsi="Book Antiqua"/>
          <w:color w:val="000000" w:themeColor="text1"/>
        </w:rPr>
        <w:t xml:space="preserve"> Secciones 1033.15 y 1081.05 </w:t>
      </w:r>
      <w:r w:rsidR="00D27900" w:rsidRPr="00E15C97">
        <w:rPr>
          <w:rFonts w:ascii="Book Antiqua" w:hAnsi="Book Antiqua"/>
          <w:color w:val="000000" w:themeColor="text1"/>
        </w:rPr>
        <w:t>de la Ley Núm. 1-2011, según enmendada, conocida como “Código de Rentas Internas de Puerto Rico de 2011</w:t>
      </w:r>
      <w:r w:rsidR="00D27900">
        <w:rPr>
          <w:rFonts w:ascii="Book Antiqua" w:hAnsi="Book Antiqua"/>
          <w:color w:val="000000" w:themeColor="text1"/>
        </w:rPr>
        <w:t xml:space="preserve"> </w:t>
      </w:r>
      <w:r w:rsidR="00877861">
        <w:rPr>
          <w:rFonts w:ascii="Book Antiqua" w:hAnsi="Book Antiqua"/>
          <w:color w:val="000000" w:themeColor="text1"/>
        </w:rPr>
        <w:t>para</w:t>
      </w:r>
      <w:r w:rsidR="00D27900">
        <w:rPr>
          <w:rFonts w:ascii="Book Antiqua" w:hAnsi="Book Antiqua"/>
          <w:color w:val="000000" w:themeColor="text1"/>
        </w:rPr>
        <w:t xml:space="preserve"> conceder un aumento en la deducción de aportaciones a Cuentas de Ahorro para Educación</w:t>
      </w:r>
      <w:r w:rsidR="00D27900" w:rsidRPr="009860AE">
        <w:rPr>
          <w:rFonts w:ascii="Book Antiqua" w:hAnsi="Book Antiqua"/>
          <w:color w:val="000000" w:themeColor="text1"/>
        </w:rPr>
        <w:t>; y para otros fines</w:t>
      </w:r>
      <w:r w:rsidR="00D27900">
        <w:rPr>
          <w:rFonts w:ascii="Book Antiqua" w:hAnsi="Book Antiqua"/>
          <w:color w:val="000000" w:themeColor="text1"/>
        </w:rPr>
        <w:t xml:space="preserve"> relacionados</w:t>
      </w:r>
      <w:r w:rsidR="00D27900" w:rsidRPr="009860AE">
        <w:rPr>
          <w:rFonts w:ascii="Book Antiqua" w:hAnsi="Book Antiqua"/>
          <w:color w:val="000000" w:themeColor="text1"/>
        </w:rPr>
        <w:t>.</w:t>
      </w:r>
      <w:r w:rsidR="00D27900" w:rsidRPr="00E15C97">
        <w:rPr>
          <w:rFonts w:ascii="Book Antiqua" w:hAnsi="Book Antiqua"/>
          <w:color w:val="000000" w:themeColor="text1"/>
        </w:rPr>
        <w:t xml:space="preserve"> </w:t>
      </w:r>
    </w:p>
    <w:p w14:paraId="026EAB11" w14:textId="37DA4EDA" w:rsidR="00EE63CA" w:rsidRPr="007F2135" w:rsidRDefault="00EE63CA" w:rsidP="00EE593C">
      <w:pPr>
        <w:ind w:left="540" w:hanging="540"/>
        <w:jc w:val="both"/>
        <w:rPr>
          <w:rFonts w:ascii="Book Antiqua" w:eastAsia="Aptos" w:hAnsi="Book Antiqua"/>
          <w:color w:val="000000" w:themeColor="text1"/>
          <w:kern w:val="2"/>
          <w14:ligatures w14:val="standardContextual"/>
        </w:rPr>
      </w:pPr>
    </w:p>
    <w:p w14:paraId="3D851F5B" w14:textId="49317F2C" w:rsidR="00867C30" w:rsidRDefault="00850770" w:rsidP="00EE593C">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1779F623" w14:textId="77777777" w:rsidR="00867C30" w:rsidRDefault="00867C30" w:rsidP="00EE593C">
      <w:pPr>
        <w:ind w:left="540" w:hanging="540"/>
        <w:jc w:val="center"/>
        <w:rPr>
          <w:rFonts w:ascii="Book Antiqua" w:eastAsia="Book Antiqua" w:hAnsi="Book Antiqua" w:cs="Book Antiqua"/>
          <w:bCs/>
          <w:color w:val="000000" w:themeColor="text1"/>
        </w:rPr>
      </w:pPr>
    </w:p>
    <w:p w14:paraId="28D4530B" w14:textId="77777777" w:rsidR="00D27900"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 xml:space="preserve">La educación es uno de los pilares fundamentales para el desarrollo económico y social de Puerto Rico. Reconociendo su importancia, el Estado tiene el deber de fomentar herramientas que permitan a las familias planificar y sufragar los costos relacionados con la educación de sus hijos. En el entorno económico actual y la creciente necesidad de </w:t>
      </w:r>
      <w:r w:rsidRPr="00396D75">
        <w:rPr>
          <w:rFonts w:ascii="Book Antiqua" w:hAnsi="Book Antiqua"/>
          <w:bCs/>
          <w:color w:val="000000" w:themeColor="text1"/>
        </w:rPr>
        <w:lastRenderedPageBreak/>
        <w:t>acceso a educación de calidad, resulta imperativo fortalecer los incentivos que promuevan el ahorro con este propósito.</w:t>
      </w:r>
    </w:p>
    <w:p w14:paraId="1B66499D" w14:textId="77777777" w:rsidR="00EE593C" w:rsidRPr="00396D75" w:rsidRDefault="00EE593C" w:rsidP="00EE593C">
      <w:pPr>
        <w:suppressLineNumbers/>
        <w:ind w:firstLine="540"/>
        <w:jc w:val="both"/>
        <w:rPr>
          <w:rFonts w:ascii="Book Antiqua" w:hAnsi="Book Antiqua"/>
          <w:bCs/>
          <w:color w:val="000000" w:themeColor="text1"/>
        </w:rPr>
      </w:pPr>
    </w:p>
    <w:p w14:paraId="4B8BD7A8" w14:textId="02A22159" w:rsidR="00D27900"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La Ley Núm. 1-2011, según enmendada, conocida como el “Código de Rentas Internas de Puerto Rico de 2011”, ya reconoce las cuentas de ahorro para la educación como instrumentos válidos para fomentar dicho ahorro mediante deducciones contributivas. Sin embargo, los límites actuales de deducción fijados en quinientos (500) dólares por beneficiario al año</w:t>
      </w:r>
      <w:r>
        <w:rPr>
          <w:rFonts w:ascii="Book Antiqua" w:hAnsi="Book Antiqua"/>
          <w:bCs/>
          <w:color w:val="000000" w:themeColor="text1"/>
        </w:rPr>
        <w:t xml:space="preserve"> </w:t>
      </w:r>
      <w:r w:rsidRPr="00396D75">
        <w:rPr>
          <w:rFonts w:ascii="Book Antiqua" w:hAnsi="Book Antiqua"/>
          <w:bCs/>
          <w:color w:val="000000" w:themeColor="text1"/>
        </w:rPr>
        <w:t>resultan insuficientes para lograr un impacto significativo en el presupuesto familiar.</w:t>
      </w:r>
    </w:p>
    <w:p w14:paraId="359FADDB" w14:textId="77777777" w:rsidR="00D27900" w:rsidRDefault="00D27900" w:rsidP="00EE593C">
      <w:pPr>
        <w:suppressLineNumbers/>
        <w:jc w:val="both"/>
        <w:rPr>
          <w:rFonts w:ascii="Book Antiqua" w:hAnsi="Book Antiqua"/>
          <w:bCs/>
          <w:color w:val="000000" w:themeColor="text1"/>
        </w:rPr>
      </w:pPr>
    </w:p>
    <w:p w14:paraId="5316539D" w14:textId="2E332554" w:rsidR="00D27900" w:rsidRDefault="00D27900" w:rsidP="00EE593C">
      <w:pPr>
        <w:suppressLineNumbers/>
        <w:ind w:firstLine="540"/>
        <w:jc w:val="both"/>
        <w:rPr>
          <w:rFonts w:ascii="Book Antiqua" w:hAnsi="Book Antiqua"/>
          <w:bCs/>
          <w:color w:val="000000" w:themeColor="text1"/>
        </w:rPr>
      </w:pPr>
      <w:r w:rsidRPr="00E225DB">
        <w:rPr>
          <w:rFonts w:ascii="Book Antiqua" w:hAnsi="Book Antiqua"/>
          <w:bCs/>
          <w:color w:val="000000" w:themeColor="text1"/>
        </w:rPr>
        <w:t>En el marco de la Reforma Contributiva impulsada por esta Administración, el Comité de Reforma Contributiva</w:t>
      </w:r>
      <w:r>
        <w:rPr>
          <w:rFonts w:ascii="Book Antiqua" w:hAnsi="Book Antiqua"/>
          <w:bCs/>
          <w:color w:val="000000" w:themeColor="text1"/>
        </w:rPr>
        <w:t xml:space="preserve"> (en adelante, el “Comité”)</w:t>
      </w:r>
      <w:r w:rsidRPr="00E225DB">
        <w:rPr>
          <w:rFonts w:ascii="Book Antiqua" w:hAnsi="Book Antiqua"/>
          <w:bCs/>
          <w:color w:val="000000" w:themeColor="text1"/>
        </w:rPr>
        <w:t xml:space="preserve"> ha identificado como prioridad el fomento del ahorro y la planificación financiera familiar. Esta </w:t>
      </w:r>
      <w:r w:rsidR="00331524">
        <w:rPr>
          <w:rFonts w:ascii="Book Antiqua" w:hAnsi="Book Antiqua"/>
          <w:bCs/>
          <w:color w:val="000000" w:themeColor="text1"/>
        </w:rPr>
        <w:t xml:space="preserve">Ley </w:t>
      </w:r>
      <w:r w:rsidRPr="00E225DB">
        <w:rPr>
          <w:rFonts w:ascii="Book Antiqua" w:hAnsi="Book Antiqua"/>
          <w:bCs/>
          <w:color w:val="000000" w:themeColor="text1"/>
        </w:rPr>
        <w:t>responde a ese mandato, ampliando los beneficios disponibles para las familias que deciden prepararse responsablemente para los gastos educativos futuros de sus hijos o dependientes.</w:t>
      </w:r>
    </w:p>
    <w:p w14:paraId="14CDD529" w14:textId="77777777" w:rsidR="00D27900" w:rsidRDefault="00D27900" w:rsidP="00EE593C">
      <w:pPr>
        <w:suppressLineNumbers/>
        <w:jc w:val="both"/>
        <w:rPr>
          <w:rFonts w:ascii="Book Antiqua" w:hAnsi="Book Antiqua"/>
          <w:bCs/>
          <w:color w:val="000000" w:themeColor="text1"/>
        </w:rPr>
      </w:pPr>
    </w:p>
    <w:p w14:paraId="1A9280D5" w14:textId="57EA9AC6" w:rsidR="00D27900"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 xml:space="preserve">Por tanto, esta </w:t>
      </w:r>
      <w:r w:rsidR="00331524">
        <w:rPr>
          <w:rFonts w:ascii="Book Antiqua" w:hAnsi="Book Antiqua"/>
          <w:bCs/>
          <w:color w:val="000000" w:themeColor="text1"/>
        </w:rPr>
        <w:t>Ley</w:t>
      </w:r>
      <w:r w:rsidRPr="00396D75">
        <w:rPr>
          <w:rFonts w:ascii="Book Antiqua" w:hAnsi="Book Antiqua"/>
          <w:bCs/>
          <w:color w:val="000000" w:themeColor="text1"/>
        </w:rPr>
        <w:t xml:space="preserve"> </w:t>
      </w:r>
      <w:r>
        <w:rPr>
          <w:rFonts w:ascii="Book Antiqua" w:hAnsi="Book Antiqua"/>
          <w:bCs/>
          <w:color w:val="000000" w:themeColor="text1"/>
        </w:rPr>
        <w:t>tiene la intención específica de</w:t>
      </w:r>
      <w:r w:rsidRPr="00396D75">
        <w:rPr>
          <w:rFonts w:ascii="Book Antiqua" w:hAnsi="Book Antiqua"/>
          <w:bCs/>
          <w:color w:val="000000" w:themeColor="text1"/>
        </w:rPr>
        <w:t xml:space="preserve"> aumentar la deducción máxima permitida por concepto de aportaciones a cuentas de ahorro para la educación a mil (1,000) dólares anuales. </w:t>
      </w:r>
      <w:r>
        <w:rPr>
          <w:rFonts w:ascii="Book Antiqua" w:hAnsi="Book Antiqua"/>
          <w:bCs/>
          <w:color w:val="000000" w:themeColor="text1"/>
        </w:rPr>
        <w:t xml:space="preserve">Esta </w:t>
      </w:r>
      <w:r w:rsidR="00331524">
        <w:rPr>
          <w:rFonts w:ascii="Book Antiqua" w:hAnsi="Book Antiqua"/>
          <w:bCs/>
          <w:color w:val="000000" w:themeColor="text1"/>
        </w:rPr>
        <w:t>Ley</w:t>
      </w:r>
      <w:r>
        <w:rPr>
          <w:rFonts w:ascii="Book Antiqua" w:hAnsi="Book Antiqua"/>
          <w:bCs/>
          <w:color w:val="000000" w:themeColor="text1"/>
        </w:rPr>
        <w:t xml:space="preserve"> equipara al tope de deducción para IRA educativa del Código de Rentas Internas Federal (IRS), para lograr uniformidad en el tratamiento contributivo de esta herramienta. </w:t>
      </w:r>
      <w:r w:rsidRPr="00396D75">
        <w:rPr>
          <w:rFonts w:ascii="Book Antiqua" w:hAnsi="Book Antiqua"/>
          <w:bCs/>
          <w:color w:val="000000" w:themeColor="text1"/>
        </w:rPr>
        <w:t>Esta enmienda no solo reconoce la realidad inflacionaria y el costo creciente de la educación, sino que también envía un mensaje claro de respaldo a las familias que se esfuerzan por proveer un mejor futuro educativo a sus hijos.</w:t>
      </w:r>
    </w:p>
    <w:p w14:paraId="23067E01" w14:textId="77777777" w:rsidR="00D27900" w:rsidRDefault="00D27900" w:rsidP="00EE593C">
      <w:pPr>
        <w:suppressLineNumbers/>
        <w:jc w:val="both"/>
        <w:rPr>
          <w:rFonts w:ascii="Book Antiqua" w:hAnsi="Book Antiqua"/>
          <w:bCs/>
          <w:color w:val="000000" w:themeColor="text1"/>
        </w:rPr>
      </w:pPr>
    </w:p>
    <w:p w14:paraId="01653A35" w14:textId="36F245A5" w:rsidR="00D27900" w:rsidRPr="00396D75"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 xml:space="preserve">De igual manera, se busca armonizar las disposiciones de distintas secciones del Código de Rentas Internas relacionadas con estas cuentas, a fin de garantizar uniformidad, claridad y efectividad en la aplicación del beneficio. Esta </w:t>
      </w:r>
      <w:r w:rsidR="00331524">
        <w:rPr>
          <w:rFonts w:ascii="Book Antiqua" w:hAnsi="Book Antiqua"/>
          <w:bCs/>
          <w:color w:val="000000" w:themeColor="text1"/>
        </w:rPr>
        <w:t>Ley</w:t>
      </w:r>
      <w:r w:rsidRPr="00396D75">
        <w:rPr>
          <w:rFonts w:ascii="Book Antiqua" w:hAnsi="Book Antiqua"/>
          <w:bCs/>
          <w:color w:val="000000" w:themeColor="text1"/>
        </w:rPr>
        <w:t xml:space="preserve"> también atiende una necesidad de política pública: estimular el comportamiento financiero responsable, fomentar la cultura del ahorro y brindar a más puertorriqueños la oportunidad de acceder a una educación de calidad sin recurrir al endeudamiento excesivo.</w:t>
      </w:r>
    </w:p>
    <w:p w14:paraId="7A1850EA" w14:textId="77777777" w:rsidR="00D27900" w:rsidRDefault="00D27900" w:rsidP="00EE593C">
      <w:pPr>
        <w:suppressLineNumbers/>
        <w:jc w:val="both"/>
        <w:rPr>
          <w:rFonts w:ascii="Book Antiqua" w:hAnsi="Book Antiqua"/>
          <w:bCs/>
          <w:color w:val="000000" w:themeColor="text1"/>
        </w:rPr>
      </w:pPr>
    </w:p>
    <w:p w14:paraId="2376BA07" w14:textId="616EFE22" w:rsidR="00D27900" w:rsidRPr="00066F89" w:rsidRDefault="00D27900" w:rsidP="00EE593C">
      <w:pPr>
        <w:suppressLineNumbers/>
        <w:ind w:firstLine="540"/>
        <w:jc w:val="both"/>
        <w:rPr>
          <w:rFonts w:ascii="Book Antiqua" w:hAnsi="Book Antiqua"/>
          <w:bCs/>
          <w:color w:val="000000" w:themeColor="text1"/>
        </w:rPr>
      </w:pPr>
      <w:r w:rsidRPr="00066F89">
        <w:rPr>
          <w:rFonts w:ascii="Book Antiqua" w:hAnsi="Book Antiqua"/>
          <w:bCs/>
          <w:color w:val="000000" w:themeColor="text1"/>
        </w:rPr>
        <w:t>De acuerdo con datos provistos por el Comité, en el año contributivo 2022 apenas 2,012 contribuyentes reportaron aportaciones a cuentas IRA educativas, lo cual representa un pequeño porcentaje de la población contributiva total. Sin embargo, más del 80% de estos contribuyentes se encuentran en escalas de ingreso superiores a los $41,500, lo que demuestra que el beneficio es utilizado principalmente por sectores formales que ya practican el ahorro y requieren incentivos más robustos para continuar haciéndolo. Elevar el límite deducible a $1,000 anuales contribuirá a expandir ese impacto.</w:t>
      </w:r>
    </w:p>
    <w:p w14:paraId="1CCB6FEB" w14:textId="4E841908" w:rsidR="00D27900" w:rsidRPr="00396D75"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lastRenderedPageBreak/>
        <w:t xml:space="preserve">El Gobierno de Puerto Rico tiene el deber de crear las condiciones que propicien el bienestar y la autosuficiencia de sus ciudadanos. Al facilitar el acceso a mecanismos de ahorro educativo más efectivos, estamos sentando las bases para una sociedad más preparada, más equitativa y con mayores oportunidades de progreso. Por todo lo anterior, esta Asamblea Legislativa entiende meritorio y urgente aprobar esta </w:t>
      </w:r>
      <w:r w:rsidR="0012672F">
        <w:rPr>
          <w:rFonts w:ascii="Book Antiqua" w:hAnsi="Book Antiqua"/>
          <w:bCs/>
          <w:color w:val="000000" w:themeColor="text1"/>
        </w:rPr>
        <w:t>Ley</w:t>
      </w:r>
      <w:r w:rsidRPr="00396D75">
        <w:rPr>
          <w:rFonts w:ascii="Book Antiqua" w:hAnsi="Book Antiqua"/>
          <w:bCs/>
          <w:color w:val="000000" w:themeColor="text1"/>
        </w:rPr>
        <w:t>.</w:t>
      </w:r>
    </w:p>
    <w:p w14:paraId="16AB7F19" w14:textId="77777777" w:rsidR="00D27900" w:rsidRDefault="00D27900" w:rsidP="00EE593C">
      <w:pPr>
        <w:suppressLineNumbers/>
        <w:jc w:val="both"/>
        <w:rPr>
          <w:rFonts w:ascii="Book Antiqua" w:hAnsi="Book Antiqua"/>
          <w:bCs/>
          <w:color w:val="000000" w:themeColor="text1"/>
        </w:rPr>
      </w:pPr>
    </w:p>
    <w:p w14:paraId="43915364" w14:textId="5F9BE526" w:rsidR="00D27900" w:rsidRPr="00396D75" w:rsidRDefault="00D27900" w:rsidP="00EE593C">
      <w:pPr>
        <w:suppressLineNumbers/>
        <w:ind w:firstLine="540"/>
        <w:jc w:val="both"/>
        <w:rPr>
          <w:rFonts w:ascii="Book Antiqua" w:hAnsi="Book Antiqua"/>
          <w:bCs/>
          <w:color w:val="000000" w:themeColor="text1"/>
        </w:rPr>
      </w:pPr>
      <w:r w:rsidRPr="00396D75">
        <w:rPr>
          <w:rFonts w:ascii="Book Antiqua" w:hAnsi="Book Antiqua"/>
          <w:bCs/>
          <w:color w:val="000000" w:themeColor="text1"/>
        </w:rPr>
        <w:t xml:space="preserve">Con </w:t>
      </w:r>
      <w:r w:rsidR="0012672F">
        <w:rPr>
          <w:rFonts w:ascii="Book Antiqua" w:hAnsi="Book Antiqua"/>
          <w:bCs/>
          <w:color w:val="000000" w:themeColor="text1"/>
        </w:rPr>
        <w:t>esta Ley</w:t>
      </w:r>
      <w:r w:rsidRPr="00396D75">
        <w:rPr>
          <w:rFonts w:ascii="Book Antiqua" w:hAnsi="Book Antiqua"/>
          <w:bCs/>
          <w:color w:val="000000" w:themeColor="text1"/>
        </w:rPr>
        <w:t xml:space="preserve">, reafirmamos el compromiso </w:t>
      </w:r>
      <w:r>
        <w:rPr>
          <w:rFonts w:ascii="Book Antiqua" w:hAnsi="Book Antiqua"/>
          <w:bCs/>
          <w:color w:val="000000" w:themeColor="text1"/>
        </w:rPr>
        <w:t xml:space="preserve">de la Administración de la gobernadora, </w:t>
      </w:r>
      <w:proofErr w:type="spellStart"/>
      <w:r>
        <w:rPr>
          <w:rFonts w:ascii="Book Antiqua" w:hAnsi="Book Antiqua"/>
          <w:bCs/>
          <w:color w:val="000000" w:themeColor="text1"/>
        </w:rPr>
        <w:t>Jenniffer</w:t>
      </w:r>
      <w:proofErr w:type="spellEnd"/>
      <w:r>
        <w:rPr>
          <w:rFonts w:ascii="Book Antiqua" w:hAnsi="Book Antiqua"/>
          <w:bCs/>
          <w:color w:val="000000" w:themeColor="text1"/>
        </w:rPr>
        <w:t xml:space="preserve"> González-Colón,</w:t>
      </w:r>
      <w:r w:rsidRPr="00396D75">
        <w:rPr>
          <w:rFonts w:ascii="Book Antiqua" w:hAnsi="Book Antiqua"/>
          <w:bCs/>
          <w:color w:val="000000" w:themeColor="text1"/>
        </w:rPr>
        <w:t xml:space="preserve"> con el acceso equitativo a oportunidades educativas, el fortalecimiento de las estructuras familiares y el desarrollo de capital humano altamente preparado, lo cual redunda en beneficio de toda nuestra sociedad.</w:t>
      </w:r>
    </w:p>
    <w:p w14:paraId="757DA61C" w14:textId="77777777" w:rsidR="000474CF" w:rsidRPr="00867C30" w:rsidRDefault="000474CF" w:rsidP="00EE593C">
      <w:pPr>
        <w:rPr>
          <w:rFonts w:ascii="Book Antiqua" w:eastAsia="Book Antiqua" w:hAnsi="Book Antiqua" w:cs="Book Antiqua"/>
          <w:color w:val="000000" w:themeColor="text1"/>
        </w:rPr>
      </w:pPr>
    </w:p>
    <w:p w14:paraId="7955066D" w14:textId="77777777" w:rsidR="00FF2214" w:rsidRPr="007F2135" w:rsidRDefault="00850770" w:rsidP="00EE593C">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25178B17" w14:textId="77777777" w:rsidR="00D27900" w:rsidRPr="00535EF5" w:rsidRDefault="00D27900" w:rsidP="00D27900">
      <w:pPr>
        <w:pStyle w:val="Heading1"/>
      </w:pPr>
      <w:r w:rsidRPr="001558E0">
        <w:t xml:space="preserve">Artículo </w:t>
      </w:r>
      <w:r>
        <w:t>1</w:t>
      </w:r>
      <w:r w:rsidRPr="001558E0">
        <w:t xml:space="preserve">.- Se </w:t>
      </w:r>
      <w:r w:rsidRPr="00535EF5">
        <w:t>añade un nuevo inciso (F) al párrafo (8) del apartado (a) de la Sección 1033.15 de la Ley 1-2011, para que se lea como sigue: </w:t>
      </w:r>
    </w:p>
    <w:p w14:paraId="133FA668" w14:textId="77777777" w:rsidR="00D27900" w:rsidRPr="00535EF5" w:rsidRDefault="00D27900" w:rsidP="00D27900">
      <w:pPr>
        <w:pStyle w:val="Heading1"/>
        <w:ind w:firstLine="360"/>
        <w:rPr>
          <w:color w:val="000000" w:themeColor="text1"/>
        </w:rPr>
      </w:pPr>
      <w:r w:rsidRPr="00535EF5">
        <w:rPr>
          <w:color w:val="000000" w:themeColor="text1"/>
        </w:rPr>
        <w:t>“Sección 1033.15. — Deducciones Aplicables a Contribuyentes que sean Individuos.</w:t>
      </w:r>
    </w:p>
    <w:p w14:paraId="0BDFAE57" w14:textId="77777777" w:rsidR="00D27900" w:rsidRPr="00535EF5" w:rsidRDefault="00D27900" w:rsidP="00D27900">
      <w:pPr>
        <w:numPr>
          <w:ilvl w:val="0"/>
          <w:numId w:val="22"/>
        </w:numPr>
        <w:spacing w:after="160" w:line="480" w:lineRule="auto"/>
        <w:jc w:val="both"/>
        <w:textAlignment w:val="baseline"/>
        <w:rPr>
          <w:rFonts w:ascii="Book Antiqua" w:hAnsi="Book Antiqua" w:cs="Segoe UI"/>
          <w:color w:val="000000"/>
        </w:rPr>
      </w:pPr>
      <w:r w:rsidRPr="00535EF5">
        <w:rPr>
          <w:rFonts w:ascii="Book Antiqua" w:hAnsi="Book Antiqua" w:cs="Segoe UI"/>
          <w:color w:val="000000"/>
        </w:rPr>
        <w:t>…</w:t>
      </w:r>
    </w:p>
    <w:p w14:paraId="1F2FE8D2" w14:textId="77777777" w:rsidR="00D27900" w:rsidRPr="00535EF5" w:rsidRDefault="00D27900" w:rsidP="00D27900">
      <w:pPr>
        <w:numPr>
          <w:ilvl w:val="1"/>
          <w:numId w:val="22"/>
        </w:numPr>
        <w:spacing w:after="160" w:line="480" w:lineRule="auto"/>
        <w:ind w:left="1620"/>
        <w:jc w:val="both"/>
        <w:textAlignment w:val="baseline"/>
        <w:rPr>
          <w:rFonts w:ascii="Book Antiqua" w:hAnsi="Book Antiqua" w:cs="Segoe UI"/>
          <w:color w:val="000000"/>
        </w:rPr>
      </w:pPr>
      <w:r w:rsidRPr="00535EF5">
        <w:rPr>
          <w:rFonts w:ascii="Book Antiqua" w:hAnsi="Book Antiqua" w:cs="Segoe UI"/>
          <w:color w:val="000000"/>
        </w:rPr>
        <w:t>…</w:t>
      </w:r>
    </w:p>
    <w:p w14:paraId="0C037006" w14:textId="77777777" w:rsidR="00D27900" w:rsidRPr="00535EF5" w:rsidRDefault="00D27900" w:rsidP="00D27900">
      <w:pPr>
        <w:spacing w:after="160" w:line="480" w:lineRule="auto"/>
        <w:ind w:left="1620"/>
        <w:jc w:val="both"/>
        <w:textAlignment w:val="baseline"/>
        <w:rPr>
          <w:rFonts w:ascii="Book Antiqua" w:hAnsi="Book Antiqua" w:cs="Segoe UI"/>
          <w:color w:val="000000"/>
        </w:rPr>
      </w:pPr>
      <w:r w:rsidRPr="00535EF5">
        <w:rPr>
          <w:rFonts w:ascii="Book Antiqua" w:hAnsi="Book Antiqua" w:cs="Segoe UI"/>
          <w:color w:val="000000"/>
        </w:rPr>
        <w:t>…</w:t>
      </w:r>
    </w:p>
    <w:p w14:paraId="7AED3E57" w14:textId="77777777" w:rsidR="00D27900" w:rsidRPr="00535EF5" w:rsidRDefault="00D27900" w:rsidP="00D27900">
      <w:pPr>
        <w:spacing w:after="160" w:line="480" w:lineRule="auto"/>
        <w:ind w:left="1440"/>
        <w:jc w:val="both"/>
        <w:textAlignment w:val="baseline"/>
        <w:rPr>
          <w:rFonts w:ascii="Book Antiqua" w:hAnsi="Book Antiqua" w:cs="Segoe UI"/>
          <w:color w:val="000000"/>
        </w:rPr>
      </w:pPr>
      <w:r w:rsidRPr="00535EF5">
        <w:rPr>
          <w:rFonts w:ascii="Book Antiqua" w:hAnsi="Book Antiqua" w:cs="Segoe UI"/>
          <w:color w:val="000000"/>
        </w:rPr>
        <w:t>(8) Ahorros para Educación. -</w:t>
      </w:r>
    </w:p>
    <w:p w14:paraId="7A7D773A" w14:textId="77777777" w:rsidR="00D27900" w:rsidRPr="00535EF5" w:rsidRDefault="00D27900" w:rsidP="00D27900">
      <w:pPr>
        <w:spacing w:after="160" w:line="480" w:lineRule="auto"/>
        <w:ind w:left="1800" w:hanging="180"/>
        <w:jc w:val="both"/>
        <w:textAlignment w:val="baseline"/>
        <w:rPr>
          <w:rFonts w:ascii="Book Antiqua" w:hAnsi="Book Antiqua" w:cs="Segoe UI"/>
          <w:color w:val="000000"/>
        </w:rPr>
      </w:pPr>
      <w:r w:rsidRPr="00535EF5">
        <w:rPr>
          <w:rFonts w:ascii="Book Antiqua" w:hAnsi="Book Antiqua" w:cs="Segoe UI"/>
          <w:color w:val="000000"/>
        </w:rPr>
        <w:t>(A) …</w:t>
      </w:r>
    </w:p>
    <w:p w14:paraId="3A53F45E" w14:textId="77777777" w:rsidR="00D27900" w:rsidRPr="00535EF5" w:rsidRDefault="00D27900" w:rsidP="00D27900">
      <w:pPr>
        <w:spacing w:after="160" w:line="480" w:lineRule="auto"/>
        <w:ind w:left="1800" w:hanging="180"/>
        <w:jc w:val="both"/>
        <w:textAlignment w:val="baseline"/>
        <w:rPr>
          <w:rFonts w:ascii="Book Antiqua" w:hAnsi="Book Antiqua" w:cs="Segoe UI"/>
          <w:color w:val="000000"/>
        </w:rPr>
      </w:pPr>
      <w:r w:rsidRPr="00535EF5">
        <w:rPr>
          <w:rFonts w:ascii="Book Antiqua" w:hAnsi="Book Antiqua" w:cs="Segoe UI"/>
          <w:color w:val="000000"/>
        </w:rPr>
        <w:t>…</w:t>
      </w:r>
    </w:p>
    <w:p w14:paraId="41D27D36" w14:textId="370B7672" w:rsidR="00D27900" w:rsidRPr="00535EF5" w:rsidRDefault="00D27900" w:rsidP="00D27900">
      <w:pPr>
        <w:spacing w:after="160" w:line="480" w:lineRule="auto"/>
        <w:ind w:left="1800" w:hanging="360"/>
        <w:jc w:val="both"/>
        <w:textAlignment w:val="baseline"/>
        <w:rPr>
          <w:rFonts w:ascii="Book Antiqua" w:hAnsi="Book Antiqua" w:cs="Segoe UI"/>
          <w:color w:val="000000"/>
        </w:rPr>
      </w:pPr>
      <w:r w:rsidRPr="00535EF5">
        <w:rPr>
          <w:rFonts w:ascii="Book Antiqua" w:hAnsi="Book Antiqua" w:cs="Segoe UI"/>
          <w:color w:val="000000"/>
        </w:rPr>
        <w:t>(F) Para años contributivos comenzados luego del 31 de diciembre de 2024, la cantidad máxima de deducción establecida en el inciso (B) de este párrafo (8) será de mil (1,000) dólares</w:t>
      </w:r>
      <w:r w:rsidR="00DF690E">
        <w:rPr>
          <w:rFonts w:ascii="Book Antiqua" w:hAnsi="Book Antiqua" w:cs="Segoe UI"/>
          <w:color w:val="000000"/>
        </w:rPr>
        <w:t xml:space="preserve"> por beneficiario</w:t>
      </w:r>
      <w:r w:rsidRPr="00535EF5">
        <w:rPr>
          <w:rFonts w:ascii="Book Antiqua" w:hAnsi="Book Antiqua" w:cs="Segoe UI"/>
          <w:color w:val="000000"/>
        </w:rPr>
        <w:t>.</w:t>
      </w:r>
      <w:r w:rsidR="00DF690E">
        <w:rPr>
          <w:rFonts w:ascii="Book Antiqua" w:hAnsi="Book Antiqua" w:cs="Segoe UI"/>
          <w:color w:val="000000"/>
        </w:rPr>
        <w:t xml:space="preserve"> En aquellos casos en que los documentos constitutivos de la Cuenta de Retiro Individual </w:t>
      </w:r>
      <w:r w:rsidR="00DF690E">
        <w:rPr>
          <w:rFonts w:ascii="Book Antiqua" w:hAnsi="Book Antiqua" w:cs="Segoe UI"/>
          <w:color w:val="000000"/>
        </w:rPr>
        <w:lastRenderedPageBreak/>
        <w:t>contengan disposiciones que limiten las aportaciones anuales a quinientos (500) dólares, no será necesario enmendar dichos documentos ni notificar cambio alguno al Departamento de Hacienda para aceptar el nuevo límite, entendiéndose así que dicha disposición en la escritura de fideicomiso queda modificada por disposición de Ley</w:t>
      </w:r>
    </w:p>
    <w:p w14:paraId="431A49E6" w14:textId="77777777" w:rsidR="00D27900" w:rsidRPr="00535EF5" w:rsidRDefault="00D27900" w:rsidP="00D27900">
      <w:pPr>
        <w:spacing w:after="160" w:line="480" w:lineRule="auto"/>
        <w:ind w:left="1440"/>
        <w:jc w:val="both"/>
        <w:textAlignment w:val="baseline"/>
        <w:rPr>
          <w:rFonts w:ascii="Book Antiqua" w:hAnsi="Book Antiqua" w:cs="Segoe UI"/>
          <w:color w:val="000000"/>
        </w:rPr>
      </w:pPr>
      <w:r w:rsidRPr="00535EF5">
        <w:rPr>
          <w:rFonts w:ascii="Book Antiqua" w:hAnsi="Book Antiqua" w:cs="Segoe UI"/>
          <w:color w:val="000000"/>
        </w:rPr>
        <w:t>…”</w:t>
      </w:r>
    </w:p>
    <w:p w14:paraId="6291C8C1" w14:textId="77777777" w:rsidR="00D27900" w:rsidRPr="00535EF5" w:rsidRDefault="00D27900" w:rsidP="00D27900">
      <w:pPr>
        <w:pStyle w:val="Heading1"/>
      </w:pPr>
      <w:r w:rsidRPr="00535EF5">
        <w:t>Artículo 2.- Se enmienda el inciso (A) del párrafo (5) del apartado (a) de la Sección 1081.05 de la Ley 1-2011, según enmendada, para que se lea como sigue: </w:t>
      </w:r>
    </w:p>
    <w:p w14:paraId="0DCF89E7" w14:textId="77777777" w:rsidR="00D27900" w:rsidRPr="00535EF5" w:rsidRDefault="00D27900" w:rsidP="00D27900">
      <w:pPr>
        <w:pStyle w:val="Heading1"/>
        <w:ind w:firstLine="360"/>
        <w:rPr>
          <w:color w:val="000000" w:themeColor="text1"/>
        </w:rPr>
      </w:pPr>
      <w:r w:rsidRPr="00535EF5">
        <w:rPr>
          <w:color w:val="000000" w:themeColor="text1"/>
        </w:rPr>
        <w:t>“Sección 1081.05. — Cuenta de Aportación Educativa.</w:t>
      </w:r>
    </w:p>
    <w:p w14:paraId="6DEA2B12" w14:textId="77777777" w:rsidR="00D27900" w:rsidRPr="00535EF5" w:rsidRDefault="00D27900" w:rsidP="00D27900">
      <w:pPr>
        <w:numPr>
          <w:ilvl w:val="0"/>
          <w:numId w:val="21"/>
        </w:numPr>
        <w:spacing w:after="160" w:line="480" w:lineRule="auto"/>
        <w:jc w:val="both"/>
        <w:textAlignment w:val="baseline"/>
        <w:rPr>
          <w:rFonts w:ascii="Book Antiqua" w:hAnsi="Book Antiqua" w:cs="Segoe UI"/>
          <w:color w:val="000000"/>
        </w:rPr>
      </w:pPr>
      <w:r w:rsidRPr="00535EF5">
        <w:rPr>
          <w:rFonts w:ascii="Book Antiqua" w:hAnsi="Book Antiqua" w:cs="Segoe UI"/>
          <w:color w:val="000000"/>
        </w:rPr>
        <w:t>…</w:t>
      </w:r>
    </w:p>
    <w:p w14:paraId="4B834EAB" w14:textId="77777777" w:rsidR="00D27900" w:rsidRPr="00535EF5" w:rsidRDefault="00D27900" w:rsidP="00D27900">
      <w:pPr>
        <w:numPr>
          <w:ilvl w:val="1"/>
          <w:numId w:val="21"/>
        </w:numPr>
        <w:spacing w:after="160" w:line="480" w:lineRule="auto"/>
        <w:ind w:left="1800"/>
        <w:jc w:val="both"/>
        <w:textAlignment w:val="baseline"/>
        <w:rPr>
          <w:rFonts w:ascii="Book Antiqua" w:hAnsi="Book Antiqua" w:cs="Segoe UI"/>
          <w:color w:val="000000"/>
        </w:rPr>
      </w:pPr>
      <w:r w:rsidRPr="00535EF5">
        <w:rPr>
          <w:rFonts w:ascii="Book Antiqua" w:hAnsi="Book Antiqua" w:cs="Segoe UI"/>
          <w:color w:val="000000"/>
        </w:rPr>
        <w:t>…</w:t>
      </w:r>
    </w:p>
    <w:p w14:paraId="076DDD27" w14:textId="77777777" w:rsidR="00D27900" w:rsidRPr="00535EF5" w:rsidRDefault="00D27900" w:rsidP="00D27900">
      <w:pPr>
        <w:spacing w:after="160" w:line="480" w:lineRule="auto"/>
        <w:ind w:left="1440"/>
        <w:jc w:val="both"/>
        <w:textAlignment w:val="baseline"/>
        <w:rPr>
          <w:rFonts w:ascii="Book Antiqua" w:hAnsi="Book Antiqua" w:cs="Segoe UI"/>
          <w:color w:val="000000"/>
        </w:rPr>
      </w:pPr>
      <w:r w:rsidRPr="00535EF5">
        <w:rPr>
          <w:rFonts w:ascii="Book Antiqua" w:hAnsi="Book Antiqua" w:cs="Segoe UI"/>
          <w:color w:val="000000"/>
        </w:rPr>
        <w:t>…</w:t>
      </w:r>
    </w:p>
    <w:p w14:paraId="1CC9CB48" w14:textId="77777777" w:rsidR="00D27900" w:rsidRPr="00535EF5" w:rsidRDefault="00D27900" w:rsidP="00D27900">
      <w:pPr>
        <w:spacing w:after="160" w:line="480" w:lineRule="auto"/>
        <w:ind w:left="1800" w:hanging="360"/>
        <w:jc w:val="both"/>
        <w:textAlignment w:val="baseline"/>
        <w:rPr>
          <w:rFonts w:ascii="Book Antiqua" w:hAnsi="Book Antiqua" w:cs="Segoe UI"/>
          <w:color w:val="000000"/>
        </w:rPr>
      </w:pPr>
      <w:r w:rsidRPr="00535EF5">
        <w:rPr>
          <w:rFonts w:ascii="Book Antiqua" w:hAnsi="Book Antiqua" w:cs="Segoe UI"/>
          <w:color w:val="000000"/>
        </w:rPr>
        <w:t>(5) …</w:t>
      </w:r>
    </w:p>
    <w:p w14:paraId="04883FC8" w14:textId="0796FCEF" w:rsidR="00D27900" w:rsidRPr="00535EF5" w:rsidRDefault="00D27900" w:rsidP="00D27900">
      <w:pPr>
        <w:spacing w:after="160" w:line="480" w:lineRule="auto"/>
        <w:ind w:left="2160" w:hanging="360"/>
        <w:jc w:val="both"/>
        <w:textAlignment w:val="baseline"/>
        <w:rPr>
          <w:rFonts w:ascii="Book Antiqua" w:hAnsi="Book Antiqua" w:cs="Segoe UI"/>
          <w:color w:val="000000"/>
        </w:rPr>
      </w:pPr>
      <w:r w:rsidRPr="00535EF5">
        <w:rPr>
          <w:rFonts w:ascii="Book Antiqua" w:hAnsi="Book Antiqua" w:cs="Segoe UI"/>
          <w:color w:val="000000" w:themeColor="text1"/>
        </w:rPr>
        <w:t>(A) Que, excepto en el caso de una aportación por transferencia (“</w:t>
      </w:r>
      <w:proofErr w:type="spellStart"/>
      <w:r w:rsidRPr="00535EF5">
        <w:rPr>
          <w:rFonts w:ascii="Book Antiqua" w:hAnsi="Book Antiqua" w:cs="Segoe UI"/>
          <w:color w:val="000000" w:themeColor="text1"/>
        </w:rPr>
        <w:t>rollover</w:t>
      </w:r>
      <w:proofErr w:type="spellEnd"/>
      <w:r w:rsidRPr="00535EF5">
        <w:rPr>
          <w:rFonts w:ascii="Book Antiqua" w:hAnsi="Book Antiqua" w:cs="Segoe UI"/>
          <w:color w:val="000000" w:themeColor="text1"/>
        </w:rPr>
        <w:t xml:space="preserve">”) descrita en el inciso (G) de este párrafo, en el párrafo (4) del apartado (b), y en el párrafo (3) del apartado (c), toda aportación al fondo sea en efectivo y no sea en exceso de quinientos (500) dólares por año contributivo por cada beneficiario. En ningún caso se permitirá que el total de aportaciones recibidas en la cuenta de aportación educativa establecida para cada beneficiario sea en </w:t>
      </w:r>
      <w:r w:rsidRPr="00535EF5">
        <w:rPr>
          <w:rFonts w:ascii="Book Antiqua" w:hAnsi="Book Antiqua" w:cs="Segoe UI"/>
          <w:color w:val="000000" w:themeColor="text1"/>
        </w:rPr>
        <w:lastRenderedPageBreak/>
        <w:t>exceso de quinientos (500) dólares por año contributivo.  Disponiéndose que, para años contributivos comenzados luego de 31 de diciembre de 2024, la cantidad máxima deducible bajo este inciso no podrá exceder la cantidad permisible como deducción al amparo de la Sección 1033.15(a)(8) de este Subtitulo.”</w:t>
      </w:r>
    </w:p>
    <w:p w14:paraId="7A039F17" w14:textId="77777777" w:rsidR="00D27900" w:rsidRPr="00535EF5" w:rsidRDefault="00D27900" w:rsidP="00D27900">
      <w:pPr>
        <w:pStyle w:val="Heading1"/>
      </w:pPr>
      <w:r w:rsidRPr="00535EF5">
        <w:t>Artículo 3.- Cláusula de Separabilidad.</w:t>
      </w:r>
    </w:p>
    <w:p w14:paraId="77FB2179" w14:textId="77777777" w:rsidR="00D27900" w:rsidRPr="00535EF5" w:rsidRDefault="00D27900" w:rsidP="00D27900">
      <w:pPr>
        <w:pStyle w:val="Heading1"/>
        <w:rPr>
          <w:color w:val="000000" w:themeColor="text1"/>
        </w:rPr>
      </w:pPr>
      <w:r w:rsidRPr="00535EF5">
        <w:rPr>
          <w:color w:val="000000" w:themeColor="text1"/>
        </w:rPr>
        <w:t>Si cualquier artículo, disposición, párrafo, inciso o parte de esta Ley fuere declarada nula o inconstitucional por cualquier Tribunal con competencia, se entenderá que el resto de sus disposiciones mantendrá su validez y vigencia.</w:t>
      </w:r>
    </w:p>
    <w:p w14:paraId="7840235A" w14:textId="77777777" w:rsidR="00D27900" w:rsidRPr="00535EF5" w:rsidRDefault="00D27900" w:rsidP="00D27900">
      <w:pPr>
        <w:pStyle w:val="Heading1"/>
        <w:rPr>
          <w:color w:val="000000" w:themeColor="text1"/>
        </w:rPr>
      </w:pPr>
      <w:r w:rsidRPr="00535EF5">
        <w:rPr>
          <w:color w:val="000000" w:themeColor="text1"/>
        </w:rPr>
        <w:t>Artículo 4.- Vigencia.</w:t>
      </w:r>
    </w:p>
    <w:p w14:paraId="79550695" w14:textId="30094E98" w:rsidR="00FF2214" w:rsidRPr="00535EF5" w:rsidRDefault="00D27900" w:rsidP="00D27900">
      <w:pPr>
        <w:pStyle w:val="Heading1"/>
        <w:rPr>
          <w:color w:val="000000" w:themeColor="text1"/>
        </w:rPr>
      </w:pPr>
      <w:r w:rsidRPr="00535EF5">
        <w:rPr>
          <w:color w:val="000000" w:themeColor="text1"/>
        </w:rPr>
        <w:t xml:space="preserve">Esta Ley entrará en vigor inmediatamente después de su aprobación. </w:t>
      </w:r>
    </w:p>
    <w:sectPr w:rsidR="00FF2214" w:rsidRPr="00535EF5" w:rsidSect="00D27900">
      <w:headerReference w:type="even" r:id="rId12"/>
      <w:headerReference w:type="default" r:id="rId13"/>
      <w:head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Pr="007F2135" w:rsidRDefault="00425710">
      <w:r w:rsidRPr="007F2135">
        <w:separator/>
      </w:r>
    </w:p>
  </w:endnote>
  <w:endnote w:type="continuationSeparator" w:id="0">
    <w:p w14:paraId="79F099AB" w14:textId="77777777" w:rsidR="00425710" w:rsidRPr="007F2135" w:rsidRDefault="00425710">
      <w:r w:rsidRPr="007F2135">
        <w:continuationSeparator/>
      </w:r>
    </w:p>
  </w:endnote>
  <w:endnote w:type="continuationNotice" w:id="1">
    <w:p w14:paraId="3B1D331F" w14:textId="77777777" w:rsidR="00425710" w:rsidRPr="007F2135"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BB2610A7-9057-473C-A1CD-302E1C14E9EB}"/>
    <w:embedBold r:id="rId2" w:fontKey="{2CC5B300-1D85-47B1-B295-34B567AAEDFB}"/>
    <w:embedItalic r:id="rId3" w:fontKey="{9B8D6353-783D-495D-8E11-158C9CAB13A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8CB86B3E-EB89-4D5C-8598-CD6B434225B4}"/>
  </w:font>
  <w:font w:name="Georgia">
    <w:panose1 w:val="02040502050405020303"/>
    <w:charset w:val="00"/>
    <w:family w:val="roman"/>
    <w:pitch w:val="variable"/>
    <w:sig w:usb0="00000287" w:usb1="00000000" w:usb2="00000000" w:usb3="00000000" w:csb0="0000009F" w:csb1="00000000"/>
    <w:embedRegular r:id="rId5" w:fontKey="{E12A7A47-481C-48D6-9D79-0CF276E312A5}"/>
    <w:embedItalic r:id="rId6" w:fontKey="{5D3E54CF-4697-4629-84EA-E6BEB2DE1CE7}"/>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embedRegular r:id="rId7" w:fontKey="{0276FBB8-69E1-4A7F-8A00-7772A8A5675F}"/>
    <w:embedItalic r:id="rId8" w:fontKey="{40BBBF77-4222-45A4-AAA5-3F0894B22E23}"/>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47B04673-6D99-4273-9B77-496276197EE7}"/>
  </w:font>
  <w:font w:name="Calibri">
    <w:panose1 w:val="020F0502020204030204"/>
    <w:charset w:val="00"/>
    <w:family w:val="swiss"/>
    <w:pitch w:val="variable"/>
    <w:sig w:usb0="E4002EFF" w:usb1="C000247B" w:usb2="00000009" w:usb3="00000000" w:csb0="000001FF" w:csb1="00000000"/>
    <w:embedRegular r:id="rId10" w:fontKey="{91E51162-19A4-46BB-BD6C-C072D47B6C9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Pr="007F2135" w:rsidRDefault="00425710">
      <w:r w:rsidRPr="007F2135">
        <w:separator/>
      </w:r>
    </w:p>
  </w:footnote>
  <w:footnote w:type="continuationSeparator" w:id="0">
    <w:p w14:paraId="167421D6" w14:textId="77777777" w:rsidR="00425710" w:rsidRPr="007F2135" w:rsidRDefault="00425710">
      <w:r w:rsidRPr="007F2135">
        <w:continuationSeparator/>
      </w:r>
    </w:p>
  </w:footnote>
  <w:footnote w:type="continuationNotice" w:id="1">
    <w:p w14:paraId="1AD15F26" w14:textId="77777777" w:rsidR="00425710" w:rsidRPr="007F2135"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3095B31" w:rsidR="00FF2214" w:rsidRPr="007F2135" w:rsidRDefault="00850770">
    <w:pPr>
      <w:tabs>
        <w:tab w:val="center" w:pos="4320"/>
        <w:tab w:val="right" w:pos="8640"/>
      </w:tabs>
      <w:jc w:val="right"/>
      <w:rPr>
        <w:color w:val="000000"/>
      </w:rPr>
    </w:pPr>
    <w:r w:rsidRPr="007F2135">
      <w:rPr>
        <w:color w:val="000000"/>
      </w:rPr>
      <w:t>A-0</w:t>
    </w:r>
    <w:r w:rsidR="00EE63CA">
      <w:rPr>
        <w:color w:val="000000"/>
      </w:rPr>
      <w:t>4</w:t>
    </w:r>
    <w:r w:rsidR="00D27900">
      <w:rPr>
        <w:color w:val="000000"/>
      </w:rPr>
      <w:t>5</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4B44B" w14:textId="58A7392E" w:rsidR="00D27900" w:rsidRDefault="00D27900">
    <w:pPr>
      <w:pStyle w:val="Header"/>
    </w:pPr>
    <w:r>
      <w:rPr>
        <w:noProof/>
      </w:rPr>
      <mc:AlternateContent>
        <mc:Choice Requires="wps">
          <w:drawing>
            <wp:anchor distT="0" distB="0" distL="114300" distR="114300" simplePos="0" relativeHeight="251656704" behindDoc="1" locked="0" layoutInCell="0" allowOverlap="1" wp14:anchorId="432F52E3" wp14:editId="7BDC9759">
              <wp:simplePos x="0" y="0"/>
              <wp:positionH relativeFrom="margin">
                <wp:align>center</wp:align>
              </wp:positionH>
              <wp:positionV relativeFrom="margin">
                <wp:align>center</wp:align>
              </wp:positionV>
              <wp:extent cx="6703695" cy="1675765"/>
              <wp:effectExtent l="0" t="1714500" r="0" b="1848485"/>
              <wp:wrapNone/>
              <wp:docPr id="1803202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9191AFA"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32F52E3" id="_x0000_t202" coordsize="21600,21600" o:spt="202" path="m,l,21600r21600,l21600,xe">
              <v:stroke joinstyle="miter"/>
              <v:path gradientshapeok="t" o:connecttype="rect"/>
            </v:shapetype>
            <v:shape id="Text Box 1" o:spid="_x0000_s1026" type="#_x0000_t202" style="position:absolute;margin-left:0;margin-top:0;width:527.85pt;height:131.9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49191AFA"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p>
  <w:p w14:paraId="1B45862D" w14:textId="77777777" w:rsidR="00D27900" w:rsidRDefault="00D279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2846" w14:textId="3D18811D" w:rsidR="00D27900" w:rsidRDefault="00D27900" w:rsidP="00EE593C">
    <w:pPr>
      <w:pStyle w:val="Header"/>
      <w:jc w:val="center"/>
    </w:pPr>
    <w:r>
      <w:rPr>
        <w:noProof/>
      </w:rPr>
      <mc:AlternateContent>
        <mc:Choice Requires="wps">
          <w:drawing>
            <wp:anchor distT="0" distB="0" distL="114300" distR="114300" simplePos="0" relativeHeight="251657728" behindDoc="1" locked="0" layoutInCell="0" allowOverlap="1" wp14:anchorId="098BB485" wp14:editId="535A99ED">
              <wp:simplePos x="0" y="0"/>
              <wp:positionH relativeFrom="margin">
                <wp:align>center</wp:align>
              </wp:positionH>
              <wp:positionV relativeFrom="margin">
                <wp:align>center</wp:align>
              </wp:positionV>
              <wp:extent cx="6703695" cy="1675765"/>
              <wp:effectExtent l="0" t="1714500" r="0" b="1848485"/>
              <wp:wrapNone/>
              <wp:docPr id="560111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FBDC82"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98BB485" id="_x0000_t202" coordsize="21600,21600" o:spt="202" path="m,l,21600r21600,l21600,xe">
              <v:stroke joinstyle="miter"/>
              <v:path gradientshapeok="t" o:connecttype="rect"/>
            </v:shapetype>
            <v:shape id="Text Box 2" o:spid="_x0000_s1027" type="#_x0000_t202" style="position:absolute;left:0;text-align:left;margin-left:0;margin-top:0;width:527.85pt;height:131.9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M9wEAAMw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" o:allowincell="f" filled="f" stroked="f">
              <v:stroke joinstyle="round"/>
              <o:lock v:ext="edit" shapetype="t"/>
              <v:textbox style="mso-fit-shape-to-text:t">
                <w:txbxContent>
                  <w:p w14:paraId="2BFBDC82"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b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0440" w14:textId="77777777" w:rsidR="00D27900" w:rsidRDefault="00B335B9" w:rsidP="001B73B1">
    <w:pPr>
      <w:pStyle w:val="Header"/>
      <w:jc w:val="right"/>
    </w:pPr>
    <w:r>
      <w:rPr>
        <w:noProof/>
      </w:rPr>
      <w:pict w14:anchorId="4F9914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left:0;text-align:left;margin-left:0;margin-top:0;width:527.85pt;height:131.95pt;rotation:315;z-index:-251657728;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r w:rsidR="00D27900">
      <w:t>A-045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225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07051407">
    <w:abstractNumId w:val="11"/>
  </w:num>
  <w:num w:numId="2" w16cid:durableId="1011832284">
    <w:abstractNumId w:val="4"/>
  </w:num>
  <w:num w:numId="3" w16cid:durableId="1943102285">
    <w:abstractNumId w:val="20"/>
  </w:num>
  <w:num w:numId="4" w16cid:durableId="1106316835">
    <w:abstractNumId w:val="16"/>
  </w:num>
  <w:num w:numId="5" w16cid:durableId="455106598">
    <w:abstractNumId w:val="14"/>
  </w:num>
  <w:num w:numId="6" w16cid:durableId="175340939">
    <w:abstractNumId w:val="1"/>
  </w:num>
  <w:num w:numId="7" w16cid:durableId="1854225982">
    <w:abstractNumId w:val="17"/>
  </w:num>
  <w:num w:numId="8" w16cid:durableId="1919754197">
    <w:abstractNumId w:val="0"/>
  </w:num>
  <w:num w:numId="9" w16cid:durableId="365562201">
    <w:abstractNumId w:val="3"/>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8"/>
  </w:num>
  <w:num w:numId="15" w16cid:durableId="478498451">
    <w:abstractNumId w:val="9"/>
  </w:num>
  <w:num w:numId="16" w16cid:durableId="46998239">
    <w:abstractNumId w:val="19"/>
  </w:num>
  <w:num w:numId="17" w16cid:durableId="275597364">
    <w:abstractNumId w:val="2"/>
  </w:num>
  <w:num w:numId="18" w16cid:durableId="1162702400">
    <w:abstractNumId w:val="5"/>
  </w:num>
  <w:num w:numId="19" w16cid:durableId="2055156664">
    <w:abstractNumId w:val="13"/>
  </w:num>
  <w:num w:numId="20" w16cid:durableId="1121461949">
    <w:abstractNumId w:val="15"/>
  </w:num>
  <w:num w:numId="21" w16cid:durableId="504397507">
    <w:abstractNumId w:val="6"/>
  </w:num>
  <w:num w:numId="22" w16cid:durableId="11206148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474CF"/>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672F"/>
    <w:rsid w:val="001275A9"/>
    <w:rsid w:val="001336EE"/>
    <w:rsid w:val="00133D83"/>
    <w:rsid w:val="001433C2"/>
    <w:rsid w:val="00150C87"/>
    <w:rsid w:val="00152B9A"/>
    <w:rsid w:val="00157BB5"/>
    <w:rsid w:val="001613A5"/>
    <w:rsid w:val="00164E97"/>
    <w:rsid w:val="001677A8"/>
    <w:rsid w:val="0017486A"/>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789"/>
    <w:rsid w:val="002A1D65"/>
    <w:rsid w:val="002A23EE"/>
    <w:rsid w:val="002A4F4F"/>
    <w:rsid w:val="002B2FBB"/>
    <w:rsid w:val="002B5618"/>
    <w:rsid w:val="002B62EE"/>
    <w:rsid w:val="002B669C"/>
    <w:rsid w:val="002B7906"/>
    <w:rsid w:val="002C1726"/>
    <w:rsid w:val="002C47C3"/>
    <w:rsid w:val="002D6159"/>
    <w:rsid w:val="002F21CF"/>
    <w:rsid w:val="002F4082"/>
    <w:rsid w:val="002F48BA"/>
    <w:rsid w:val="002F5B16"/>
    <w:rsid w:val="00302F90"/>
    <w:rsid w:val="0030308D"/>
    <w:rsid w:val="00310FDD"/>
    <w:rsid w:val="0031323F"/>
    <w:rsid w:val="00313C97"/>
    <w:rsid w:val="00314E6B"/>
    <w:rsid w:val="00321AB7"/>
    <w:rsid w:val="0032794E"/>
    <w:rsid w:val="00331524"/>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A7B1A"/>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35EF5"/>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4788"/>
    <w:rsid w:val="006156E3"/>
    <w:rsid w:val="00615B4D"/>
    <w:rsid w:val="0061628B"/>
    <w:rsid w:val="0062471D"/>
    <w:rsid w:val="00631530"/>
    <w:rsid w:val="006414C7"/>
    <w:rsid w:val="00642C79"/>
    <w:rsid w:val="006430D0"/>
    <w:rsid w:val="0064494E"/>
    <w:rsid w:val="00654571"/>
    <w:rsid w:val="00657A02"/>
    <w:rsid w:val="00663D06"/>
    <w:rsid w:val="00670249"/>
    <w:rsid w:val="00670CA7"/>
    <w:rsid w:val="0068065A"/>
    <w:rsid w:val="006819FE"/>
    <w:rsid w:val="00694E17"/>
    <w:rsid w:val="006950A2"/>
    <w:rsid w:val="006A1488"/>
    <w:rsid w:val="006B17C2"/>
    <w:rsid w:val="006B3A56"/>
    <w:rsid w:val="006B78AD"/>
    <w:rsid w:val="006C4755"/>
    <w:rsid w:val="006C5540"/>
    <w:rsid w:val="006C6334"/>
    <w:rsid w:val="006D1974"/>
    <w:rsid w:val="006E1314"/>
    <w:rsid w:val="006E2258"/>
    <w:rsid w:val="006E37D2"/>
    <w:rsid w:val="006E7A33"/>
    <w:rsid w:val="006F0B06"/>
    <w:rsid w:val="006F205C"/>
    <w:rsid w:val="006F6D54"/>
    <w:rsid w:val="006F7FEA"/>
    <w:rsid w:val="00702DBD"/>
    <w:rsid w:val="007164D0"/>
    <w:rsid w:val="007167E7"/>
    <w:rsid w:val="0072194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7F2135"/>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67C30"/>
    <w:rsid w:val="008720A6"/>
    <w:rsid w:val="00877861"/>
    <w:rsid w:val="00881D48"/>
    <w:rsid w:val="008863D7"/>
    <w:rsid w:val="0089008A"/>
    <w:rsid w:val="00890C4D"/>
    <w:rsid w:val="00891773"/>
    <w:rsid w:val="008925BB"/>
    <w:rsid w:val="008A1282"/>
    <w:rsid w:val="008A1F5E"/>
    <w:rsid w:val="008A5641"/>
    <w:rsid w:val="008B3680"/>
    <w:rsid w:val="008C0934"/>
    <w:rsid w:val="008C7925"/>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71D18"/>
    <w:rsid w:val="00975B0E"/>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23C4"/>
    <w:rsid w:val="00B231AC"/>
    <w:rsid w:val="00B23F46"/>
    <w:rsid w:val="00B24BAA"/>
    <w:rsid w:val="00B335B9"/>
    <w:rsid w:val="00B34B9F"/>
    <w:rsid w:val="00B41851"/>
    <w:rsid w:val="00B51DBD"/>
    <w:rsid w:val="00B5375E"/>
    <w:rsid w:val="00B53B27"/>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27900"/>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DF690E"/>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2169"/>
    <w:rsid w:val="00EC31D3"/>
    <w:rsid w:val="00EC69F6"/>
    <w:rsid w:val="00ED3996"/>
    <w:rsid w:val="00ED3D87"/>
    <w:rsid w:val="00ED5A58"/>
    <w:rsid w:val="00EE009B"/>
    <w:rsid w:val="00EE593C"/>
    <w:rsid w:val="00EE63CA"/>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13CD"/>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3A7B1A"/>
    <w:rPr>
      <w:rFonts w:ascii="Book Antiqua" w:hAnsi="Book Antiqua"/>
      <w:sz w:val="24"/>
      <w:szCs w:val="24"/>
      <w:lang w:val="es-PR"/>
    </w:rPr>
  </w:style>
  <w:style w:type="paragraph" w:customStyle="1" w:styleId="BodyA">
    <w:name w:val="Body A"/>
    <w:rsid w:val="00867C30"/>
    <w:pPr>
      <w:pBdr>
        <w:top w:val="nil"/>
        <w:left w:val="nil"/>
        <w:bottom w:val="nil"/>
        <w:right w:val="nil"/>
        <w:between w:val="nil"/>
        <w:bar w:val="nil"/>
      </w:pBdr>
    </w:pPr>
    <w:rPr>
      <w:rFonts w:eastAsia="Arial Unicode MS" w:cs="Arial Unicode MS"/>
      <w:color w:val="000000"/>
      <w:sz w:val="24"/>
      <w:szCs w:val="24"/>
      <w:u w:color="000000"/>
      <w:bdr w:val="nil"/>
      <w:lang w:val="es-ES_tradnl"/>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1146</Words>
  <Characters>6309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Gloria de Jesús Maldonado</cp:lastModifiedBy>
  <cp:revision>2</cp:revision>
  <cp:lastPrinted>2025-01-22T19:05:00Z</cp:lastPrinted>
  <dcterms:created xsi:type="dcterms:W3CDTF">2025-09-12T19:25:00Z</dcterms:created>
  <dcterms:modified xsi:type="dcterms:W3CDTF">2025-09-12T19:25:00Z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