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1E7D2D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1E7D2D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1E7D2D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 xml:space="preserve">20 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1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ra.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>Sesión</w:t>
      </w:r>
    </w:p>
    <w:p w14:paraId="79550659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7955065A" w14:textId="77777777" w:rsidR="00FF2214" w:rsidRPr="007F2135" w:rsidRDefault="00FF2214">
      <w:pPr>
        <w:rPr>
          <w:rFonts w:ascii="Book Antiqua" w:eastAsia="Book Antiqua" w:hAnsi="Book Antiqua" w:cs="Book Antiqua"/>
          <w:color w:val="000000" w:themeColor="text1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4D112820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447201">
        <w:rPr>
          <w:rFonts w:ascii="Book Antiqua" w:hAnsi="Book Antiqua"/>
          <w:b/>
          <w:color w:val="000000" w:themeColor="text1"/>
          <w:sz w:val="52"/>
          <w:szCs w:val="52"/>
        </w:rPr>
        <w:t xml:space="preserve"> 500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07F89CD0" w:rsidR="00950505" w:rsidRPr="00BC0BB0" w:rsidRDefault="001E7D2D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olor w:val="000000" w:themeColor="text1"/>
        </w:rPr>
        <w:t xml:space="preserve">4 </w:t>
      </w:r>
      <w:r w:rsidRPr="00BC0BB0">
        <w:rPr>
          <w:rFonts w:ascii="Book Antiqua" w:hAnsi="Book Antiqua"/>
          <w:color w:val="000000" w:themeColor="text1"/>
        </w:rPr>
        <w:t>DE ABRIL DE</w:t>
      </w:r>
      <w:r w:rsidRPr="00BC0BB0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Pr="00BC0BB0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2388B596" w:rsidR="00950505" w:rsidRPr="007F2135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 xml:space="preserve">el representante </w:t>
      </w:r>
      <w:r w:rsidR="00B02CD9" w:rsidRPr="007F2135">
        <w:rPr>
          <w:rFonts w:ascii="Book Antiqua" w:hAnsi="Book Antiqua"/>
          <w:i/>
          <w:iCs/>
        </w:rPr>
        <w:t xml:space="preserve">Méndez Núñez;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Lebrón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del Valle Correa;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Estévez Vélez, Franqui Atiles;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González Aguayo, González González;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Hernández Concepción, Jiménez Torres;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Martínez Vázquez, Medina Calderón;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Morey Noble, Muriel Sánchez, Navarro Suárez, Nieves</w:t>
      </w:r>
      <w:r w:rsidR="00EB0D65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Rosario, Ocasio Ramos, Pacheco Burgos, Parés Otero;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Dávila;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Cordero, Pérez Ortiz;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Ramírez, Ramos Rivera;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6E0B8939" w14:textId="6AD5A68C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  <w:r w:rsidRPr="007F2135">
        <w:rPr>
          <w:rFonts w:ascii="Book Antiqua" w:hAnsi="Book Antiqua"/>
          <w:color w:val="000000" w:themeColor="text1"/>
        </w:rPr>
        <w:t>Referido a</w:t>
      </w:r>
      <w:r w:rsidR="00902D33">
        <w:rPr>
          <w:rFonts w:ascii="Book Antiqua" w:hAnsi="Book Antiqua"/>
          <w:color w:val="000000" w:themeColor="text1"/>
        </w:rPr>
        <w:t xml:space="preserve"> la Comisión de Hacienda</w:t>
      </w:r>
    </w:p>
    <w:p w14:paraId="4B9C3823" w14:textId="77777777" w:rsidR="00950505" w:rsidRPr="007F2135" w:rsidRDefault="00950505" w:rsidP="001E7D2D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1E7D2D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 w:rsidP="001E7D2D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26F9974" w14:textId="6D698DD9" w:rsidR="000B77A8" w:rsidRDefault="00850770" w:rsidP="001E7D2D">
      <w:pPr>
        <w:suppressLineNumbers/>
        <w:ind w:left="540" w:hanging="540"/>
        <w:jc w:val="both"/>
        <w:rPr>
          <w:rFonts w:ascii="Book Antiqua" w:hAnsi="Book Antiqua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314D64">
        <w:rPr>
          <w:rFonts w:ascii="Book Antiqua" w:hAnsi="Book Antiqua"/>
        </w:rPr>
        <w:t xml:space="preserve">añadir un inciso (ii) al </w:t>
      </w:r>
      <w:r w:rsidR="00314D64" w:rsidRPr="00297F31">
        <w:rPr>
          <w:rFonts w:ascii="Book Antiqua" w:hAnsi="Book Antiqua"/>
        </w:rPr>
        <w:t xml:space="preserve">Artículo </w:t>
      </w:r>
      <w:r w:rsidR="00314D64">
        <w:rPr>
          <w:rFonts w:ascii="Book Antiqua" w:hAnsi="Book Antiqua"/>
        </w:rPr>
        <w:t>7.092 d</w:t>
      </w:r>
      <w:r w:rsidR="00314D64" w:rsidRPr="00297F31">
        <w:rPr>
          <w:rFonts w:ascii="Book Antiqua" w:hAnsi="Book Antiqua"/>
        </w:rPr>
        <w:t xml:space="preserve">e la Ley </w:t>
      </w:r>
      <w:r w:rsidR="00314D64" w:rsidRPr="007323B1">
        <w:rPr>
          <w:rFonts w:ascii="Book Antiqua" w:hAnsi="Book Antiqua"/>
        </w:rPr>
        <w:t>107</w:t>
      </w:r>
      <w:r w:rsidR="00055AD1">
        <w:rPr>
          <w:rFonts w:ascii="Book Antiqua" w:hAnsi="Book Antiqua"/>
        </w:rPr>
        <w:t>-</w:t>
      </w:r>
      <w:r w:rsidR="00314D64" w:rsidRPr="007323B1">
        <w:rPr>
          <w:rFonts w:ascii="Book Antiqua" w:hAnsi="Book Antiqua"/>
        </w:rPr>
        <w:t>2020, según enmendada</w:t>
      </w:r>
      <w:r w:rsidR="00314D64" w:rsidRPr="00297F31">
        <w:rPr>
          <w:rFonts w:ascii="Book Antiqua" w:hAnsi="Book Antiqua"/>
        </w:rPr>
        <w:t xml:space="preserve">, conocida como </w:t>
      </w:r>
      <w:r w:rsidR="00314D64" w:rsidRPr="007323B1">
        <w:rPr>
          <w:rFonts w:ascii="Book Antiqua" w:hAnsi="Book Antiqua"/>
        </w:rPr>
        <w:t>el “Código Municipal de Puerto Rico”</w:t>
      </w:r>
      <w:r w:rsidR="00314D64" w:rsidRPr="001B7214">
        <w:rPr>
          <w:rFonts w:ascii="Book Antiqua" w:hAnsi="Book Antiqua"/>
          <w:bCs/>
          <w:szCs w:val="20"/>
          <w:lang w:val="es-ES_tradnl"/>
        </w:rPr>
        <w:t xml:space="preserve"> </w:t>
      </w:r>
      <w:r w:rsidR="00314D64" w:rsidRPr="001B7214">
        <w:rPr>
          <w:rFonts w:ascii="Book Antiqua" w:hAnsi="Book Antiqua"/>
          <w:bCs/>
          <w:lang w:val="es-ES_tradnl"/>
        </w:rPr>
        <w:t>con el fin de</w:t>
      </w:r>
      <w:r w:rsidR="00314D64">
        <w:rPr>
          <w:rFonts w:ascii="Book Antiqua" w:hAnsi="Book Antiqua"/>
          <w:bCs/>
          <w:lang w:val="es-ES_tradnl"/>
        </w:rPr>
        <w:t xml:space="preserve"> eximir del pago de contribución sobre propiedad mueble las medicinas recetadas</w:t>
      </w:r>
      <w:r w:rsidR="00314D64" w:rsidRPr="003436D1">
        <w:rPr>
          <w:rFonts w:ascii="Book Antiqua" w:hAnsi="Book Antiqua"/>
          <w:lang w:val="es-US"/>
        </w:rPr>
        <w:t>;</w:t>
      </w:r>
      <w:r w:rsidR="00314D64" w:rsidRPr="00297F31">
        <w:rPr>
          <w:rFonts w:ascii="Book Antiqua" w:hAnsi="Book Antiqua"/>
        </w:rPr>
        <w:t xml:space="preserve"> y para otros fines relacionados.</w:t>
      </w:r>
    </w:p>
    <w:p w14:paraId="5FB7EC3C" w14:textId="77777777" w:rsidR="00314D64" w:rsidRPr="007F2135" w:rsidRDefault="00314D64" w:rsidP="001E7D2D">
      <w:pPr>
        <w:suppressLineNumbers/>
        <w:ind w:left="540" w:hanging="540"/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1E7D2D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1F4B200D" w14:textId="77777777" w:rsidR="00086398" w:rsidRDefault="00086398" w:rsidP="001E7D2D">
      <w:pPr>
        <w:ind w:firstLine="540"/>
        <w:contextualSpacing/>
        <w:jc w:val="both"/>
        <w:rPr>
          <w:rFonts w:ascii="Book Antiqua" w:hAnsi="Book Antiqua"/>
        </w:rPr>
      </w:pPr>
    </w:p>
    <w:p w14:paraId="2DE799EA" w14:textId="046E8759" w:rsidR="0060078B" w:rsidRDefault="008656DC" w:rsidP="001E7D2D">
      <w:pPr>
        <w:ind w:firstLine="540"/>
        <w:contextualSpacing/>
        <w:jc w:val="both"/>
        <w:rPr>
          <w:rFonts w:ascii="Book Antiqua" w:hAnsi="Book Antiqua"/>
        </w:rPr>
      </w:pPr>
      <w:bookmarkStart w:id="0" w:name="_Hlk194667993"/>
      <w:r>
        <w:rPr>
          <w:rFonts w:ascii="Book Antiqua" w:hAnsi="Book Antiqua"/>
        </w:rPr>
        <w:t>La aplicación de impuesto al inventario es especialmente injusta cuando hablamos de los medicamentos con receta. Lo medicamentos con receta no pagan IVU y por las mismas razones de política pública que pagan IVU tampoco deben estar sujeto a ninguna contribución municipal. L</w:t>
      </w:r>
      <w:r w:rsidR="00897CB1">
        <w:rPr>
          <w:rFonts w:ascii="Book Antiqua" w:hAnsi="Book Antiqua"/>
        </w:rPr>
        <w:t xml:space="preserve">os medicamentos recetados son una necesidad vital para cada paciente; y por eso es política pública de esta Administración aumentar la disponibilidad, el acceso y disminuir el costo de éstos. </w:t>
      </w:r>
    </w:p>
    <w:p w14:paraId="2B269F26" w14:textId="77777777" w:rsidR="001E7D2D" w:rsidRDefault="001E7D2D" w:rsidP="001E7D2D">
      <w:pPr>
        <w:ind w:firstLine="540"/>
        <w:contextualSpacing/>
        <w:jc w:val="both"/>
        <w:rPr>
          <w:rFonts w:ascii="Book Antiqua" w:hAnsi="Book Antiqua"/>
        </w:rPr>
      </w:pPr>
    </w:p>
    <w:p w14:paraId="11D71261" w14:textId="2D4FA3A4" w:rsidR="00897CB1" w:rsidRDefault="00897CB1" w:rsidP="001E7D2D">
      <w:pPr>
        <w:ind w:firstLine="540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El tener que pagar un impuesto al inventario sobre estos medicamentos disuade que las farmacias tengan mayor cantidad de medicamentos disponibles en su recetario atrasando así el despacho a los pacientes. Además, el impuesto al inventario es un costo que la farmacia no puede pasarle al paciente y tienen que absorberlo de sus ganancias. Esta situación afecta de manera sustancial y desproporcionalmente a las farmacias de la comunidad. Dado que el 90% de su venta provienen del recetario (medicamentos con receta) y solo un 10% de medicamentos sin receta y productos de góndola. </w:t>
      </w:r>
    </w:p>
    <w:p w14:paraId="75BD3597" w14:textId="77777777" w:rsidR="00086398" w:rsidRDefault="00086398" w:rsidP="001E7D2D">
      <w:pPr>
        <w:contextualSpacing/>
        <w:jc w:val="both"/>
        <w:rPr>
          <w:rFonts w:ascii="Book Antiqua" w:hAnsi="Book Antiqua"/>
        </w:rPr>
      </w:pPr>
    </w:p>
    <w:p w14:paraId="3994D1F1" w14:textId="1BD5D79C" w:rsidR="00A5416B" w:rsidRDefault="00766460" w:rsidP="001E7D2D">
      <w:pPr>
        <w:ind w:firstLine="540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>Siendo interés apremiante del estado la salud de los ciudadanos</w:t>
      </w:r>
      <w:r w:rsidR="0060078B" w:rsidRPr="00CD31EC">
        <w:rPr>
          <w:rFonts w:ascii="Book Antiqua" w:hAnsi="Book Antiqua"/>
        </w:rPr>
        <w:t xml:space="preserve"> es la intención de esta Asamblea Legislativa </w:t>
      </w:r>
      <w:r>
        <w:rPr>
          <w:rFonts w:ascii="Book Antiqua" w:hAnsi="Book Antiqua"/>
        </w:rPr>
        <w:t xml:space="preserve">garantizar un mayor inventario de medicamentos recetados en Puerto Rico eximiendo esta categoría de productos del pago del impuesto al inventario.  </w:t>
      </w:r>
    </w:p>
    <w:bookmarkEnd w:id="0"/>
    <w:p w14:paraId="2DD7BC35" w14:textId="77777777" w:rsidR="00766460" w:rsidRPr="00766460" w:rsidRDefault="00766460" w:rsidP="001E7D2D">
      <w:pPr>
        <w:contextualSpacing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 w:rsidP="001E7D2D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</w:t>
      </w:r>
      <w:r w:rsidR="00CE36E4">
        <w:rPr>
          <w:rFonts w:ascii="Book Antiqua" w:eastAsia="Book Antiqua" w:hAnsi="Book Antiqua" w:cs="Book Antiqua"/>
          <w:i/>
          <w:color w:val="000000" w:themeColor="text1"/>
        </w:rPr>
        <w:t>:</w:t>
      </w:r>
    </w:p>
    <w:p w14:paraId="7D102E16" w14:textId="129F77DD" w:rsidR="00314D64" w:rsidRPr="00CE36E4" w:rsidRDefault="00CE36E4" w:rsidP="00CE36E4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bookmarkStart w:id="1" w:name="_Hlk194668017"/>
      <w:r w:rsidR="00314D64" w:rsidRPr="00CE36E4">
        <w:rPr>
          <w:rFonts w:ascii="Book Antiqua" w:hAnsi="Book Antiqua"/>
        </w:rPr>
        <w:t>Sección 1.- Se añade un inciso (ii) al Artículo 7.092 de la Ley</w:t>
      </w:r>
      <w:r w:rsidR="00314D64" w:rsidRPr="00CE36E4">
        <w:rPr>
          <w:rFonts w:ascii="Book Antiqua" w:hAnsi="Book Antiqua"/>
          <w:spacing w:val="6"/>
        </w:rPr>
        <w:t xml:space="preserve"> 10</w:t>
      </w:r>
      <w:r w:rsidR="00314D64" w:rsidRPr="00CE36E4">
        <w:rPr>
          <w:rFonts w:ascii="Book Antiqua" w:hAnsi="Book Antiqua"/>
        </w:rPr>
        <w:t>7-2020,</w:t>
      </w:r>
      <w:r w:rsidR="00701C02" w:rsidRPr="00CE36E4">
        <w:rPr>
          <w:rFonts w:ascii="Book Antiqua" w:hAnsi="Book Antiqua"/>
        </w:rPr>
        <w:t xml:space="preserve"> según enmendada,</w:t>
      </w:r>
      <w:r w:rsidR="00314D64" w:rsidRPr="00CE36E4">
        <w:rPr>
          <w:rFonts w:ascii="Book Antiqua" w:hAnsi="Book Antiqua"/>
        </w:rPr>
        <w:t xml:space="preserve"> </w:t>
      </w:r>
      <w:r w:rsidR="00543C4C" w:rsidRPr="00CE36E4">
        <w:rPr>
          <w:rFonts w:ascii="Book Antiqua" w:hAnsi="Book Antiqua"/>
        </w:rPr>
        <w:t xml:space="preserve">el cual se </w:t>
      </w:r>
      <w:r w:rsidR="005C1643" w:rsidRPr="00CE36E4">
        <w:rPr>
          <w:rFonts w:ascii="Book Antiqua" w:hAnsi="Book Antiqua"/>
        </w:rPr>
        <w:t>leerá</w:t>
      </w:r>
      <w:r w:rsidR="00543C4C" w:rsidRPr="00CE36E4">
        <w:rPr>
          <w:rFonts w:ascii="Book Antiqua" w:hAnsi="Book Antiqua"/>
        </w:rPr>
        <w:t xml:space="preserve"> como </w:t>
      </w:r>
      <w:r w:rsidR="00314D64" w:rsidRPr="00CE36E4">
        <w:rPr>
          <w:rFonts w:ascii="Book Antiqua" w:hAnsi="Book Antiqua"/>
        </w:rPr>
        <w:t>como sigue:</w:t>
      </w:r>
    </w:p>
    <w:p w14:paraId="70C4FED2" w14:textId="77777777" w:rsidR="00314D64" w:rsidRPr="00846767" w:rsidRDefault="00314D64" w:rsidP="00CE36E4">
      <w:pPr>
        <w:pStyle w:val="default"/>
        <w:spacing w:line="480" w:lineRule="auto"/>
        <w:ind w:firstLine="720"/>
        <w:jc w:val="both"/>
        <w:rPr>
          <w:rFonts w:ascii="Book Antiqua" w:hAnsi="Book Antiqua"/>
        </w:rPr>
      </w:pPr>
      <w:r w:rsidRPr="00846767">
        <w:rPr>
          <w:rFonts w:ascii="Book Antiqua" w:hAnsi="Book Antiqua"/>
        </w:rPr>
        <w:t xml:space="preserve">"Artículo </w:t>
      </w:r>
      <w:r>
        <w:rPr>
          <w:rFonts w:ascii="Book Antiqua" w:hAnsi="Book Antiqua"/>
        </w:rPr>
        <w:t>7.092</w:t>
      </w:r>
      <w:r w:rsidRPr="007323B1">
        <w:rPr>
          <w:rFonts w:ascii="Book Antiqua" w:hAnsi="Book Antiqua"/>
        </w:rPr>
        <w:t xml:space="preserve"> — Propiedad Exenta de la Imposición de Contribuciones</w:t>
      </w:r>
      <w:r w:rsidRPr="00846767">
        <w:rPr>
          <w:rFonts w:ascii="Book Antiqua" w:hAnsi="Book Antiqua"/>
        </w:rPr>
        <w:t>.</w:t>
      </w:r>
    </w:p>
    <w:p w14:paraId="5070AFCE" w14:textId="77777777" w:rsidR="00314D64" w:rsidRDefault="00314D64" w:rsidP="00CE36E4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</w:rPr>
      </w:pPr>
      <w:r>
        <w:rPr>
          <w:rFonts w:ascii="Book Antiqua" w:hAnsi="Book Antiqua"/>
          <w:color w:val="auto"/>
        </w:rPr>
        <w:t>Estarán exentos de tributación para la imposición de toda contribución sobre propiedad mueble e inmueble los siguientes bienes:</w:t>
      </w:r>
    </w:p>
    <w:p w14:paraId="0E1552DF" w14:textId="6DD675AE" w:rsidR="00314D64" w:rsidRDefault="00314D64" w:rsidP="00CE36E4">
      <w:pPr>
        <w:pStyle w:val="default"/>
        <w:numPr>
          <w:ilvl w:val="0"/>
          <w:numId w:val="21"/>
        </w:numPr>
        <w:spacing w:line="480" w:lineRule="auto"/>
        <w:jc w:val="both"/>
        <w:rPr>
          <w:rFonts w:ascii="Book Antiqua" w:hAnsi="Book Antiqua"/>
          <w:color w:val="auto"/>
        </w:rPr>
      </w:pPr>
      <w:r>
        <w:rPr>
          <w:rFonts w:ascii="Book Antiqua" w:hAnsi="Book Antiqua"/>
          <w:color w:val="auto"/>
        </w:rPr>
        <w:t>…</w:t>
      </w:r>
    </w:p>
    <w:p w14:paraId="7A7854A4" w14:textId="7111D890" w:rsidR="00AC5454" w:rsidRDefault="00AC5454" w:rsidP="00CE36E4">
      <w:pPr>
        <w:pStyle w:val="default"/>
        <w:spacing w:line="480" w:lineRule="auto"/>
        <w:ind w:left="720"/>
        <w:jc w:val="both"/>
        <w:rPr>
          <w:rFonts w:ascii="Book Antiqua" w:hAnsi="Book Antiqua"/>
          <w:color w:val="auto"/>
        </w:rPr>
      </w:pPr>
      <w:r>
        <w:rPr>
          <w:rFonts w:ascii="Book Antiqua" w:hAnsi="Book Antiqua"/>
          <w:color w:val="auto"/>
        </w:rPr>
        <w:t>….</w:t>
      </w:r>
    </w:p>
    <w:p w14:paraId="6318F11A" w14:textId="26842D65" w:rsidR="00314D64" w:rsidRPr="00AC5454" w:rsidRDefault="00314D64" w:rsidP="00CE36E4">
      <w:pPr>
        <w:pStyle w:val="default"/>
        <w:spacing w:line="480" w:lineRule="auto"/>
        <w:ind w:firstLine="720"/>
        <w:jc w:val="both"/>
        <w:rPr>
          <w:rFonts w:ascii="Book Antiqua" w:hAnsi="Book Antiqua"/>
          <w:i/>
          <w:iCs/>
        </w:rPr>
      </w:pPr>
      <w:r w:rsidRPr="00AC5454">
        <w:rPr>
          <w:rFonts w:ascii="Book Antiqua" w:hAnsi="Book Antiqua"/>
          <w:i/>
          <w:iCs/>
          <w:color w:val="auto"/>
        </w:rPr>
        <w:t>(ii)</w:t>
      </w:r>
      <w:r w:rsidRPr="00AC5454">
        <w:rPr>
          <w:rFonts w:ascii="Book Antiqua" w:hAnsi="Book Antiqua"/>
          <w:i/>
          <w:iCs/>
          <w:color w:val="auto"/>
        </w:rPr>
        <w:tab/>
        <w:t>Los medicamentos recetados, según dicho término se define en el apartado (a) de la Sección 4030.12 de</w:t>
      </w:r>
      <w:r w:rsidR="00AC5454">
        <w:rPr>
          <w:rFonts w:ascii="Book Antiqua" w:hAnsi="Book Antiqua"/>
          <w:i/>
          <w:iCs/>
          <w:color w:val="auto"/>
        </w:rPr>
        <w:t xml:space="preserve"> </w:t>
      </w:r>
      <w:r w:rsidRPr="00AC5454">
        <w:rPr>
          <w:rFonts w:ascii="Book Antiqua" w:hAnsi="Book Antiqua"/>
          <w:i/>
          <w:iCs/>
          <w:color w:val="auto"/>
        </w:rPr>
        <w:t>l</w:t>
      </w:r>
      <w:r w:rsidR="00AC5454">
        <w:rPr>
          <w:rFonts w:ascii="Book Antiqua" w:hAnsi="Book Antiqua"/>
          <w:i/>
          <w:iCs/>
          <w:color w:val="auto"/>
        </w:rPr>
        <w:t>a Ley 1-2011, según enmendada, conocida como</w:t>
      </w:r>
      <w:r w:rsidRPr="00AC5454">
        <w:rPr>
          <w:rFonts w:ascii="Book Antiqua" w:hAnsi="Book Antiqua"/>
          <w:i/>
          <w:iCs/>
          <w:color w:val="auto"/>
        </w:rPr>
        <w:t xml:space="preserve"> Código de Rentas Internas de Puerto Rico de 2011, según enmendado.”</w:t>
      </w:r>
    </w:p>
    <w:p w14:paraId="319A755C" w14:textId="0ABAEFEC" w:rsidR="00314D64" w:rsidRPr="00846767" w:rsidRDefault="00314D64" w:rsidP="00CE36E4">
      <w:pPr>
        <w:spacing w:line="480" w:lineRule="auto"/>
        <w:ind w:firstLine="700"/>
        <w:jc w:val="both"/>
        <w:rPr>
          <w:rFonts w:ascii="Book Antiqua" w:hAnsi="Book Antiqua"/>
          <w:iCs/>
          <w:lang w:eastAsia="es-PR"/>
        </w:rPr>
      </w:pPr>
      <w:r w:rsidRPr="00846767">
        <w:rPr>
          <w:rFonts w:ascii="Book Antiqua" w:hAnsi="Book Antiqua"/>
        </w:rPr>
        <w:t xml:space="preserve">Sección </w:t>
      </w:r>
      <w:r>
        <w:rPr>
          <w:rFonts w:ascii="Book Antiqua" w:hAnsi="Book Antiqua"/>
        </w:rPr>
        <w:t>2</w:t>
      </w:r>
      <w:r w:rsidRPr="00846767">
        <w:rPr>
          <w:rFonts w:ascii="Book Antiqua" w:hAnsi="Book Antiqua"/>
        </w:rPr>
        <w:t>.-</w:t>
      </w:r>
      <w:r w:rsidRPr="00846767">
        <w:rPr>
          <w:rFonts w:ascii="Book Antiqua" w:hAnsi="Book Antiqua"/>
          <w:iCs/>
          <w:lang w:eastAsia="es-PR"/>
        </w:rPr>
        <w:t>Vigencia.</w:t>
      </w:r>
    </w:p>
    <w:p w14:paraId="79550695" w14:textId="644B8753" w:rsidR="00FF2214" w:rsidRPr="00314D64" w:rsidRDefault="00314D64" w:rsidP="00CE36E4">
      <w:pPr>
        <w:spacing w:line="480" w:lineRule="auto"/>
        <w:ind w:firstLine="720"/>
        <w:jc w:val="both"/>
        <w:rPr>
          <w:rFonts w:ascii="Book Antiqua" w:eastAsia="@PMingLiU" w:hAnsi="Book Antiqua"/>
        </w:rPr>
      </w:pPr>
      <w:r w:rsidRPr="00846767">
        <w:rPr>
          <w:rFonts w:ascii="Book Antiqua" w:hAnsi="Book Antiqua"/>
          <w:iCs/>
          <w:lang w:eastAsia="es-PR"/>
        </w:rPr>
        <w:t>Esta Ley comenzará a regir inmediatamente después de su aprobación.</w:t>
      </w:r>
      <w:bookmarkEnd w:id="1"/>
    </w:p>
    <w:sectPr w:rsidR="00FF2214" w:rsidRPr="00314D64" w:rsidSect="001E7D2D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3ADA" w14:textId="77777777" w:rsidR="00C87302" w:rsidRPr="007F2135" w:rsidRDefault="00C87302">
      <w:r w:rsidRPr="007F2135">
        <w:separator/>
      </w:r>
    </w:p>
  </w:endnote>
  <w:endnote w:type="continuationSeparator" w:id="0">
    <w:p w14:paraId="0433FBA8" w14:textId="77777777" w:rsidR="00C87302" w:rsidRPr="007F2135" w:rsidRDefault="00C87302">
      <w:r w:rsidRPr="007F2135">
        <w:continuationSeparator/>
      </w:r>
    </w:p>
  </w:endnote>
  <w:endnote w:type="continuationNotice" w:id="1">
    <w:p w14:paraId="0875A916" w14:textId="77777777" w:rsidR="00C87302" w:rsidRPr="007F2135" w:rsidRDefault="00C873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7820980F-CE13-407A-B7D1-F80D36D2BB64}"/>
    <w:embedBold r:id="rId2" w:fontKey="{B3D0DA96-4B6B-409E-B892-EE66C0A63FF1}"/>
    <w:embedItalic r:id="rId3" w:fontKey="{1CD358CA-D2CC-4A1A-A40F-0DD945FD49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875781BF-DE6B-434C-8A9B-D0D70A9B749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1FDD528E-B82C-4AAC-933E-974B837FC2FA}"/>
    <w:embedItalic r:id="rId6" w:fontKey="{B060853E-2B03-4CC7-98EC-ABED2F02EDC6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02E0C6F6-5DB0-4D08-AB03-F6D3453497AE}"/>
    <w:embedItalic r:id="rId8" w:fontKey="{9EFDC1DD-BA8E-403B-86E0-F0D3F2EB9699}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E6CB3220-0E6B-42B4-8EB1-6A7EAFB479D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4C17B5E0-56B6-4FC2-B5FB-174D83110B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616D7" w14:textId="77777777" w:rsidR="00C87302" w:rsidRPr="007F2135" w:rsidRDefault="00C87302">
      <w:r w:rsidRPr="007F2135">
        <w:separator/>
      </w:r>
    </w:p>
  </w:footnote>
  <w:footnote w:type="continuationSeparator" w:id="0">
    <w:p w14:paraId="5943DBA7" w14:textId="77777777" w:rsidR="00C87302" w:rsidRPr="007F2135" w:rsidRDefault="00C87302">
      <w:r w:rsidRPr="007F2135">
        <w:continuationSeparator/>
      </w:r>
    </w:p>
  </w:footnote>
  <w:footnote w:type="continuationNotice" w:id="1">
    <w:p w14:paraId="2F9F0BC8" w14:textId="77777777" w:rsidR="00C87302" w:rsidRPr="007F2135" w:rsidRDefault="00C873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D6B0" w14:textId="420E5938" w:rsidR="00BC0BB0" w:rsidRPr="007F2135" w:rsidRDefault="5A161A2C" w:rsidP="00BC0BB0">
    <w:pPr>
      <w:tabs>
        <w:tab w:val="center" w:pos="4320"/>
        <w:tab w:val="right" w:pos="8640"/>
      </w:tabs>
      <w:jc w:val="right"/>
      <w:rPr>
        <w:color w:val="000000"/>
      </w:rPr>
    </w:pPr>
    <w:r w:rsidRPr="5A161A2C">
      <w:rPr>
        <w:color w:val="000000" w:themeColor="text1"/>
      </w:rPr>
      <w:t>A-046</w:t>
    </w:r>
  </w:p>
  <w:p w14:paraId="795506A2" w14:textId="77777777" w:rsidR="00FF2214" w:rsidRPr="007F2135" w:rsidRDefault="00850770">
    <w:pPr>
      <w:tabs>
        <w:tab w:val="center" w:pos="4320"/>
        <w:tab w:val="right" w:pos="8640"/>
      </w:tabs>
      <w:rPr>
        <w:color w:val="000000"/>
      </w:rPr>
    </w:pPr>
    <w:r w:rsidRPr="007F2135">
      <w:rPr>
        <w:color w:val="000000"/>
      </w:rPr>
      <w:tab/>
    </w:r>
    <w:r w:rsidRPr="007F2135"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EAD7" w14:textId="77777777" w:rsidR="00521D57" w:rsidRDefault="00521D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6C1D9E"/>
    <w:multiLevelType w:val="hybridMultilevel"/>
    <w:tmpl w:val="AA200E3E"/>
    <w:lvl w:ilvl="0" w:tplc="EC983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8436264">
    <w:abstractNumId w:val="10"/>
  </w:num>
  <w:num w:numId="2" w16cid:durableId="1577738596">
    <w:abstractNumId w:val="4"/>
  </w:num>
  <w:num w:numId="3" w16cid:durableId="1996687675">
    <w:abstractNumId w:val="20"/>
  </w:num>
  <w:num w:numId="4" w16cid:durableId="1287932678">
    <w:abstractNumId w:val="15"/>
  </w:num>
  <w:num w:numId="5" w16cid:durableId="1731534382">
    <w:abstractNumId w:val="13"/>
  </w:num>
  <w:num w:numId="6" w16cid:durableId="2114282896">
    <w:abstractNumId w:val="1"/>
  </w:num>
  <w:num w:numId="7" w16cid:durableId="493225371">
    <w:abstractNumId w:val="17"/>
  </w:num>
  <w:num w:numId="8" w16cid:durableId="1180049491">
    <w:abstractNumId w:val="0"/>
  </w:num>
  <w:num w:numId="9" w16cid:durableId="1383941475">
    <w:abstractNumId w:val="3"/>
  </w:num>
  <w:num w:numId="10" w16cid:durableId="752360193">
    <w:abstractNumId w:val="6"/>
  </w:num>
  <w:num w:numId="11" w16cid:durableId="509419319">
    <w:abstractNumId w:val="7"/>
  </w:num>
  <w:num w:numId="12" w16cid:durableId="1111820761">
    <w:abstractNumId w:val="11"/>
  </w:num>
  <w:num w:numId="13" w16cid:durableId="1857957938">
    <w:abstractNumId w:val="9"/>
  </w:num>
  <w:num w:numId="14" w16cid:durableId="788819905">
    <w:abstractNumId w:val="18"/>
  </w:num>
  <w:num w:numId="15" w16cid:durableId="230964543">
    <w:abstractNumId w:val="8"/>
  </w:num>
  <w:num w:numId="16" w16cid:durableId="1219822709">
    <w:abstractNumId w:val="19"/>
  </w:num>
  <w:num w:numId="17" w16cid:durableId="853034854">
    <w:abstractNumId w:val="2"/>
  </w:num>
  <w:num w:numId="18" w16cid:durableId="1318218798">
    <w:abstractNumId w:val="5"/>
  </w:num>
  <w:num w:numId="19" w16cid:durableId="1595749361">
    <w:abstractNumId w:val="12"/>
  </w:num>
  <w:num w:numId="20" w16cid:durableId="1530605063">
    <w:abstractNumId w:val="14"/>
  </w:num>
  <w:num w:numId="21" w16cid:durableId="2393688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5AD1"/>
    <w:rsid w:val="00056D71"/>
    <w:rsid w:val="00057EF4"/>
    <w:rsid w:val="0007036F"/>
    <w:rsid w:val="000741B3"/>
    <w:rsid w:val="00086398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19C3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E7D2D"/>
    <w:rsid w:val="001F0F16"/>
    <w:rsid w:val="001F3565"/>
    <w:rsid w:val="001F4366"/>
    <w:rsid w:val="0021009A"/>
    <w:rsid w:val="002121D5"/>
    <w:rsid w:val="002138BE"/>
    <w:rsid w:val="00226D6B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10FDD"/>
    <w:rsid w:val="0031323F"/>
    <w:rsid w:val="00313C97"/>
    <w:rsid w:val="00314D64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3F3E23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7201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1B11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1D57"/>
    <w:rsid w:val="005229AD"/>
    <w:rsid w:val="00524FBA"/>
    <w:rsid w:val="00526AC9"/>
    <w:rsid w:val="00527B13"/>
    <w:rsid w:val="00534596"/>
    <w:rsid w:val="005427F8"/>
    <w:rsid w:val="00543529"/>
    <w:rsid w:val="00543C4C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91C26"/>
    <w:rsid w:val="005A3527"/>
    <w:rsid w:val="005A5C2E"/>
    <w:rsid w:val="005B3512"/>
    <w:rsid w:val="005B3BBD"/>
    <w:rsid w:val="005C1643"/>
    <w:rsid w:val="005C3826"/>
    <w:rsid w:val="005C3AFC"/>
    <w:rsid w:val="005C7524"/>
    <w:rsid w:val="005D3EB3"/>
    <w:rsid w:val="005D7F54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078B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2919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1C02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66460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7F02E3"/>
    <w:rsid w:val="007F2135"/>
    <w:rsid w:val="00804D98"/>
    <w:rsid w:val="00805B64"/>
    <w:rsid w:val="00805D96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4305"/>
    <w:rsid w:val="008656DC"/>
    <w:rsid w:val="008670BC"/>
    <w:rsid w:val="008720A6"/>
    <w:rsid w:val="00881D48"/>
    <w:rsid w:val="008863D7"/>
    <w:rsid w:val="0089008A"/>
    <w:rsid w:val="00890C4D"/>
    <w:rsid w:val="00891773"/>
    <w:rsid w:val="008925BB"/>
    <w:rsid w:val="00897CB1"/>
    <w:rsid w:val="008A1F5E"/>
    <w:rsid w:val="008A5641"/>
    <w:rsid w:val="008A5DFB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D33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75B0E"/>
    <w:rsid w:val="009833D3"/>
    <w:rsid w:val="009927E5"/>
    <w:rsid w:val="009A0ED5"/>
    <w:rsid w:val="009B47BF"/>
    <w:rsid w:val="009D1A78"/>
    <w:rsid w:val="009D1C75"/>
    <w:rsid w:val="009D5726"/>
    <w:rsid w:val="009D61E3"/>
    <w:rsid w:val="009D7450"/>
    <w:rsid w:val="009D79EC"/>
    <w:rsid w:val="009E36AA"/>
    <w:rsid w:val="009F15AE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55370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3748"/>
    <w:rsid w:val="00AC5454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169A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3881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0BB0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6D4"/>
    <w:rsid w:val="00C13DC9"/>
    <w:rsid w:val="00C25487"/>
    <w:rsid w:val="00C2571F"/>
    <w:rsid w:val="00C32AB8"/>
    <w:rsid w:val="00C32AF1"/>
    <w:rsid w:val="00C33CEB"/>
    <w:rsid w:val="00C361CD"/>
    <w:rsid w:val="00C374FA"/>
    <w:rsid w:val="00C57448"/>
    <w:rsid w:val="00C635EB"/>
    <w:rsid w:val="00C71782"/>
    <w:rsid w:val="00C8076C"/>
    <w:rsid w:val="00C87302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E36E4"/>
    <w:rsid w:val="00CF0BA6"/>
    <w:rsid w:val="00CF0C39"/>
    <w:rsid w:val="00CF3010"/>
    <w:rsid w:val="00CF4242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72E97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16E09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6A7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506F"/>
    <w:rsid w:val="00EC2169"/>
    <w:rsid w:val="00EC31D3"/>
    <w:rsid w:val="00EC69F6"/>
    <w:rsid w:val="00ED3996"/>
    <w:rsid w:val="00ED3D87"/>
    <w:rsid w:val="00ED5A58"/>
    <w:rsid w:val="00EE009B"/>
    <w:rsid w:val="00EE1D75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  <w:rsid w:val="5A16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9550656"/>
  <w15:docId w15:val="{FFBFE174-BE74-409D-B568-E0FD18A0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226D6B"/>
    <w:rPr>
      <w:rFonts w:ascii="Book Antiqua" w:hAnsi="Book Antiqua"/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492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Gladys J. Burgos Torres</cp:lastModifiedBy>
  <cp:revision>4</cp:revision>
  <cp:lastPrinted>2025-01-23T03:05:00Z</cp:lastPrinted>
  <dcterms:created xsi:type="dcterms:W3CDTF">2025-04-04T21:12:00Z</dcterms:created>
  <dcterms:modified xsi:type="dcterms:W3CDTF">2025-04-07T14:01:00Z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