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86890" w14:textId="05AD828D" w:rsidR="003210B4" w:rsidRPr="003210B4" w:rsidRDefault="003210B4">
      <w:pPr>
        <w:jc w:val="center"/>
        <w:rPr>
          <w:rFonts w:ascii="Book Antiqua" w:eastAsia="Book Antiqua" w:hAnsi="Book Antiqua" w:cs="Book Antiqua"/>
          <w:b/>
          <w:color w:val="000000" w:themeColor="text1"/>
          <w:sz w:val="28"/>
          <w:szCs w:val="28"/>
        </w:rPr>
      </w:pPr>
      <w:r w:rsidRPr="003210B4">
        <w:rPr>
          <w:rFonts w:ascii="Book Antiqua" w:eastAsia="Book Antiqua" w:hAnsi="Book Antiqua" w:cs="Book Antiqua"/>
          <w:b/>
          <w:color w:val="000000" w:themeColor="text1"/>
          <w:sz w:val="28"/>
          <w:szCs w:val="28"/>
        </w:rPr>
        <w:t>(ENTIRILLADO ELECTRÓNICO)</w:t>
      </w:r>
    </w:p>
    <w:p w14:paraId="79550656" w14:textId="4F631138" w:rsidR="00FF2214" w:rsidRPr="00855DE9" w:rsidRDefault="00850770">
      <w:pPr>
        <w:jc w:val="center"/>
        <w:rPr>
          <w:rFonts w:ascii="Book Antiqua" w:eastAsia="Book Antiqua" w:hAnsi="Book Antiqua" w:cs="Book Antiqua"/>
          <w:bCs/>
          <w:color w:val="000000" w:themeColor="text1"/>
          <w:sz w:val="28"/>
          <w:szCs w:val="28"/>
        </w:rPr>
      </w:pPr>
      <w:r w:rsidRPr="00855DE9">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55DE9">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3DC33060"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800944">
        <w:rPr>
          <w:rFonts w:ascii="Book Antiqua" w:hAnsi="Book Antiqua"/>
          <w:b/>
          <w:color w:val="000000" w:themeColor="text1"/>
          <w:sz w:val="52"/>
          <w:szCs w:val="52"/>
        </w:rPr>
        <w:t xml:space="preserve"> 501</w:t>
      </w:r>
    </w:p>
    <w:p w14:paraId="4A8A7A6F" w14:textId="77777777" w:rsidR="00950505" w:rsidRPr="007F2135" w:rsidRDefault="00950505" w:rsidP="00950505">
      <w:pPr>
        <w:jc w:val="center"/>
        <w:rPr>
          <w:rFonts w:ascii="Book Antiqua" w:hAnsi="Book Antiqua"/>
          <w:color w:val="000000" w:themeColor="text1"/>
        </w:rPr>
      </w:pPr>
    </w:p>
    <w:p w14:paraId="3D87D176" w14:textId="750E2C7B" w:rsidR="00950505" w:rsidRPr="00BC0BB0" w:rsidRDefault="00855DE9" w:rsidP="00950505">
      <w:pPr>
        <w:jc w:val="center"/>
        <w:rPr>
          <w:rFonts w:ascii="Book Antiqua" w:hAnsi="Book Antiqua"/>
          <w:b/>
          <w:color w:val="000000" w:themeColor="text1"/>
          <w:sz w:val="48"/>
        </w:rPr>
      </w:pPr>
      <w:r>
        <w:rPr>
          <w:rFonts w:ascii="Book Antiqua" w:hAnsi="Book Antiqua"/>
          <w:color w:val="000000" w:themeColor="text1"/>
        </w:rPr>
        <w:t xml:space="preserve"> 4 </w:t>
      </w:r>
      <w:r w:rsidRPr="00BC0BB0">
        <w:rPr>
          <w:rFonts w:ascii="Book Antiqua" w:hAnsi="Book Antiqua"/>
          <w:color w:val="000000" w:themeColor="text1"/>
        </w:rPr>
        <w:t>DE ABRIL DE</w:t>
      </w:r>
      <w:r w:rsidRPr="00BC0BB0">
        <w:rPr>
          <w:rFonts w:ascii="Book Antiqua" w:hAnsi="Book Antiqua"/>
          <w:color w:val="000000" w:themeColor="text1"/>
          <w:sz w:val="22"/>
          <w:szCs w:val="22"/>
        </w:rPr>
        <w:t xml:space="preserve"> </w:t>
      </w:r>
      <w:r w:rsidRPr="00BC0BB0">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220AA745"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D416B3">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49FC8802" w14:textId="77777777" w:rsidR="00267593" w:rsidRPr="001B5CAC" w:rsidRDefault="00850770" w:rsidP="00267593">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67593" w:rsidRPr="001B5CAC">
        <w:rPr>
          <w:rFonts w:ascii="Book Antiqua" w:hAnsi="Book Antiqua"/>
          <w:color w:val="000000" w:themeColor="text1"/>
        </w:rPr>
        <w:t>añadir la Sección 1023.26 a la Ley Núm. 1-2011, según enmendada, conocida como “Código de Rentas Internas de Puerto Rico de 2011” con el fin de establecer una contribución especial a ingresos de intereses, dividendos y ganancias de capital a largo plazo; y para otros fines</w:t>
      </w:r>
      <w:r w:rsidR="00267593">
        <w:rPr>
          <w:rFonts w:ascii="Book Antiqua" w:hAnsi="Book Antiqua"/>
          <w:color w:val="000000" w:themeColor="text1"/>
        </w:rPr>
        <w:t xml:space="preserve"> relacionados</w:t>
      </w:r>
      <w:r w:rsidR="00267593" w:rsidRPr="001B5CAC">
        <w:rPr>
          <w:rFonts w:ascii="Book Antiqua" w:hAnsi="Book Antiqua"/>
          <w:color w:val="000000" w:themeColor="text1"/>
        </w:rPr>
        <w:t xml:space="preserve">. </w:t>
      </w:r>
    </w:p>
    <w:p w14:paraId="5FB7EC3C" w14:textId="77FA929C" w:rsidR="00314D64" w:rsidRPr="007F2135" w:rsidRDefault="00314D64" w:rsidP="00314D64">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8C6066E" w14:textId="77777777" w:rsidR="00267593" w:rsidRDefault="00267593" w:rsidP="00267593">
      <w:pPr>
        <w:suppressLineNumbers/>
        <w:jc w:val="both"/>
        <w:rPr>
          <w:rFonts w:ascii="Book Antiqua" w:hAnsi="Book Antiqua"/>
        </w:rPr>
      </w:pPr>
    </w:p>
    <w:p w14:paraId="70F6CA72" w14:textId="4C8EAE6A" w:rsidR="00267593" w:rsidRPr="00332D2B" w:rsidRDefault="00267593" w:rsidP="00855DE9">
      <w:pPr>
        <w:suppressLineNumbers/>
        <w:ind w:firstLine="540"/>
        <w:jc w:val="both"/>
        <w:rPr>
          <w:rFonts w:ascii="Book Antiqua" w:hAnsi="Book Antiqua"/>
          <w:color w:val="000000" w:themeColor="text1"/>
        </w:rPr>
      </w:pPr>
      <w:r w:rsidRPr="00332D2B">
        <w:rPr>
          <w:rFonts w:ascii="Book Antiqua" w:hAnsi="Book Antiqua"/>
          <w:color w:val="000000" w:themeColor="text1"/>
        </w:rPr>
        <w:t xml:space="preserve">El programa de Gobierno por el cual esta Administración comenzó a regir los destinos de Puerto Rico tiene una promesa muy específica en cuanto al tema contributivo. Dice específicamente: </w:t>
      </w:r>
    </w:p>
    <w:p w14:paraId="3CBA279E" w14:textId="77777777" w:rsidR="00267593" w:rsidRDefault="00267593" w:rsidP="00267593">
      <w:pPr>
        <w:suppressLineNumbers/>
        <w:jc w:val="both"/>
        <w:rPr>
          <w:rFonts w:ascii="Book Antiqua" w:hAnsi="Book Antiqua"/>
          <w:color w:val="000000" w:themeColor="text1"/>
          <w:lang w:val="es-ES"/>
        </w:rPr>
      </w:pPr>
    </w:p>
    <w:p w14:paraId="46C1645C" w14:textId="0202FD9D" w:rsidR="00267593" w:rsidRDefault="00267593" w:rsidP="00855DE9">
      <w:pPr>
        <w:suppressLineNumbers/>
        <w:ind w:firstLine="360"/>
        <w:jc w:val="both"/>
        <w:rPr>
          <w:rFonts w:ascii="Book Antiqua" w:hAnsi="Book Antiqua"/>
          <w:color w:val="000000" w:themeColor="text1"/>
          <w:lang w:val="es-ES"/>
        </w:rPr>
      </w:pPr>
      <w:r w:rsidRPr="00332D2B">
        <w:rPr>
          <w:rFonts w:ascii="Book Antiqua" w:hAnsi="Book Antiqua"/>
          <w:color w:val="000000" w:themeColor="text1"/>
          <w:lang w:val="es-ES"/>
        </w:rPr>
        <w:t>“</w:t>
      </w:r>
      <w:r w:rsidRPr="001F2400">
        <w:rPr>
          <w:rFonts w:ascii="Book Antiqua" w:hAnsi="Book Antiqua"/>
          <w:color w:val="000000" w:themeColor="text1"/>
          <w:lang w:val="es-ES"/>
        </w:rPr>
        <w:t xml:space="preserve">Nombraremos un comité de expertos para </w:t>
      </w:r>
      <w:r w:rsidR="00CF43BA">
        <w:rPr>
          <w:rFonts w:ascii="Book Antiqua" w:hAnsi="Book Antiqua"/>
          <w:color w:val="000000" w:themeColor="text1"/>
          <w:lang w:val="es-ES"/>
        </w:rPr>
        <w:t xml:space="preserve">que </w:t>
      </w:r>
      <w:r w:rsidRPr="001F2400">
        <w:rPr>
          <w:rFonts w:ascii="Book Antiqua" w:hAnsi="Book Antiqua"/>
          <w:color w:val="000000" w:themeColor="text1"/>
          <w:lang w:val="es-ES"/>
        </w:rPr>
        <w:t xml:space="preserve">continúen los esfuerzos del grupo asesor establecido bajo la Orden Ejecutiva 2021-072, para que, en los primeros 6 meses de </w:t>
      </w:r>
      <w:r w:rsidRPr="001F2400">
        <w:rPr>
          <w:rFonts w:ascii="Book Antiqua" w:hAnsi="Book Antiqua"/>
          <w:color w:val="000000" w:themeColor="text1"/>
          <w:lang w:val="es-ES"/>
        </w:rPr>
        <w:lastRenderedPageBreak/>
        <w:t xml:space="preserve">nuestra administración, propongan soluciones para establecer un sistema tributario más simple, justo, equitativo, eficiente y transparente, que incluyan: </w:t>
      </w:r>
    </w:p>
    <w:p w14:paraId="214D5D54" w14:textId="77777777" w:rsidR="00267593" w:rsidRPr="001F2400" w:rsidRDefault="00267593" w:rsidP="00267593">
      <w:pPr>
        <w:suppressLineNumbers/>
        <w:jc w:val="both"/>
        <w:rPr>
          <w:rFonts w:ascii="Book Antiqua" w:hAnsi="Book Antiqua"/>
          <w:color w:val="000000" w:themeColor="text1"/>
          <w:lang w:val="es-ES"/>
        </w:rPr>
      </w:pPr>
    </w:p>
    <w:p w14:paraId="0433FB76" w14:textId="26BA71ED"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1F2400">
        <w:rPr>
          <w:rFonts w:ascii="Book Antiqua" w:hAnsi="Book Antiqua"/>
          <w:color w:val="000000" w:themeColor="text1"/>
          <w:lang w:val="es-ES"/>
        </w:rPr>
        <w:t>La posibilidad de disminuir sustancialmente o eliminar la contribución sobre las ganancias de capital para los individuos residentes de Puerto Rico, de manera que se equipare a los beneficios provistos a individuos recién localizados a Puerto Rico que son beneficiarios de decretos bajo la Ley 60-2019, según enmendada.</w:t>
      </w:r>
    </w:p>
    <w:p w14:paraId="093E8823" w14:textId="77777777" w:rsidR="00267593" w:rsidRDefault="00267593" w:rsidP="00267593">
      <w:pPr>
        <w:pStyle w:val="ListParagraph"/>
        <w:suppressLineNumbers/>
        <w:jc w:val="both"/>
        <w:rPr>
          <w:rFonts w:ascii="Book Antiqua" w:hAnsi="Book Antiqua"/>
          <w:color w:val="000000" w:themeColor="text1"/>
          <w:lang w:val="es-ES"/>
        </w:rPr>
      </w:pPr>
    </w:p>
    <w:p w14:paraId="59428FC5"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Simplificar y hacer más justo el sistema contributivo para individuos residentes de Puerto Rico.</w:t>
      </w:r>
    </w:p>
    <w:p w14:paraId="01CB7FA1" w14:textId="77777777" w:rsidR="00267593" w:rsidRPr="00267593" w:rsidRDefault="00267593" w:rsidP="00267593">
      <w:pPr>
        <w:suppressLineNumbers/>
        <w:jc w:val="both"/>
        <w:rPr>
          <w:rFonts w:ascii="Book Antiqua" w:hAnsi="Book Antiqua"/>
          <w:color w:val="000000" w:themeColor="text1"/>
          <w:lang w:val="es-ES"/>
        </w:rPr>
      </w:pPr>
    </w:p>
    <w:p w14:paraId="6992515B" w14:textId="6EAD01ED"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Reducir la carga contributiva sobre los ingresos pasivos de capital para fomentar la inversión local.</w:t>
      </w:r>
    </w:p>
    <w:p w14:paraId="0D78BD95" w14:textId="77777777" w:rsidR="00267593" w:rsidRPr="00267593" w:rsidRDefault="00267593" w:rsidP="00267593">
      <w:pPr>
        <w:suppressLineNumbers/>
        <w:jc w:val="both"/>
        <w:rPr>
          <w:rFonts w:ascii="Book Antiqua" w:hAnsi="Book Antiqua"/>
          <w:color w:val="000000" w:themeColor="text1"/>
          <w:lang w:val="es-ES"/>
        </w:rPr>
      </w:pPr>
    </w:p>
    <w:p w14:paraId="2D47F344"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Equiparar los incentivos contributivos otorgados a residentes bajo decretos de la Ley 60-2019 con los de los ciudadanos que ya residen en la Isla.</w:t>
      </w:r>
    </w:p>
    <w:p w14:paraId="3B94118B" w14:textId="77777777" w:rsidR="00267593" w:rsidRPr="00267593" w:rsidRDefault="00267593" w:rsidP="00267593">
      <w:pPr>
        <w:suppressLineNumbers/>
        <w:jc w:val="both"/>
        <w:rPr>
          <w:rFonts w:ascii="Book Antiqua" w:hAnsi="Book Antiqua"/>
          <w:color w:val="000000" w:themeColor="text1"/>
          <w:lang w:val="es-ES"/>
        </w:rPr>
      </w:pPr>
    </w:p>
    <w:p w14:paraId="3C4C3E10"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Incentivar la retención de capital local y el desarrollo económico sostenible mediante la inversión interna.</w:t>
      </w:r>
    </w:p>
    <w:p w14:paraId="041C2356" w14:textId="77777777" w:rsidR="00267593" w:rsidRPr="00267593" w:rsidRDefault="00267593" w:rsidP="00267593">
      <w:pPr>
        <w:suppressLineNumbers/>
        <w:jc w:val="both"/>
        <w:rPr>
          <w:rFonts w:ascii="Book Antiqua" w:hAnsi="Book Antiqua"/>
          <w:color w:val="000000" w:themeColor="text1"/>
          <w:lang w:val="es-ES"/>
        </w:rPr>
      </w:pPr>
    </w:p>
    <w:p w14:paraId="53F5B4CB"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Se establece una contribución especial de cuatro por ciento (4%) aplicable voluntariamente sobre:</w:t>
      </w:r>
    </w:p>
    <w:p w14:paraId="3938A3FC" w14:textId="77777777" w:rsidR="00855DE9" w:rsidRPr="00855DE9" w:rsidRDefault="00855DE9" w:rsidP="00855DE9">
      <w:pPr>
        <w:pStyle w:val="ListParagraph"/>
        <w:rPr>
          <w:rFonts w:ascii="Book Antiqua" w:hAnsi="Book Antiqua"/>
          <w:color w:val="000000" w:themeColor="text1"/>
          <w:lang w:val="es-ES"/>
        </w:rPr>
      </w:pPr>
    </w:p>
    <w:p w14:paraId="1425A671" w14:textId="77777777" w:rsidR="00267593" w:rsidRDefault="00267593" w:rsidP="00267593">
      <w:pPr>
        <w:pStyle w:val="ListParagraph"/>
        <w:numPr>
          <w:ilvl w:val="1"/>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Intereses y dividendos, incluyendo los provenientes de compañías de inversión, entidades bancarias y financieras internacionales.</w:t>
      </w:r>
    </w:p>
    <w:p w14:paraId="5C97248A" w14:textId="77777777" w:rsidR="00855DE9" w:rsidRPr="00382A86" w:rsidRDefault="00855DE9" w:rsidP="00855DE9">
      <w:pPr>
        <w:pStyle w:val="ListParagraph"/>
        <w:suppressLineNumbers/>
        <w:ind w:left="1440"/>
        <w:jc w:val="both"/>
        <w:rPr>
          <w:rFonts w:ascii="Book Antiqua" w:hAnsi="Book Antiqua"/>
          <w:color w:val="000000" w:themeColor="text1"/>
          <w:lang w:val="es-ES"/>
        </w:rPr>
      </w:pPr>
    </w:p>
    <w:p w14:paraId="036EF69A" w14:textId="1ED0AE71" w:rsidR="00267593" w:rsidRDefault="00267593" w:rsidP="00267593">
      <w:pPr>
        <w:pStyle w:val="ListParagraph"/>
        <w:numPr>
          <w:ilvl w:val="1"/>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Ganancias netas de capital a largo plazo sobre la venta de valores u otros activos, en tanto se consideren ingresos de fuente de Puerto Rico</w:t>
      </w:r>
      <w:r>
        <w:rPr>
          <w:rFonts w:ascii="Book Antiqua" w:hAnsi="Book Antiqua"/>
          <w:color w:val="000000" w:themeColor="text1"/>
          <w:lang w:val="es-ES"/>
        </w:rPr>
        <w:t>.</w:t>
      </w:r>
    </w:p>
    <w:p w14:paraId="72A67D87" w14:textId="77777777" w:rsidR="00267593" w:rsidRDefault="00267593" w:rsidP="00267593">
      <w:pPr>
        <w:pStyle w:val="ListParagraph"/>
        <w:suppressLineNumbers/>
        <w:ind w:left="1440"/>
        <w:jc w:val="both"/>
        <w:rPr>
          <w:rFonts w:ascii="Book Antiqua" w:hAnsi="Book Antiqua"/>
          <w:color w:val="000000" w:themeColor="text1"/>
          <w:lang w:val="es-ES"/>
        </w:rPr>
      </w:pPr>
    </w:p>
    <w:p w14:paraId="52F7123D"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Pr>
          <w:rFonts w:ascii="Book Antiqua" w:hAnsi="Book Antiqua"/>
          <w:color w:val="000000" w:themeColor="text1"/>
          <w:lang w:val="es-ES"/>
        </w:rPr>
        <w:t>El contribuyente podrá acogerse a esta tasa especial mediante la planilla anual de contribución sobre ingresos. Al optar por esta tasa, no se aplicará la contribución básica alterna ni ciertos créditos contributivos.</w:t>
      </w:r>
    </w:p>
    <w:p w14:paraId="16EFD1E3" w14:textId="77777777" w:rsidR="00267593" w:rsidRPr="001F2400" w:rsidRDefault="00267593" w:rsidP="00267593">
      <w:pPr>
        <w:pStyle w:val="ListParagraph"/>
        <w:suppressLineNumbers/>
        <w:jc w:val="both"/>
        <w:rPr>
          <w:rFonts w:ascii="Book Antiqua" w:hAnsi="Book Antiqua"/>
          <w:color w:val="000000" w:themeColor="text1"/>
          <w:lang w:val="es-ES"/>
        </w:rPr>
      </w:pPr>
    </w:p>
    <w:p w14:paraId="6B839303" w14:textId="600CD235" w:rsidR="00267593" w:rsidRDefault="00267593" w:rsidP="00855DE9">
      <w:pPr>
        <w:suppressLineNumbers/>
        <w:ind w:firstLine="360"/>
        <w:jc w:val="both"/>
        <w:rPr>
          <w:rFonts w:ascii="Book Antiqua" w:hAnsi="Book Antiqua"/>
          <w:color w:val="000000" w:themeColor="text1"/>
        </w:rPr>
      </w:pPr>
      <w:r>
        <w:rPr>
          <w:rFonts w:ascii="Book Antiqua" w:hAnsi="Book Antiqua"/>
          <w:color w:val="000000" w:themeColor="text1"/>
        </w:rPr>
        <w:t xml:space="preserve">Este esfuerzo particular ha producido una serie de medidas, administrativas y legislativas, entre las que se destaca este proyecto de ley que busca permitir que las ganancias de capital de los inversionistas que ya residían en Puerto Rico tengan el mismo tratamiento contributivo que los que recién se han relocalizado en nuestras costas. De esta manera podemos continuar haciendo de nuestro archipiélago un destino de vida. </w:t>
      </w:r>
    </w:p>
    <w:p w14:paraId="2DD7BC35" w14:textId="77777777" w:rsidR="00766460" w:rsidRPr="00766460" w:rsidRDefault="00766460" w:rsidP="00766460">
      <w:pPr>
        <w:contextualSpacing/>
        <w:jc w:val="both"/>
        <w:rPr>
          <w:rFonts w:ascii="Book Antiqua" w:eastAsia="Book Antiqua" w:hAnsi="Book Antiqua" w:cs="Book Antiqua"/>
          <w:color w:val="000000" w:themeColor="text1"/>
        </w:rPr>
      </w:pPr>
    </w:p>
    <w:p w14:paraId="7090E497" w14:textId="77777777" w:rsidR="003210B4" w:rsidRDefault="003210B4">
      <w:pPr>
        <w:spacing w:line="480" w:lineRule="auto"/>
        <w:jc w:val="both"/>
        <w:rPr>
          <w:rFonts w:ascii="Book Antiqua" w:eastAsia="Book Antiqua" w:hAnsi="Book Antiqua" w:cs="Book Antiqua"/>
          <w:i/>
          <w:color w:val="000000" w:themeColor="text1"/>
        </w:rPr>
      </w:pPr>
    </w:p>
    <w:p w14:paraId="4098EE13" w14:textId="77777777" w:rsidR="003210B4" w:rsidRDefault="003210B4">
      <w:pPr>
        <w:spacing w:line="480" w:lineRule="auto"/>
        <w:jc w:val="both"/>
        <w:rPr>
          <w:rFonts w:ascii="Book Antiqua" w:eastAsia="Book Antiqua" w:hAnsi="Book Antiqua" w:cs="Book Antiqua"/>
          <w:i/>
          <w:color w:val="000000" w:themeColor="text1"/>
        </w:rPr>
      </w:pPr>
    </w:p>
    <w:p w14:paraId="7955066D" w14:textId="67FF1A18"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lastRenderedPageBreak/>
        <w:t>DECRÉTASE POR LA ASAMBLEA LEGISLATIVA DE PUERTO RICO</w:t>
      </w:r>
      <w:r w:rsidR="00CE36E4">
        <w:rPr>
          <w:rFonts w:ascii="Book Antiqua" w:eastAsia="Book Antiqua" w:hAnsi="Book Antiqua" w:cs="Book Antiqua"/>
          <w:i/>
          <w:color w:val="000000" w:themeColor="text1"/>
        </w:rPr>
        <w:t>:</w:t>
      </w:r>
    </w:p>
    <w:p w14:paraId="318114B9" w14:textId="0535706D" w:rsidR="00267593" w:rsidRPr="001B5CAC" w:rsidRDefault="00267593" w:rsidP="002D6645">
      <w:pPr>
        <w:pStyle w:val="Heading1"/>
      </w:pPr>
      <w:bookmarkStart w:id="0" w:name="_Hlk194668555"/>
      <w:r w:rsidRPr="001B5CAC">
        <w:t xml:space="preserve">Artículo 1.- Se añade la Sección 1023.26 al Subcapítulo 3 del Capítulo 2 bajo el Subtítulo A de la Ley 1-2011, según enmendada, </w:t>
      </w:r>
      <w:r>
        <w:t xml:space="preserve">la cual se </w:t>
      </w:r>
      <w:r w:rsidRPr="001B5CAC">
        <w:t>le</w:t>
      </w:r>
      <w:r>
        <w:t xml:space="preserve">erá </w:t>
      </w:r>
      <w:r w:rsidRPr="001B5CAC">
        <w:t>como sigue: </w:t>
      </w:r>
    </w:p>
    <w:p w14:paraId="4004DCBE" w14:textId="77777777" w:rsidR="00267593" w:rsidRPr="00845F6E" w:rsidRDefault="00267593" w:rsidP="00267593">
      <w:pPr>
        <w:spacing w:line="480" w:lineRule="auto"/>
        <w:ind w:firstLine="720"/>
        <w:jc w:val="both"/>
        <w:textAlignment w:val="baseline"/>
        <w:rPr>
          <w:rFonts w:ascii="Book Antiqua" w:hAnsi="Book Antiqua" w:cs="Segoe UI"/>
          <w:i/>
          <w:iCs/>
          <w:color w:val="000000"/>
          <w:lang w:val="es-ES"/>
        </w:rPr>
      </w:pPr>
      <w:r w:rsidRPr="001B5CAC">
        <w:rPr>
          <w:rFonts w:ascii="Book Antiqua" w:hAnsi="Book Antiqua" w:cs="Segoe UI"/>
          <w:color w:val="000000"/>
        </w:rPr>
        <w:t>“</w:t>
      </w:r>
      <w:r w:rsidRPr="00845F6E">
        <w:rPr>
          <w:rFonts w:ascii="Book Antiqua" w:hAnsi="Book Antiqua" w:cs="Segoe UI"/>
          <w:i/>
          <w:iCs/>
          <w:color w:val="000000"/>
        </w:rPr>
        <w:t xml:space="preserve">Sección 1023.26.- </w:t>
      </w:r>
      <w:r w:rsidRPr="00845F6E">
        <w:rPr>
          <w:rFonts w:ascii="Book Antiqua" w:hAnsi="Book Antiqua" w:cs="Segoe UI"/>
          <w:i/>
          <w:iCs/>
          <w:color w:val="000000"/>
          <w:lang w:val="es-ES"/>
        </w:rPr>
        <w:t>Contribución Especial a Individuos, Sucesiones y Fideicomisos con respecto a Intereses, Distribuciones de Dividendos y Ganancias de Capital a Largo Plazo.</w:t>
      </w:r>
    </w:p>
    <w:p w14:paraId="15952F35" w14:textId="69721D3C" w:rsidR="00267593" w:rsidRPr="00845F6E" w:rsidRDefault="00267593" w:rsidP="00267593">
      <w:pPr>
        <w:pStyle w:val="Heading1"/>
        <w:ind w:left="720" w:hanging="360"/>
        <w:rPr>
          <w:rFonts w:cs="Segoe UI"/>
          <w:i/>
          <w:iCs/>
          <w:color w:val="000000"/>
        </w:rPr>
      </w:pPr>
      <w:r w:rsidRPr="00845F6E">
        <w:rPr>
          <w:rFonts w:cs="Segoe UI"/>
          <w:i/>
          <w:iCs/>
          <w:color w:val="000000"/>
        </w:rPr>
        <w:t>(a) Tasa contributiva especial. — Para años contributivos comenzados luego del 31 de diciembre de 2024, cualquier individuo</w:t>
      </w:r>
      <w:r w:rsidR="003210B4">
        <w:rPr>
          <w:rFonts w:cs="Segoe UI"/>
          <w:i/>
          <w:iCs/>
          <w:color w:val="000000"/>
        </w:rPr>
        <w:t xml:space="preserve"> </w:t>
      </w:r>
      <w:r w:rsidR="003210B4">
        <w:rPr>
          <w:rFonts w:cs="Segoe UI"/>
          <w:i/>
          <w:iCs/>
          <w:color w:val="000000"/>
          <w:u w:val="single"/>
        </w:rPr>
        <w:t>residente</w:t>
      </w:r>
      <w:r w:rsidRPr="00845F6E">
        <w:rPr>
          <w:rFonts w:cs="Segoe UI"/>
          <w:i/>
          <w:iCs/>
          <w:color w:val="000000"/>
        </w:rPr>
        <w:t xml:space="preserve">, sucesión o fideicomiso </w:t>
      </w:r>
      <w:r w:rsidR="003210B4">
        <w:rPr>
          <w:rFonts w:cs="Segoe UI"/>
          <w:i/>
          <w:iCs/>
          <w:color w:val="000000"/>
          <w:u w:val="single"/>
        </w:rPr>
        <w:t xml:space="preserve">que esté sujeto a tributación bajo las disposiciones de la Sección 1083.01 </w:t>
      </w:r>
      <w:r w:rsidRPr="00845F6E">
        <w:rPr>
          <w:rFonts w:cs="Segoe UI"/>
          <w:i/>
          <w:iCs/>
          <w:color w:val="000000"/>
        </w:rPr>
        <w:t>podrá acogerse a la opción de pagar, en lugar de cualesquiera otras contribuciones impuestas por este Subtítulo, incluyendo la contribución básica alterna, una contribución igual al cuatro (4) por ciento sobre el total de:</w:t>
      </w:r>
    </w:p>
    <w:p w14:paraId="1740B0FD" w14:textId="77777777" w:rsidR="00267593" w:rsidRPr="00845F6E" w:rsidRDefault="00267593" w:rsidP="00267593">
      <w:pPr>
        <w:pStyle w:val="Heading1"/>
        <w:ind w:left="1080" w:hanging="360"/>
        <w:rPr>
          <w:rFonts w:cs="Segoe UI"/>
          <w:i/>
          <w:iCs/>
          <w:color w:val="000000"/>
        </w:rPr>
      </w:pPr>
      <w:r w:rsidRPr="00845F6E">
        <w:rPr>
          <w:rFonts w:cs="Segoe UI"/>
          <w:i/>
          <w:iCs/>
          <w:color w:val="000000"/>
        </w:rPr>
        <w:t>(1)</w:t>
      </w:r>
      <w:r w:rsidRPr="00845F6E">
        <w:rPr>
          <w:rFonts w:cs="Segoe UI"/>
          <w:i/>
          <w:iCs/>
          <w:color w:val="000000"/>
        </w:rPr>
        <w:tab/>
        <w:t xml:space="preserve"> intereses y dividendos, incluyendo, pero sin limitarse a, intereses y dividendos que provengan de una compañía inscrita de inversiones, según descrita en la Sección 1112.01 de este Código.  Además, incluye ingresos de intereses, cargos por financiamiento y dividendos recibidos de Entidades Bancarias Internacionales autorizadas conforme a la Ley Núm. 52 de 11 de agosto de 1989, según enmendada, conocida como la “Ley Reguladora del Centro Bancario International”, y Entidades Financieras Internacionales autorizadas conforme a la Ley Núm. 273-2012, según enmendada, conocida como la “Ley Reguladora del Centro Financiero Internacional” o bajo las disposiciones del Capítulo 4, Subtítulo B de la Ley Núm. 60-2019, según enmendada; y</w:t>
      </w:r>
    </w:p>
    <w:p w14:paraId="27D29E3F" w14:textId="3D437162" w:rsidR="00267593" w:rsidRDefault="00267593" w:rsidP="00267593">
      <w:pPr>
        <w:spacing w:line="480" w:lineRule="auto"/>
        <w:ind w:left="1080" w:hanging="360"/>
        <w:jc w:val="both"/>
        <w:rPr>
          <w:rFonts w:ascii="Book Antiqua" w:hAnsi="Book Antiqua"/>
          <w:i/>
          <w:iCs/>
        </w:rPr>
      </w:pPr>
      <w:r w:rsidRPr="00845F6E">
        <w:rPr>
          <w:rFonts w:ascii="Book Antiqua" w:hAnsi="Book Antiqua"/>
          <w:i/>
          <w:iCs/>
        </w:rPr>
        <w:lastRenderedPageBreak/>
        <w:t>(2)</w:t>
      </w:r>
      <w:r w:rsidRPr="00845F6E">
        <w:rPr>
          <w:rFonts w:ascii="Book Antiqua" w:hAnsi="Book Antiqua"/>
          <w:i/>
          <w:iCs/>
        </w:rPr>
        <w:tab/>
        <w:t xml:space="preserve">ganancia neta de capital </w:t>
      </w:r>
      <w:r w:rsidR="003210B4">
        <w:rPr>
          <w:rFonts w:ascii="Book Antiqua" w:hAnsi="Book Antiqua"/>
          <w:i/>
          <w:iCs/>
          <w:u w:val="single"/>
        </w:rPr>
        <w:t xml:space="preserve">a largo plazo </w:t>
      </w:r>
      <w:r w:rsidRPr="00845F6E">
        <w:rPr>
          <w:rFonts w:ascii="Book Antiqua" w:hAnsi="Book Antiqua"/>
          <w:i/>
          <w:iCs/>
        </w:rPr>
        <w:t xml:space="preserve">realizada en la venta de Valores, según dicho término está definido en la Sección 1020.01 de la Ley 60-2019, según enmendada, u Otros Activos, según dicho termino está definido en la Sección 1020.02 de la Ley 60-2019, según enmendada. </w:t>
      </w:r>
      <w:r>
        <w:rPr>
          <w:rFonts w:ascii="Book Antiqua" w:hAnsi="Book Antiqua"/>
          <w:i/>
          <w:iCs/>
        </w:rPr>
        <w:t>E</w:t>
      </w:r>
      <w:r w:rsidRPr="00845F6E">
        <w:rPr>
          <w:rFonts w:ascii="Book Antiqua" w:hAnsi="Book Antiqua"/>
          <w:i/>
          <w:iCs/>
        </w:rPr>
        <w:t>sta disposición se aplicará a la porción de la ganancia que se considera ingresos de fuentes de Puerto Rico bajo lo dispuesto en la Sección 1035.03 de este Código.</w:t>
      </w:r>
    </w:p>
    <w:p w14:paraId="31FD34F6" w14:textId="77777777" w:rsidR="003210B4" w:rsidRPr="00845F6E" w:rsidRDefault="003210B4" w:rsidP="003210B4">
      <w:pPr>
        <w:spacing w:line="480" w:lineRule="auto"/>
        <w:ind w:left="1080" w:hanging="360"/>
        <w:jc w:val="both"/>
        <w:rPr>
          <w:rFonts w:ascii="Book Antiqua" w:hAnsi="Book Antiqua"/>
          <w:i/>
          <w:iCs/>
        </w:rPr>
      </w:pPr>
      <w:r w:rsidRPr="00F407E8">
        <w:rPr>
          <w:rFonts w:ascii="Book Antiqua" w:hAnsi="Book Antiqua"/>
          <w:i/>
          <w:iCs/>
          <w:u w:val="single"/>
          <w:lang w:val="es-ES"/>
        </w:rPr>
        <w:t xml:space="preserve">(b) Excepción a Tasa Contributiva Especial. - La tasa contributiva especial del apartado (a) no estará disponible </w:t>
      </w:r>
      <w:r>
        <w:rPr>
          <w:rFonts w:ascii="Book Antiqua" w:hAnsi="Book Antiqua"/>
          <w:i/>
          <w:iCs/>
          <w:u w:val="single"/>
          <w:lang w:val="es-ES"/>
        </w:rPr>
        <w:t xml:space="preserve">para individuos que cumplan </w:t>
      </w:r>
      <w:r w:rsidRPr="00F407E8">
        <w:rPr>
          <w:rFonts w:ascii="Book Antiqua" w:hAnsi="Book Antiqua"/>
          <w:i/>
          <w:iCs/>
          <w:u w:val="single"/>
          <w:lang w:val="es-ES"/>
        </w:rPr>
        <w:t>con los requisitos para acogerse a los beneficios contributivos establecidos bajo las Secciones 2022.01 y 2022.02 de la Ley 60-2019, según enmendada.  Dichos individuos deberán cumplir con las disposiciones de</w:t>
      </w:r>
      <w:r>
        <w:rPr>
          <w:rFonts w:ascii="Book Antiqua" w:hAnsi="Book Antiqua"/>
          <w:i/>
          <w:iCs/>
          <w:u w:val="single"/>
          <w:lang w:val="es-ES"/>
        </w:rPr>
        <w:t xml:space="preserve"> la Ley 60-2019 </w:t>
      </w:r>
      <w:r w:rsidRPr="00F407E8">
        <w:rPr>
          <w:rFonts w:ascii="Book Antiqua" w:hAnsi="Book Antiqua"/>
          <w:i/>
          <w:iCs/>
          <w:u w:val="single"/>
          <w:lang w:val="es-ES"/>
        </w:rPr>
        <w:t>y solicitar los beneficios contributivos bajo dicha legislación.</w:t>
      </w:r>
    </w:p>
    <w:p w14:paraId="59E58CBE" w14:textId="77777777" w:rsidR="003210B4" w:rsidRPr="00845F6E" w:rsidRDefault="003210B4" w:rsidP="003210B4">
      <w:pPr>
        <w:spacing w:line="480" w:lineRule="auto"/>
        <w:ind w:left="720" w:hanging="360"/>
        <w:jc w:val="both"/>
        <w:rPr>
          <w:rFonts w:ascii="Book Antiqua" w:hAnsi="Book Antiqua"/>
          <w:i/>
          <w:iCs/>
        </w:rPr>
      </w:pPr>
      <w:r w:rsidRPr="00845F6E">
        <w:rPr>
          <w:rFonts w:ascii="Book Antiqua" w:hAnsi="Book Antiqua"/>
          <w:i/>
          <w:iCs/>
        </w:rPr>
        <w:t>(</w:t>
      </w:r>
      <w:proofErr w:type="spellStart"/>
      <w:r w:rsidRPr="00D42F6D">
        <w:rPr>
          <w:rFonts w:ascii="Book Antiqua" w:hAnsi="Book Antiqua"/>
          <w:i/>
          <w:iCs/>
          <w:strike/>
        </w:rPr>
        <w:t>b</w:t>
      </w:r>
      <w:r>
        <w:rPr>
          <w:rFonts w:ascii="Book Antiqua" w:hAnsi="Book Antiqua"/>
          <w:i/>
          <w:iCs/>
          <w:u w:val="single"/>
        </w:rPr>
        <w:t>c</w:t>
      </w:r>
      <w:proofErr w:type="spellEnd"/>
      <w:r w:rsidRPr="00845F6E">
        <w:rPr>
          <w:rFonts w:ascii="Book Antiqua" w:hAnsi="Book Antiqua"/>
          <w:i/>
          <w:iCs/>
        </w:rPr>
        <w:t xml:space="preserve">) Ejercicio de la </w:t>
      </w:r>
      <w:proofErr w:type="gramStart"/>
      <w:r w:rsidRPr="00845F6E">
        <w:rPr>
          <w:rFonts w:ascii="Book Antiqua" w:hAnsi="Book Antiqua"/>
          <w:i/>
          <w:iCs/>
        </w:rPr>
        <w:t>opción.-</w:t>
      </w:r>
      <w:proofErr w:type="gramEnd"/>
      <w:r w:rsidRPr="00845F6E">
        <w:rPr>
          <w:rFonts w:ascii="Book Antiqua" w:hAnsi="Book Antiqua"/>
          <w:i/>
          <w:iCs/>
        </w:rPr>
        <w:t xml:space="preserve"> La opción de pagar únicamente el cuatro (4) por ciento de contribución a que se refiere el apartado (a) estará disponible a todo individuo</w:t>
      </w:r>
      <w:r>
        <w:rPr>
          <w:rFonts w:ascii="Book Antiqua" w:hAnsi="Book Antiqua"/>
          <w:i/>
          <w:iCs/>
          <w:u w:val="single"/>
        </w:rPr>
        <w:t xml:space="preserve"> residente</w:t>
      </w:r>
      <w:r w:rsidRPr="00845F6E">
        <w:rPr>
          <w:rFonts w:ascii="Book Antiqua" w:hAnsi="Book Antiqua"/>
          <w:i/>
          <w:iCs/>
        </w:rPr>
        <w:t xml:space="preserve">, sucesión o fideicomiso </w:t>
      </w:r>
      <w:r>
        <w:rPr>
          <w:rFonts w:ascii="Book Antiqua" w:hAnsi="Book Antiqua"/>
          <w:i/>
          <w:iCs/>
          <w:u w:val="single"/>
        </w:rPr>
        <w:t xml:space="preserve">que esté sujeto a tributación bajo las disposiciones de la Sección 1083.01 </w:t>
      </w:r>
      <w:r w:rsidRPr="00845F6E">
        <w:rPr>
          <w:rFonts w:ascii="Book Antiqua" w:hAnsi="Book Antiqua"/>
          <w:i/>
          <w:iCs/>
        </w:rPr>
        <w:t xml:space="preserve">que ejerza la opción con la radicación de la planilla de contribución sobre ingresos.  Los ingresos sujetos a la contribución especial dispuesta en esta sección no estarán sujetos a la contribución básica alterna dispuesta en la Sección 1021.02 de este Código. </w:t>
      </w:r>
      <w:r>
        <w:rPr>
          <w:rFonts w:ascii="Book Antiqua" w:hAnsi="Book Antiqua"/>
          <w:i/>
          <w:iCs/>
        </w:rPr>
        <w:t>De</w:t>
      </w:r>
      <w:r w:rsidRPr="00845F6E">
        <w:rPr>
          <w:rFonts w:ascii="Book Antiqua" w:hAnsi="Book Antiqua"/>
          <w:i/>
          <w:iCs/>
        </w:rPr>
        <w:t xml:space="preserve"> acogerse a la contribución especial dispuesta en el apartado (a) de esta sección, el individuo</w:t>
      </w:r>
      <w:r>
        <w:rPr>
          <w:rFonts w:ascii="Book Antiqua" w:hAnsi="Book Antiqua"/>
          <w:i/>
          <w:iCs/>
        </w:rPr>
        <w:t xml:space="preserve"> </w:t>
      </w:r>
      <w:r>
        <w:rPr>
          <w:rFonts w:ascii="Book Antiqua" w:hAnsi="Book Antiqua"/>
          <w:i/>
          <w:iCs/>
          <w:u w:val="single"/>
        </w:rPr>
        <w:t>residente</w:t>
      </w:r>
      <w:r w:rsidRPr="00845F6E">
        <w:rPr>
          <w:rFonts w:ascii="Book Antiqua" w:hAnsi="Book Antiqua"/>
          <w:i/>
          <w:iCs/>
        </w:rPr>
        <w:t>, sucesión o fideicomiso no podrán reclamar el crédito provisto en la Sección 1051.01 de este Código</w:t>
      </w:r>
      <w:r>
        <w:rPr>
          <w:rFonts w:ascii="Book Antiqua" w:hAnsi="Book Antiqua"/>
          <w:i/>
          <w:iCs/>
        </w:rPr>
        <w:t xml:space="preserve"> </w:t>
      </w:r>
      <w:r>
        <w:rPr>
          <w:rFonts w:ascii="Book Antiqua" w:hAnsi="Book Antiqua"/>
          <w:i/>
          <w:iCs/>
          <w:u w:val="single"/>
        </w:rPr>
        <w:t xml:space="preserve">con relación a la responsabilidad contributiva generada por los ingresos sujetos a la tasa preferencial dispuesta en el apartado (a) de esta Sección. A estos fines, el crédito provisto por la Sección 1051.01 de este Código podrá ser utilizado por el individuo </w:t>
      </w:r>
      <w:r>
        <w:rPr>
          <w:rFonts w:ascii="Book Antiqua" w:hAnsi="Book Antiqua"/>
          <w:i/>
          <w:iCs/>
          <w:u w:val="single"/>
        </w:rPr>
        <w:lastRenderedPageBreak/>
        <w:t>residente, sucesión o fideicomiso solamente en aquella proporción a la responsabilidad contributiva total para el año contributivo sobre otros ingresos de fuentes de Puerto Rico</w:t>
      </w:r>
      <w:r w:rsidRPr="00845F6E">
        <w:rPr>
          <w:rFonts w:ascii="Book Antiqua" w:hAnsi="Book Antiqua"/>
          <w:i/>
          <w:iCs/>
        </w:rPr>
        <w:t>.</w:t>
      </w:r>
    </w:p>
    <w:p w14:paraId="56554AE2" w14:textId="77777777" w:rsidR="003210B4" w:rsidRPr="00845F6E" w:rsidRDefault="003210B4" w:rsidP="003210B4">
      <w:pPr>
        <w:spacing w:line="480" w:lineRule="auto"/>
        <w:ind w:left="720" w:hanging="360"/>
        <w:jc w:val="both"/>
        <w:rPr>
          <w:rFonts w:ascii="Book Antiqua" w:hAnsi="Book Antiqua"/>
          <w:i/>
          <w:iCs/>
        </w:rPr>
      </w:pPr>
      <w:r w:rsidRPr="00845F6E">
        <w:rPr>
          <w:rFonts w:ascii="Book Antiqua" w:hAnsi="Book Antiqua"/>
          <w:i/>
          <w:iCs/>
        </w:rPr>
        <w:t>(</w:t>
      </w:r>
      <w:r w:rsidRPr="00D42F6D">
        <w:rPr>
          <w:rFonts w:ascii="Book Antiqua" w:hAnsi="Book Antiqua"/>
          <w:i/>
          <w:iCs/>
          <w:strike/>
        </w:rPr>
        <w:t>c</w:t>
      </w:r>
      <w:r>
        <w:rPr>
          <w:rFonts w:ascii="Book Antiqua" w:hAnsi="Book Antiqua"/>
          <w:i/>
          <w:iCs/>
          <w:u w:val="single"/>
        </w:rPr>
        <w:t>d</w:t>
      </w:r>
      <w:r w:rsidRPr="00845F6E">
        <w:rPr>
          <w:rFonts w:ascii="Book Antiqua" w:hAnsi="Book Antiqua"/>
          <w:i/>
          <w:iCs/>
        </w:rPr>
        <w:t>)</w:t>
      </w:r>
      <w:r w:rsidRPr="00845F6E">
        <w:rPr>
          <w:rFonts w:ascii="Book Antiqua" w:hAnsi="Book Antiqua"/>
          <w:i/>
          <w:iCs/>
        </w:rPr>
        <w:tab/>
        <w:t xml:space="preserve">Todo individuo, sucesión o fideicomiso que no ejercitare la opción aquí dispuesta vendrá obligado a pagar la contribución sobre ingresos a base de los tipos normales. </w:t>
      </w:r>
    </w:p>
    <w:p w14:paraId="2126B597" w14:textId="77777777" w:rsidR="003210B4" w:rsidRDefault="003210B4" w:rsidP="003210B4">
      <w:pPr>
        <w:spacing w:line="480" w:lineRule="auto"/>
        <w:ind w:left="720" w:hanging="360"/>
        <w:jc w:val="both"/>
        <w:rPr>
          <w:rFonts w:ascii="Book Antiqua" w:hAnsi="Book Antiqua"/>
        </w:rPr>
      </w:pPr>
      <w:r w:rsidRPr="00845F6E">
        <w:rPr>
          <w:rFonts w:ascii="Book Antiqua" w:hAnsi="Book Antiqua"/>
          <w:i/>
          <w:iCs/>
        </w:rPr>
        <w:t>(</w:t>
      </w:r>
      <w:r w:rsidRPr="00D42F6D">
        <w:rPr>
          <w:rFonts w:ascii="Book Antiqua" w:hAnsi="Book Antiqua"/>
          <w:i/>
          <w:iCs/>
          <w:strike/>
        </w:rPr>
        <w:t>d</w:t>
      </w:r>
      <w:r>
        <w:rPr>
          <w:rFonts w:ascii="Book Antiqua" w:hAnsi="Book Antiqua"/>
          <w:i/>
          <w:iCs/>
          <w:u w:val="single"/>
        </w:rPr>
        <w:t>e</w:t>
      </w:r>
      <w:r w:rsidRPr="00845F6E">
        <w:rPr>
          <w:rFonts w:ascii="Book Antiqua" w:hAnsi="Book Antiqua"/>
          <w:i/>
          <w:iCs/>
        </w:rPr>
        <w:t xml:space="preserve">) Forma de </w:t>
      </w:r>
      <w:proofErr w:type="gramStart"/>
      <w:r w:rsidRPr="00845F6E">
        <w:rPr>
          <w:rFonts w:ascii="Book Antiqua" w:hAnsi="Book Antiqua"/>
          <w:i/>
          <w:iCs/>
        </w:rPr>
        <w:t>Pago.-</w:t>
      </w:r>
      <w:proofErr w:type="gramEnd"/>
      <w:r w:rsidRPr="00845F6E">
        <w:rPr>
          <w:rFonts w:ascii="Book Antiqua" w:hAnsi="Book Antiqua"/>
          <w:i/>
          <w:iCs/>
        </w:rPr>
        <w:t xml:space="preserve"> La contribución impuesta por el apartado (a) de esta sección deberá ser pagada según se dispone en las Secciones 1061.19 y 1061.20.</w:t>
      </w:r>
      <w:r w:rsidRPr="00CF5ED7">
        <w:rPr>
          <w:rFonts w:ascii="Book Antiqua" w:hAnsi="Book Antiqua"/>
        </w:rPr>
        <w:t>”</w:t>
      </w:r>
    </w:p>
    <w:p w14:paraId="65113480" w14:textId="77777777" w:rsidR="003210B4" w:rsidRPr="00A128DD" w:rsidRDefault="003210B4" w:rsidP="003210B4">
      <w:pPr>
        <w:pStyle w:val="Heading1"/>
        <w:ind w:left="1440" w:hanging="360"/>
        <w:rPr>
          <w:i/>
          <w:iCs/>
          <w:u w:val="single"/>
        </w:rPr>
      </w:pPr>
      <w:r w:rsidRPr="00A128DD">
        <w:rPr>
          <w:i/>
          <w:iCs/>
          <w:u w:val="single"/>
        </w:rPr>
        <w:t>Artículo 2.</w:t>
      </w:r>
      <w:proofErr w:type="gramStart"/>
      <w:r w:rsidRPr="00A128DD">
        <w:rPr>
          <w:i/>
          <w:iCs/>
          <w:u w:val="single"/>
        </w:rPr>
        <w:t>-  Informe</w:t>
      </w:r>
      <w:proofErr w:type="gramEnd"/>
      <w:r w:rsidRPr="00A128DD">
        <w:rPr>
          <w:i/>
          <w:iCs/>
          <w:u w:val="single"/>
        </w:rPr>
        <w:t xml:space="preserve"> de Implementación y Evaluación.</w:t>
      </w:r>
    </w:p>
    <w:p w14:paraId="6017F9C0" w14:textId="77777777" w:rsidR="003210B4" w:rsidRPr="00A128DD" w:rsidRDefault="003210B4" w:rsidP="003210B4">
      <w:pPr>
        <w:pStyle w:val="Heading1"/>
        <w:rPr>
          <w:i/>
          <w:iCs/>
          <w:color w:val="000000" w:themeColor="text1"/>
          <w:u w:val="single"/>
        </w:rPr>
      </w:pPr>
      <w:r w:rsidRPr="00A128DD">
        <w:rPr>
          <w:i/>
          <w:iCs/>
          <w:color w:val="000000" w:themeColor="text1"/>
          <w:u w:val="single"/>
        </w:rPr>
        <w:t xml:space="preserve">El Departamento de Hacienda, en coordinación con la </w:t>
      </w:r>
      <w:r w:rsidRPr="00A128DD">
        <w:rPr>
          <w:bCs/>
          <w:i/>
          <w:iCs/>
          <w:u w:val="single"/>
        </w:rPr>
        <w:t>Autoridad de Asesoría Financiera y Agencia Fiscal</w:t>
      </w:r>
      <w:r w:rsidRPr="00A128DD">
        <w:rPr>
          <w:i/>
          <w:iCs/>
          <w:color w:val="000000" w:themeColor="text1"/>
          <w:u w:val="single"/>
        </w:rPr>
        <w:t xml:space="preserve"> y el Departamento de Desarrollo Económica y Comercio, deberá presentar a la Asamblea Legislativa y la Oficina de Presupuesto de la Asamblea Legislativa (OPAL) un informe técnico y de evaluación dentro de los primeros veinticuatro (24) meses siguientes a la entrada en vigor de esta Ley. El informe deberá contener: (i) estadísticas de acogimiento a la opción por tipo de contribuyente; (</w:t>
      </w:r>
      <w:proofErr w:type="spellStart"/>
      <w:r w:rsidRPr="00A128DD">
        <w:rPr>
          <w:i/>
          <w:iCs/>
          <w:color w:val="000000" w:themeColor="text1"/>
          <w:u w:val="single"/>
        </w:rPr>
        <w:t>ii</w:t>
      </w:r>
      <w:proofErr w:type="spellEnd"/>
      <w:r w:rsidRPr="00A128DD">
        <w:rPr>
          <w:i/>
          <w:iCs/>
          <w:color w:val="000000" w:themeColor="text1"/>
          <w:u w:val="single"/>
        </w:rPr>
        <w:t>) recaudos generados atribuible a la Sección 1023.26 del Código de Rentas Internas de 2011, según enmendado; (</w:t>
      </w:r>
      <w:proofErr w:type="spellStart"/>
      <w:r w:rsidRPr="00A128DD">
        <w:rPr>
          <w:i/>
          <w:iCs/>
          <w:color w:val="000000" w:themeColor="text1"/>
          <w:u w:val="single"/>
        </w:rPr>
        <w:t>iii</w:t>
      </w:r>
      <w:proofErr w:type="spellEnd"/>
      <w:r w:rsidRPr="00A128DD">
        <w:rPr>
          <w:i/>
          <w:iCs/>
          <w:color w:val="000000" w:themeColor="text1"/>
          <w:u w:val="single"/>
        </w:rPr>
        <w:t>) estimación de efectos dinámicos observados (repatriación de capital, llegada de residentes, impacto en empleo y consumo); (</w:t>
      </w:r>
      <w:proofErr w:type="spellStart"/>
      <w:r w:rsidRPr="00A128DD">
        <w:rPr>
          <w:i/>
          <w:iCs/>
          <w:color w:val="000000" w:themeColor="text1"/>
          <w:u w:val="single"/>
        </w:rPr>
        <w:t>iv</w:t>
      </w:r>
      <w:proofErr w:type="spellEnd"/>
      <w:r w:rsidRPr="00A128DD">
        <w:rPr>
          <w:i/>
          <w:iCs/>
          <w:color w:val="000000" w:themeColor="text1"/>
          <w:u w:val="single"/>
        </w:rPr>
        <w:t>) recomendaciones para ajustes normativos o reglamentarios; y (vi) propuestas concretas para corregir ambigüedades o vacíos detectados en la aplicación práctica. El informe será de acceso público y se acompañará de los datos que permitan su verificación.</w:t>
      </w:r>
    </w:p>
    <w:p w14:paraId="12D52022" w14:textId="77777777" w:rsidR="003210B4" w:rsidRPr="001B5CAC" w:rsidRDefault="003210B4" w:rsidP="003210B4">
      <w:pPr>
        <w:pStyle w:val="Heading1"/>
        <w:ind w:left="1440" w:hanging="360"/>
      </w:pPr>
      <w:r w:rsidRPr="001B5CAC">
        <w:t xml:space="preserve">Artículo </w:t>
      </w:r>
      <w:r w:rsidRPr="00A128DD">
        <w:rPr>
          <w:strike/>
        </w:rPr>
        <w:t>2</w:t>
      </w:r>
      <w:r>
        <w:t xml:space="preserve"> </w:t>
      </w:r>
      <w:r>
        <w:rPr>
          <w:i/>
          <w:iCs/>
          <w:u w:val="single"/>
        </w:rPr>
        <w:t>3</w:t>
      </w:r>
      <w:r w:rsidRPr="001B5CAC">
        <w:t>.- Cláusula de Separabilidad.</w:t>
      </w:r>
    </w:p>
    <w:p w14:paraId="153E629D" w14:textId="77777777" w:rsidR="003210B4" w:rsidRPr="001B5CAC" w:rsidRDefault="003210B4" w:rsidP="003210B4">
      <w:pPr>
        <w:pStyle w:val="Heading1"/>
        <w:rPr>
          <w:color w:val="000000" w:themeColor="text1"/>
        </w:rPr>
      </w:pPr>
      <w:r w:rsidRPr="001B5CAC">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1559E599" w14:textId="77777777" w:rsidR="003210B4" w:rsidRPr="001B5CAC" w:rsidRDefault="003210B4" w:rsidP="003210B4">
      <w:pPr>
        <w:pStyle w:val="Heading1"/>
        <w:rPr>
          <w:color w:val="000000" w:themeColor="text1"/>
        </w:rPr>
      </w:pPr>
      <w:r w:rsidRPr="001B5CAC">
        <w:rPr>
          <w:color w:val="000000" w:themeColor="text1"/>
        </w:rPr>
        <w:lastRenderedPageBreak/>
        <w:t xml:space="preserve">Artículo </w:t>
      </w:r>
      <w:r w:rsidRPr="00A128DD">
        <w:rPr>
          <w:strike/>
          <w:color w:val="000000" w:themeColor="text1"/>
        </w:rPr>
        <w:t>3</w:t>
      </w:r>
      <w:r>
        <w:rPr>
          <w:strike/>
          <w:color w:val="000000" w:themeColor="text1"/>
        </w:rPr>
        <w:t xml:space="preserve"> </w:t>
      </w:r>
      <w:r>
        <w:rPr>
          <w:i/>
          <w:iCs/>
          <w:color w:val="000000" w:themeColor="text1"/>
          <w:u w:val="single"/>
        </w:rPr>
        <w:t>4</w:t>
      </w:r>
      <w:r w:rsidRPr="001B5CAC">
        <w:rPr>
          <w:color w:val="000000" w:themeColor="text1"/>
        </w:rPr>
        <w:t>.- Vigencia.</w:t>
      </w:r>
    </w:p>
    <w:p w14:paraId="34C9D9C7" w14:textId="77777777" w:rsidR="003210B4" w:rsidRPr="00267593" w:rsidRDefault="003210B4" w:rsidP="003210B4">
      <w:pPr>
        <w:pStyle w:val="Heading1"/>
        <w:rPr>
          <w:color w:val="000000" w:themeColor="text1"/>
        </w:rPr>
      </w:pPr>
      <w:r w:rsidRPr="001B5CAC">
        <w:rPr>
          <w:color w:val="000000" w:themeColor="text1"/>
        </w:rPr>
        <w:t xml:space="preserve">Esta Ley entrará en vigor inmediatamente después de su aprobación. </w:t>
      </w:r>
      <w:bookmarkEnd w:id="0"/>
    </w:p>
    <w:sectPr w:rsidR="003210B4" w:rsidRPr="00267593" w:rsidSect="00855DE9">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21E35" w14:textId="77777777" w:rsidR="000F4B18" w:rsidRPr="007F2135" w:rsidRDefault="000F4B18">
      <w:r w:rsidRPr="007F2135">
        <w:separator/>
      </w:r>
    </w:p>
  </w:endnote>
  <w:endnote w:type="continuationSeparator" w:id="0">
    <w:p w14:paraId="7B60FCC3" w14:textId="77777777" w:rsidR="000F4B18" w:rsidRPr="007F2135" w:rsidRDefault="000F4B18">
      <w:r w:rsidRPr="007F2135">
        <w:continuationSeparator/>
      </w:r>
    </w:p>
  </w:endnote>
  <w:endnote w:type="continuationNotice" w:id="1">
    <w:p w14:paraId="3B3DE678" w14:textId="77777777" w:rsidR="000F4B18" w:rsidRPr="007F2135" w:rsidRDefault="000F4B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C1CB61F4-B2F5-417A-8BAA-F456C1DBCC5E}"/>
    <w:embedBold r:id="rId2" w:fontKey="{89486EA6-ECE0-444B-9B5C-779132B66D75}"/>
    <w:embedItalic r:id="rId3" w:fontKey="{18D0FC2E-0680-4CAB-ADCF-6073609E50BC}"/>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6CD3313E-99B7-40A3-8136-F40D148BB249}"/>
    <w:embedItalic r:id="rId5" w:fontKey="{F6DB8BB9-1EAA-4093-B794-D0829482F794}"/>
  </w:font>
  <w:font w:name="Georgia">
    <w:panose1 w:val="02040502050405020303"/>
    <w:charset w:val="00"/>
    <w:family w:val="roman"/>
    <w:pitch w:val="variable"/>
    <w:sig w:usb0="00000287" w:usb1="00000000" w:usb2="00000000" w:usb3="00000000" w:csb0="0000009F" w:csb1="00000000"/>
    <w:embedRegular r:id="rId6" w:fontKey="{78050295-6F8B-49FB-81B7-15CE6B1F10FD}"/>
    <w:embedItalic r:id="rId7" w:fontKey="{AB09822D-7B2F-4FF7-A2AD-1AE279F22630}"/>
  </w:font>
  <w:font w:name="DengXian">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840D71E5-D522-470E-9851-1D1D638ADFC6}"/>
    <w:embedItalic r:id="rId9" w:fontKey="{5C1CD3D2-97E8-4F31-8838-32709821041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86B02C79-32F0-402B-A2DC-5A3D074D755A}"/>
  </w:font>
  <w:font w:name="Calibri">
    <w:panose1 w:val="020F0502020204030204"/>
    <w:charset w:val="00"/>
    <w:family w:val="swiss"/>
    <w:pitch w:val="variable"/>
    <w:sig w:usb0="E4002EFF" w:usb1="C200247B" w:usb2="00000009" w:usb3="00000000" w:csb0="000001FF" w:csb1="00000000"/>
    <w:embedRegular r:id="rId11" w:fontKey="{46C35233-2536-4C9B-BF4A-B5BE9F68B1B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73CB9" w14:textId="77777777" w:rsidR="000F4B18" w:rsidRPr="007F2135" w:rsidRDefault="000F4B18">
      <w:r w:rsidRPr="007F2135">
        <w:separator/>
      </w:r>
    </w:p>
  </w:footnote>
  <w:footnote w:type="continuationSeparator" w:id="0">
    <w:p w14:paraId="68CE2D63" w14:textId="77777777" w:rsidR="000F4B18" w:rsidRPr="007F2135" w:rsidRDefault="000F4B18">
      <w:r w:rsidRPr="007F2135">
        <w:continuationSeparator/>
      </w:r>
    </w:p>
  </w:footnote>
  <w:footnote w:type="continuationNotice" w:id="1">
    <w:p w14:paraId="291A014A" w14:textId="77777777" w:rsidR="000F4B18" w:rsidRPr="007F2135" w:rsidRDefault="000F4B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D6B0" w14:textId="28FF5E4A" w:rsidR="00BC0BB0" w:rsidRPr="007F2135" w:rsidRDefault="5A161A2C" w:rsidP="00BC0BB0">
    <w:pPr>
      <w:tabs>
        <w:tab w:val="center" w:pos="4320"/>
        <w:tab w:val="right" w:pos="8640"/>
      </w:tabs>
      <w:jc w:val="right"/>
      <w:rPr>
        <w:color w:val="000000"/>
      </w:rPr>
    </w:pPr>
    <w:r w:rsidRPr="5A161A2C">
      <w:rPr>
        <w:color w:val="000000" w:themeColor="text1"/>
      </w:rPr>
      <w:t>A-04</w:t>
    </w:r>
    <w:r w:rsidR="00267593">
      <w:rPr>
        <w:color w:val="000000" w:themeColor="text1"/>
      </w:rPr>
      <w:t>7</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EAD7" w14:textId="77777777" w:rsidR="00521D57" w:rsidRDefault="00521D5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157D3"/>
    <w:multiLevelType w:val="hybridMultilevel"/>
    <w:tmpl w:val="28BCF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6C1D9E"/>
    <w:multiLevelType w:val="hybridMultilevel"/>
    <w:tmpl w:val="AA200E3E"/>
    <w:lvl w:ilvl="0" w:tplc="EC983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8436264">
    <w:abstractNumId w:val="11"/>
  </w:num>
  <w:num w:numId="2" w16cid:durableId="1577738596">
    <w:abstractNumId w:val="5"/>
  </w:num>
  <w:num w:numId="3" w16cid:durableId="1996687675">
    <w:abstractNumId w:val="21"/>
  </w:num>
  <w:num w:numId="4" w16cid:durableId="1287932678">
    <w:abstractNumId w:val="16"/>
  </w:num>
  <w:num w:numId="5" w16cid:durableId="1731534382">
    <w:abstractNumId w:val="14"/>
  </w:num>
  <w:num w:numId="6" w16cid:durableId="2114282896">
    <w:abstractNumId w:val="1"/>
  </w:num>
  <w:num w:numId="7" w16cid:durableId="493225371">
    <w:abstractNumId w:val="18"/>
  </w:num>
  <w:num w:numId="8" w16cid:durableId="1180049491">
    <w:abstractNumId w:val="0"/>
  </w:num>
  <w:num w:numId="9" w16cid:durableId="1383941475">
    <w:abstractNumId w:val="4"/>
  </w:num>
  <w:num w:numId="10" w16cid:durableId="752360193">
    <w:abstractNumId w:val="7"/>
  </w:num>
  <w:num w:numId="11" w16cid:durableId="509419319">
    <w:abstractNumId w:val="8"/>
  </w:num>
  <w:num w:numId="12" w16cid:durableId="1111820761">
    <w:abstractNumId w:val="12"/>
  </w:num>
  <w:num w:numId="13" w16cid:durableId="1857957938">
    <w:abstractNumId w:val="10"/>
  </w:num>
  <w:num w:numId="14" w16cid:durableId="788819905">
    <w:abstractNumId w:val="19"/>
  </w:num>
  <w:num w:numId="15" w16cid:durableId="230964543">
    <w:abstractNumId w:val="9"/>
  </w:num>
  <w:num w:numId="16" w16cid:durableId="1219822709">
    <w:abstractNumId w:val="20"/>
  </w:num>
  <w:num w:numId="17" w16cid:durableId="853034854">
    <w:abstractNumId w:val="3"/>
  </w:num>
  <w:num w:numId="18" w16cid:durableId="1318218798">
    <w:abstractNumId w:val="6"/>
  </w:num>
  <w:num w:numId="19" w16cid:durableId="1595749361">
    <w:abstractNumId w:val="13"/>
  </w:num>
  <w:num w:numId="20" w16cid:durableId="1530605063">
    <w:abstractNumId w:val="15"/>
  </w:num>
  <w:num w:numId="21" w16cid:durableId="239368864">
    <w:abstractNumId w:val="17"/>
  </w:num>
  <w:num w:numId="22" w16cid:durableId="618101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5AD1"/>
    <w:rsid w:val="00056D71"/>
    <w:rsid w:val="00057EF4"/>
    <w:rsid w:val="0007036F"/>
    <w:rsid w:val="000741B3"/>
    <w:rsid w:val="00086398"/>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0F4B18"/>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19C3"/>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67593"/>
    <w:rsid w:val="00273031"/>
    <w:rsid w:val="00285A15"/>
    <w:rsid w:val="0028794F"/>
    <w:rsid w:val="00291A4F"/>
    <w:rsid w:val="002A1D65"/>
    <w:rsid w:val="002A23EE"/>
    <w:rsid w:val="002A4F4F"/>
    <w:rsid w:val="002B136F"/>
    <w:rsid w:val="002B2FBB"/>
    <w:rsid w:val="002B5618"/>
    <w:rsid w:val="002B62EE"/>
    <w:rsid w:val="002B7906"/>
    <w:rsid w:val="002C1726"/>
    <w:rsid w:val="002D6159"/>
    <w:rsid w:val="002D6645"/>
    <w:rsid w:val="002F21CF"/>
    <w:rsid w:val="002F48BA"/>
    <w:rsid w:val="002F5B16"/>
    <w:rsid w:val="00302F90"/>
    <w:rsid w:val="0030308D"/>
    <w:rsid w:val="00310FDD"/>
    <w:rsid w:val="0031323F"/>
    <w:rsid w:val="00313C97"/>
    <w:rsid w:val="00314D64"/>
    <w:rsid w:val="00314E6B"/>
    <w:rsid w:val="003210B4"/>
    <w:rsid w:val="00321AB7"/>
    <w:rsid w:val="0032794E"/>
    <w:rsid w:val="00332E7A"/>
    <w:rsid w:val="00343CBC"/>
    <w:rsid w:val="0034626A"/>
    <w:rsid w:val="00346582"/>
    <w:rsid w:val="003524D5"/>
    <w:rsid w:val="00356264"/>
    <w:rsid w:val="00356E97"/>
    <w:rsid w:val="00365FFA"/>
    <w:rsid w:val="00371D68"/>
    <w:rsid w:val="00372E7F"/>
    <w:rsid w:val="00377285"/>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3F3E23"/>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1D57"/>
    <w:rsid w:val="005229AD"/>
    <w:rsid w:val="00524FBA"/>
    <w:rsid w:val="00526AC9"/>
    <w:rsid w:val="00527B13"/>
    <w:rsid w:val="00534596"/>
    <w:rsid w:val="00540E58"/>
    <w:rsid w:val="005427F8"/>
    <w:rsid w:val="00543529"/>
    <w:rsid w:val="00543C4C"/>
    <w:rsid w:val="00546040"/>
    <w:rsid w:val="00552C7A"/>
    <w:rsid w:val="00556C43"/>
    <w:rsid w:val="005640D7"/>
    <w:rsid w:val="0056577A"/>
    <w:rsid w:val="00573345"/>
    <w:rsid w:val="0057336F"/>
    <w:rsid w:val="00573C36"/>
    <w:rsid w:val="0057614A"/>
    <w:rsid w:val="00576725"/>
    <w:rsid w:val="00580739"/>
    <w:rsid w:val="00591957"/>
    <w:rsid w:val="00591C26"/>
    <w:rsid w:val="005A3527"/>
    <w:rsid w:val="005A5C2E"/>
    <w:rsid w:val="005B3512"/>
    <w:rsid w:val="005B3BBD"/>
    <w:rsid w:val="005C1643"/>
    <w:rsid w:val="005C3826"/>
    <w:rsid w:val="005C3AFC"/>
    <w:rsid w:val="005C7524"/>
    <w:rsid w:val="005D3EB3"/>
    <w:rsid w:val="005D7F54"/>
    <w:rsid w:val="005E3602"/>
    <w:rsid w:val="005E3680"/>
    <w:rsid w:val="005E4152"/>
    <w:rsid w:val="005E63C3"/>
    <w:rsid w:val="005E7EC5"/>
    <w:rsid w:val="005F0A2C"/>
    <w:rsid w:val="005F265C"/>
    <w:rsid w:val="005F2872"/>
    <w:rsid w:val="005F486E"/>
    <w:rsid w:val="0060078B"/>
    <w:rsid w:val="0060246B"/>
    <w:rsid w:val="00604DA6"/>
    <w:rsid w:val="006156E3"/>
    <w:rsid w:val="00615B4D"/>
    <w:rsid w:val="0061628B"/>
    <w:rsid w:val="0062471D"/>
    <w:rsid w:val="006414C7"/>
    <w:rsid w:val="00642C79"/>
    <w:rsid w:val="006430D0"/>
    <w:rsid w:val="0064494E"/>
    <w:rsid w:val="00654571"/>
    <w:rsid w:val="00657A02"/>
    <w:rsid w:val="00662919"/>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5DBA"/>
    <w:rsid w:val="006F6D54"/>
    <w:rsid w:val="006F7FEA"/>
    <w:rsid w:val="00701C02"/>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6460"/>
    <w:rsid w:val="0077017C"/>
    <w:rsid w:val="00773ABA"/>
    <w:rsid w:val="0078017D"/>
    <w:rsid w:val="00781480"/>
    <w:rsid w:val="00791FA9"/>
    <w:rsid w:val="00795BD6"/>
    <w:rsid w:val="007A346E"/>
    <w:rsid w:val="007A4745"/>
    <w:rsid w:val="007A5875"/>
    <w:rsid w:val="007B090C"/>
    <w:rsid w:val="007C7157"/>
    <w:rsid w:val="007D76E0"/>
    <w:rsid w:val="007E368D"/>
    <w:rsid w:val="007F02E3"/>
    <w:rsid w:val="007F2135"/>
    <w:rsid w:val="0080094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5DE9"/>
    <w:rsid w:val="008574AE"/>
    <w:rsid w:val="00864305"/>
    <w:rsid w:val="008656DC"/>
    <w:rsid w:val="008670BC"/>
    <w:rsid w:val="008720A6"/>
    <w:rsid w:val="00881D48"/>
    <w:rsid w:val="008863D7"/>
    <w:rsid w:val="0089008A"/>
    <w:rsid w:val="00890C4D"/>
    <w:rsid w:val="00891773"/>
    <w:rsid w:val="008925BB"/>
    <w:rsid w:val="00897CB1"/>
    <w:rsid w:val="008A1F5E"/>
    <w:rsid w:val="008A5641"/>
    <w:rsid w:val="008A5DFB"/>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A78"/>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3748"/>
    <w:rsid w:val="00AC5454"/>
    <w:rsid w:val="00AC7A4D"/>
    <w:rsid w:val="00AD173C"/>
    <w:rsid w:val="00AD1CE3"/>
    <w:rsid w:val="00AD2586"/>
    <w:rsid w:val="00AD3CF8"/>
    <w:rsid w:val="00AD473B"/>
    <w:rsid w:val="00AD4C7D"/>
    <w:rsid w:val="00AE1FE1"/>
    <w:rsid w:val="00AF19DC"/>
    <w:rsid w:val="00AF26DE"/>
    <w:rsid w:val="00B00227"/>
    <w:rsid w:val="00B01686"/>
    <w:rsid w:val="00B0169A"/>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3881"/>
    <w:rsid w:val="00B84666"/>
    <w:rsid w:val="00B84B1D"/>
    <w:rsid w:val="00B87A1C"/>
    <w:rsid w:val="00B87D3C"/>
    <w:rsid w:val="00B950B6"/>
    <w:rsid w:val="00BA3CB8"/>
    <w:rsid w:val="00BA70CD"/>
    <w:rsid w:val="00BB3314"/>
    <w:rsid w:val="00BB3C4F"/>
    <w:rsid w:val="00BB48CC"/>
    <w:rsid w:val="00BB4F4D"/>
    <w:rsid w:val="00BC0BB0"/>
    <w:rsid w:val="00BC1AD6"/>
    <w:rsid w:val="00BD11DE"/>
    <w:rsid w:val="00BD4F99"/>
    <w:rsid w:val="00BE4BBF"/>
    <w:rsid w:val="00BE55AC"/>
    <w:rsid w:val="00BE6A63"/>
    <w:rsid w:val="00BE7D02"/>
    <w:rsid w:val="00BF5A14"/>
    <w:rsid w:val="00BF5DE6"/>
    <w:rsid w:val="00C004A4"/>
    <w:rsid w:val="00C05E49"/>
    <w:rsid w:val="00C05E9D"/>
    <w:rsid w:val="00C136D4"/>
    <w:rsid w:val="00C13DC9"/>
    <w:rsid w:val="00C25487"/>
    <w:rsid w:val="00C2571F"/>
    <w:rsid w:val="00C32AB8"/>
    <w:rsid w:val="00C32AF1"/>
    <w:rsid w:val="00C33CEB"/>
    <w:rsid w:val="00C361CD"/>
    <w:rsid w:val="00C374FA"/>
    <w:rsid w:val="00C57448"/>
    <w:rsid w:val="00C635EB"/>
    <w:rsid w:val="00C71782"/>
    <w:rsid w:val="00C8076C"/>
    <w:rsid w:val="00C87302"/>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E36E4"/>
    <w:rsid w:val="00CF0BA6"/>
    <w:rsid w:val="00CF0C39"/>
    <w:rsid w:val="00CF3010"/>
    <w:rsid w:val="00CF4242"/>
    <w:rsid w:val="00CF43BA"/>
    <w:rsid w:val="00CF70FE"/>
    <w:rsid w:val="00D00EE1"/>
    <w:rsid w:val="00D21E5F"/>
    <w:rsid w:val="00D24065"/>
    <w:rsid w:val="00D312C4"/>
    <w:rsid w:val="00D416B3"/>
    <w:rsid w:val="00D42696"/>
    <w:rsid w:val="00D43E19"/>
    <w:rsid w:val="00D50765"/>
    <w:rsid w:val="00D50CD3"/>
    <w:rsid w:val="00D72E97"/>
    <w:rsid w:val="00D84992"/>
    <w:rsid w:val="00D909D0"/>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16E09"/>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6A7E"/>
    <w:rsid w:val="00E87812"/>
    <w:rsid w:val="00E90225"/>
    <w:rsid w:val="00E93811"/>
    <w:rsid w:val="00E97260"/>
    <w:rsid w:val="00EA3595"/>
    <w:rsid w:val="00EA384C"/>
    <w:rsid w:val="00EA5801"/>
    <w:rsid w:val="00EA6377"/>
    <w:rsid w:val="00EB087E"/>
    <w:rsid w:val="00EB0D65"/>
    <w:rsid w:val="00EB506F"/>
    <w:rsid w:val="00EC2169"/>
    <w:rsid w:val="00EC31D3"/>
    <w:rsid w:val="00EC69F6"/>
    <w:rsid w:val="00ED3996"/>
    <w:rsid w:val="00ED3D87"/>
    <w:rsid w:val="00ED5A58"/>
    <w:rsid w:val="00EE009B"/>
    <w:rsid w:val="00EE1D75"/>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 w:val="5A161A2C"/>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FFBFE174-BE74-409D-B568-E0FD18A0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1350</Words>
  <Characters>7695</Characters>
  <Application>Microsoft Office Word</Application>
  <DocSecurity>4</DocSecurity>
  <Lines>64</Lines>
  <Paragraphs>18</Paragraphs>
  <ScaleCrop>false</ScaleCrop>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2025-01-23T03:05:00Z</cp:lastPrinted>
  <dcterms:created xsi:type="dcterms:W3CDTF">2026-02-20T20:25:00Z</dcterms:created>
  <dcterms:modified xsi:type="dcterms:W3CDTF">2026-02-20T20:25:00Z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