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070E3" w14:textId="77777777" w:rsidR="003B6FFF" w:rsidRPr="00A87AFD" w:rsidRDefault="00351C6E" w:rsidP="00351C6E">
      <w:pPr>
        <w:tabs>
          <w:tab w:val="center" w:pos="4680"/>
        </w:tabs>
        <w:rPr>
          <w:rFonts w:ascii="Book Antiqua" w:hAnsi="Book Antiqua"/>
          <w:sz w:val="28"/>
          <w:szCs w:val="28"/>
          <w:lang w:val="es-ES_tradnl"/>
        </w:rPr>
      </w:pPr>
      <w:r>
        <w:rPr>
          <w:rFonts w:ascii="Book Antiqua" w:hAnsi="Book Antiqua"/>
          <w:sz w:val="28"/>
          <w:szCs w:val="28"/>
          <w:lang w:val="es-US"/>
        </w:rPr>
        <w:tab/>
      </w:r>
      <w:r w:rsidR="003B6FFF" w:rsidRPr="00A87AFD">
        <w:rPr>
          <w:rFonts w:ascii="Book Antiqua" w:hAnsi="Book Antiqua"/>
          <w:sz w:val="28"/>
          <w:szCs w:val="28"/>
          <w:lang w:val="es-ES_tradnl"/>
        </w:rPr>
        <w:t>GOBIERNO DE PUERTO RICO</w:t>
      </w:r>
    </w:p>
    <w:p w14:paraId="2D8797BF" w14:textId="32C5D2B0" w:rsidR="003B6FFF" w:rsidRPr="00B976FA" w:rsidRDefault="003B6FFF" w:rsidP="00F945A3">
      <w:pPr>
        <w:tabs>
          <w:tab w:val="left" w:pos="720"/>
          <w:tab w:val="left" w:pos="7560"/>
          <w:tab w:val="left" w:pos="8100"/>
        </w:tabs>
        <w:rPr>
          <w:rFonts w:ascii="Book Antiqua" w:hAnsi="Book Antiqua"/>
          <w:szCs w:val="24"/>
        </w:rPr>
      </w:pPr>
      <w:r w:rsidRPr="00A87AFD">
        <w:rPr>
          <w:rFonts w:ascii="Book Antiqua" w:hAnsi="Book Antiqua"/>
          <w:szCs w:val="24"/>
          <w:lang w:val="es-ES_tradnl"/>
        </w:rPr>
        <w:tab/>
      </w:r>
      <w:r w:rsidR="00EA0333" w:rsidRPr="00B976FA">
        <w:rPr>
          <w:rFonts w:ascii="Book Antiqua" w:hAnsi="Book Antiqua"/>
          <w:szCs w:val="24"/>
        </w:rPr>
        <w:t xml:space="preserve">20ma. </w:t>
      </w:r>
      <w:r w:rsidRPr="00B976FA">
        <w:rPr>
          <w:rFonts w:ascii="Book Antiqua" w:hAnsi="Book Antiqua"/>
          <w:szCs w:val="24"/>
        </w:rPr>
        <w:t>Asamblea</w:t>
      </w:r>
      <w:r w:rsidRPr="00B976FA">
        <w:rPr>
          <w:rFonts w:ascii="Book Antiqua" w:hAnsi="Book Antiqua"/>
          <w:szCs w:val="24"/>
        </w:rPr>
        <w:tab/>
      </w:r>
      <w:r w:rsidR="00EA0333" w:rsidRPr="00B976FA">
        <w:rPr>
          <w:rFonts w:ascii="Book Antiqua" w:hAnsi="Book Antiqua"/>
          <w:szCs w:val="24"/>
        </w:rPr>
        <w:t xml:space="preserve">3ra. </w:t>
      </w:r>
      <w:r w:rsidRPr="00B976FA">
        <w:rPr>
          <w:rFonts w:ascii="Book Antiqua" w:hAnsi="Book Antiqua"/>
          <w:szCs w:val="24"/>
        </w:rPr>
        <w:t>Sesión</w:t>
      </w:r>
    </w:p>
    <w:p w14:paraId="45D547B6" w14:textId="6C3EF326" w:rsidR="003B6FFF" w:rsidRPr="00B976FA" w:rsidRDefault="003B6FFF" w:rsidP="00351C6E">
      <w:pPr>
        <w:tabs>
          <w:tab w:val="left" w:pos="720"/>
          <w:tab w:val="left" w:pos="4215"/>
          <w:tab w:val="left" w:pos="5160"/>
          <w:tab w:val="left" w:pos="8100"/>
        </w:tabs>
        <w:rPr>
          <w:rFonts w:ascii="Book Antiqua" w:hAnsi="Book Antiqua"/>
          <w:szCs w:val="24"/>
        </w:rPr>
      </w:pPr>
      <w:r w:rsidRPr="00B976FA">
        <w:rPr>
          <w:rFonts w:ascii="Book Antiqua" w:hAnsi="Book Antiqua"/>
          <w:szCs w:val="24"/>
        </w:rPr>
        <w:tab/>
      </w:r>
      <w:r w:rsidR="00EA0333" w:rsidRPr="00B976FA">
        <w:rPr>
          <w:rFonts w:ascii="Book Antiqua" w:hAnsi="Book Antiqua"/>
          <w:szCs w:val="24"/>
        </w:rPr>
        <w:t xml:space="preserve">       </w:t>
      </w:r>
      <w:r w:rsidRPr="00B976FA">
        <w:rPr>
          <w:rFonts w:ascii="Book Antiqua" w:hAnsi="Book Antiqua"/>
          <w:szCs w:val="24"/>
        </w:rPr>
        <w:t>Legislativa</w:t>
      </w:r>
      <w:r w:rsidRPr="00B976FA">
        <w:rPr>
          <w:rFonts w:ascii="Book Antiqua" w:hAnsi="Book Antiqua"/>
          <w:szCs w:val="24"/>
        </w:rPr>
        <w:tab/>
      </w:r>
      <w:r w:rsidRPr="00B976FA">
        <w:rPr>
          <w:rFonts w:ascii="Book Antiqua" w:hAnsi="Book Antiqua"/>
          <w:szCs w:val="24"/>
        </w:rPr>
        <w:tab/>
      </w:r>
      <w:r w:rsidRPr="00B976FA">
        <w:rPr>
          <w:rFonts w:ascii="Book Antiqua" w:hAnsi="Book Antiqua"/>
          <w:szCs w:val="24"/>
        </w:rPr>
        <w:tab/>
        <w:t>Ordinaria</w:t>
      </w:r>
    </w:p>
    <w:p w14:paraId="222CFC57" w14:textId="77777777" w:rsidR="00351C6E" w:rsidRPr="00B976FA" w:rsidRDefault="00351C6E" w:rsidP="00351C6E">
      <w:pPr>
        <w:spacing w:line="360" w:lineRule="auto"/>
        <w:jc w:val="center"/>
        <w:rPr>
          <w:rFonts w:ascii="Book Antiqua" w:hAnsi="Book Antiqua"/>
          <w:b/>
          <w:sz w:val="36"/>
          <w:szCs w:val="36"/>
        </w:rPr>
      </w:pPr>
    </w:p>
    <w:p w14:paraId="32D96CAC" w14:textId="77777777" w:rsidR="00351C6E" w:rsidRPr="00A87AFD" w:rsidRDefault="003B6FFF" w:rsidP="00351C6E">
      <w:pPr>
        <w:spacing w:line="360" w:lineRule="auto"/>
        <w:jc w:val="center"/>
        <w:rPr>
          <w:rFonts w:ascii="Book Antiqua" w:hAnsi="Book Antiqua"/>
          <w:b/>
          <w:sz w:val="36"/>
          <w:szCs w:val="36"/>
          <w:lang w:val="es-ES_tradnl"/>
        </w:rPr>
      </w:pPr>
      <w:r w:rsidRPr="00A87AFD">
        <w:rPr>
          <w:rFonts w:ascii="Book Antiqua" w:hAnsi="Book Antiqua"/>
          <w:b/>
          <w:sz w:val="36"/>
          <w:szCs w:val="36"/>
          <w:lang w:val="es-ES_tradnl"/>
        </w:rPr>
        <w:t>CÁMARA DE REPRESENTANTES</w:t>
      </w:r>
    </w:p>
    <w:p w14:paraId="5A2ADEDF" w14:textId="1D03E95A" w:rsidR="00351C6E" w:rsidRPr="00A87AFD" w:rsidRDefault="00C44F4C" w:rsidP="00351C6E">
      <w:pPr>
        <w:spacing w:line="360" w:lineRule="auto"/>
        <w:jc w:val="center"/>
        <w:rPr>
          <w:rFonts w:ascii="Book Antiqua" w:hAnsi="Book Antiqua"/>
          <w:b/>
          <w:sz w:val="52"/>
          <w:szCs w:val="52"/>
          <w:lang w:val="es-ES_tradnl"/>
        </w:rPr>
      </w:pPr>
      <w:r>
        <w:rPr>
          <w:rFonts w:ascii="Book Antiqua" w:hAnsi="Book Antiqua"/>
          <w:b/>
          <w:sz w:val="52"/>
          <w:szCs w:val="52"/>
          <w:lang w:val="es-ES_tradnl"/>
        </w:rPr>
        <w:t>P</w:t>
      </w:r>
      <w:r w:rsidR="00307DF5">
        <w:rPr>
          <w:rFonts w:ascii="Book Antiqua" w:hAnsi="Book Antiqua"/>
          <w:b/>
          <w:sz w:val="52"/>
          <w:szCs w:val="52"/>
          <w:lang w:val="es-ES_tradnl"/>
        </w:rPr>
        <w:t>. de la C.</w:t>
      </w:r>
      <w:r w:rsidR="001A43D1">
        <w:rPr>
          <w:rFonts w:ascii="Book Antiqua" w:hAnsi="Book Antiqua"/>
          <w:b/>
          <w:sz w:val="52"/>
          <w:szCs w:val="52"/>
          <w:lang w:val="es-ES_tradnl"/>
        </w:rPr>
        <w:t xml:space="preserve"> </w:t>
      </w:r>
      <w:r w:rsidR="002F46D8">
        <w:rPr>
          <w:rFonts w:ascii="Book Antiqua" w:hAnsi="Book Antiqua"/>
          <w:b/>
          <w:sz w:val="52"/>
          <w:szCs w:val="52"/>
          <w:lang w:val="es-ES_tradnl"/>
        </w:rPr>
        <w:t>501</w:t>
      </w:r>
    </w:p>
    <w:p w14:paraId="654E85F0" w14:textId="77777777" w:rsidR="00E625F5" w:rsidRDefault="00E625F5" w:rsidP="00351C6E">
      <w:pPr>
        <w:spacing w:line="360" w:lineRule="auto"/>
        <w:jc w:val="center"/>
        <w:rPr>
          <w:rFonts w:ascii="Book Antiqua" w:hAnsi="Book Antiqua"/>
          <w:b/>
          <w:sz w:val="28"/>
          <w:szCs w:val="28"/>
          <w:lang w:val="es-ES_tradnl"/>
        </w:rPr>
      </w:pPr>
      <w:r>
        <w:rPr>
          <w:rFonts w:ascii="Book Antiqua" w:hAnsi="Book Antiqua"/>
          <w:b/>
          <w:sz w:val="28"/>
          <w:szCs w:val="28"/>
          <w:lang w:val="es-ES_tradnl"/>
        </w:rPr>
        <w:t xml:space="preserve">  </w:t>
      </w:r>
      <w:r w:rsidR="00351C6E" w:rsidRPr="00A87AFD">
        <w:rPr>
          <w:rFonts w:ascii="Book Antiqua" w:hAnsi="Book Antiqua"/>
          <w:b/>
          <w:sz w:val="28"/>
          <w:szCs w:val="28"/>
          <w:lang w:val="es-ES_tradnl"/>
        </w:rPr>
        <w:t>INFORME POSITIVO</w:t>
      </w:r>
    </w:p>
    <w:p w14:paraId="6C6BE152" w14:textId="6D6C8BDF" w:rsidR="00351C6E" w:rsidRPr="00EA0333" w:rsidRDefault="00D3286F" w:rsidP="00EA0333">
      <w:pPr>
        <w:spacing w:line="360" w:lineRule="auto"/>
        <w:jc w:val="center"/>
        <w:rPr>
          <w:rFonts w:ascii="Book Antiqua" w:hAnsi="Book Antiqua"/>
          <w:b/>
          <w:sz w:val="28"/>
          <w:szCs w:val="28"/>
          <w:lang w:val="es-ES_tradnl"/>
        </w:rPr>
      </w:pPr>
      <w:r>
        <w:rPr>
          <w:rFonts w:ascii="Book Antiqua" w:hAnsi="Book Antiqua"/>
          <w:b/>
          <w:sz w:val="28"/>
          <w:szCs w:val="28"/>
          <w:lang w:val="es-ES_tradnl"/>
        </w:rPr>
        <w:t>20</w:t>
      </w:r>
      <w:r w:rsidR="003A42A0">
        <w:rPr>
          <w:rFonts w:ascii="Book Antiqua" w:hAnsi="Book Antiqua"/>
          <w:b/>
          <w:sz w:val="28"/>
          <w:szCs w:val="28"/>
          <w:lang w:val="es-ES_tradnl"/>
        </w:rPr>
        <w:t xml:space="preserve"> </w:t>
      </w:r>
      <w:r w:rsidR="003A42A0">
        <w:rPr>
          <w:rFonts w:ascii="Book Antiqua" w:hAnsi="Book Antiqua"/>
          <w:bCs/>
          <w:sz w:val="28"/>
          <w:szCs w:val="28"/>
          <w:lang w:val="es-ES_tradnl"/>
        </w:rPr>
        <w:t xml:space="preserve">de </w:t>
      </w:r>
      <w:r w:rsidR="00522210">
        <w:rPr>
          <w:rFonts w:ascii="Book Antiqua" w:hAnsi="Book Antiqua"/>
          <w:bCs/>
          <w:sz w:val="28"/>
          <w:szCs w:val="28"/>
          <w:lang w:val="es-ES_tradnl"/>
        </w:rPr>
        <w:t>febrero</w:t>
      </w:r>
      <w:r w:rsidR="003A42A0">
        <w:rPr>
          <w:rFonts w:ascii="Book Antiqua" w:hAnsi="Book Antiqua"/>
          <w:bCs/>
          <w:sz w:val="28"/>
          <w:szCs w:val="28"/>
          <w:lang w:val="es-ES_tradnl"/>
        </w:rPr>
        <w:t xml:space="preserve"> de 202</w:t>
      </w:r>
      <w:r w:rsidR="00BA2723">
        <w:rPr>
          <w:rFonts w:ascii="Book Antiqua" w:hAnsi="Book Antiqua"/>
          <w:bCs/>
          <w:sz w:val="28"/>
          <w:szCs w:val="28"/>
          <w:lang w:val="es-ES_tradnl"/>
        </w:rPr>
        <w:t>6</w:t>
      </w:r>
      <w:r w:rsidR="006A3BE8">
        <w:rPr>
          <w:rFonts w:ascii="Book Antiqua" w:hAnsi="Book Antiqua"/>
          <w:b/>
          <w:sz w:val="28"/>
          <w:szCs w:val="28"/>
          <w:lang w:val="es-ES_tradnl"/>
        </w:rPr>
        <w:t xml:space="preserve"> </w:t>
      </w:r>
      <w:r w:rsidR="00E625F5">
        <w:rPr>
          <w:rFonts w:ascii="Book Antiqua" w:hAnsi="Book Antiqua"/>
          <w:szCs w:val="24"/>
          <w:lang w:val="es-ES_tradnl"/>
        </w:rPr>
        <w:tab/>
      </w:r>
    </w:p>
    <w:p w14:paraId="01B0081F" w14:textId="77777777" w:rsidR="00F945A3" w:rsidRPr="00A87AFD" w:rsidRDefault="00F945A3" w:rsidP="00F945A3">
      <w:pPr>
        <w:jc w:val="both"/>
        <w:rPr>
          <w:rFonts w:ascii="Book Antiqua" w:hAnsi="Book Antiqua"/>
          <w:b/>
          <w:szCs w:val="24"/>
          <w:lang w:val="es-ES_tradnl"/>
        </w:rPr>
      </w:pPr>
    </w:p>
    <w:p w14:paraId="59342E27" w14:textId="77777777" w:rsidR="00E40CF6" w:rsidRPr="00A87AFD" w:rsidRDefault="00E40CF6" w:rsidP="007D6F3D">
      <w:pPr>
        <w:spacing w:after="120" w:line="276" w:lineRule="auto"/>
        <w:jc w:val="both"/>
        <w:rPr>
          <w:rFonts w:ascii="Book Antiqua" w:hAnsi="Book Antiqua"/>
          <w:b/>
          <w:szCs w:val="24"/>
          <w:lang w:val="es-ES_tradnl"/>
        </w:rPr>
      </w:pPr>
      <w:r w:rsidRPr="00A87AFD">
        <w:rPr>
          <w:rFonts w:ascii="Book Antiqua" w:hAnsi="Book Antiqua"/>
          <w:b/>
          <w:szCs w:val="24"/>
          <w:lang w:val="es-ES_tradnl"/>
        </w:rPr>
        <w:t>A LA CÁMARA DE REPRESENTANTES DE PUERTO RICO</w:t>
      </w:r>
    </w:p>
    <w:p w14:paraId="1D736C64" w14:textId="149ECE18" w:rsidR="00E40CF6" w:rsidRDefault="00461296" w:rsidP="00EA0333">
      <w:pPr>
        <w:spacing w:line="276" w:lineRule="auto"/>
        <w:jc w:val="both"/>
        <w:rPr>
          <w:rFonts w:ascii="Book Antiqua" w:hAnsi="Book Antiqua"/>
          <w:szCs w:val="24"/>
        </w:rPr>
      </w:pPr>
      <w:r w:rsidRPr="00461296">
        <w:rPr>
          <w:rFonts w:ascii="Book Antiqua" w:hAnsi="Book Antiqua"/>
          <w:szCs w:val="24"/>
        </w:rPr>
        <w:t xml:space="preserve">La Comisión de Hacienda de la Cámara de Representantes de Puerto Rico, luego de un estudio exhaustivo y consideración del Proyecto de la Cámara 501 (en adelante, PC 501), </w:t>
      </w:r>
      <w:r w:rsidR="00EA0333">
        <w:rPr>
          <w:rFonts w:ascii="Book Antiqua" w:hAnsi="Book Antiqua"/>
          <w:szCs w:val="24"/>
        </w:rPr>
        <w:t xml:space="preserve">presenta </w:t>
      </w:r>
      <w:r w:rsidRPr="00461296">
        <w:rPr>
          <w:rFonts w:ascii="Book Antiqua" w:hAnsi="Book Antiqua"/>
          <w:szCs w:val="24"/>
        </w:rPr>
        <w:t>el Informe Positivo y recomienda su aprobación</w:t>
      </w:r>
      <w:r w:rsidR="00E73696">
        <w:rPr>
          <w:rFonts w:ascii="Book Antiqua" w:hAnsi="Book Antiqua"/>
          <w:szCs w:val="24"/>
        </w:rPr>
        <w:t xml:space="preserve"> a este Honorable Cuerpo</w:t>
      </w:r>
      <w:r w:rsidR="009D0DA1">
        <w:rPr>
          <w:rFonts w:ascii="Book Antiqua" w:hAnsi="Book Antiqua"/>
          <w:szCs w:val="24"/>
        </w:rPr>
        <w:t xml:space="preserve"> de esta medida, </w:t>
      </w:r>
      <w:r w:rsidR="0076298F">
        <w:rPr>
          <w:rFonts w:ascii="Book Antiqua" w:hAnsi="Book Antiqua"/>
          <w:szCs w:val="24"/>
        </w:rPr>
        <w:t>con enmiendas</w:t>
      </w:r>
      <w:r w:rsidR="00671714">
        <w:rPr>
          <w:rFonts w:ascii="Book Antiqua" w:hAnsi="Book Antiqua"/>
          <w:szCs w:val="24"/>
        </w:rPr>
        <w:t xml:space="preserve"> </w:t>
      </w:r>
      <w:r w:rsidR="00EA0333">
        <w:rPr>
          <w:rFonts w:ascii="Book Antiqua" w:hAnsi="Book Antiqua"/>
          <w:szCs w:val="24"/>
        </w:rPr>
        <w:t xml:space="preserve">incluidas en el </w:t>
      </w:r>
      <w:proofErr w:type="spellStart"/>
      <w:r w:rsidR="00EA0333">
        <w:rPr>
          <w:rFonts w:ascii="Book Antiqua" w:hAnsi="Book Antiqua"/>
          <w:szCs w:val="24"/>
        </w:rPr>
        <w:t>entirillado</w:t>
      </w:r>
      <w:proofErr w:type="spellEnd"/>
      <w:r w:rsidR="00EA0333">
        <w:rPr>
          <w:rFonts w:ascii="Book Antiqua" w:hAnsi="Book Antiqua"/>
          <w:szCs w:val="24"/>
        </w:rPr>
        <w:t xml:space="preserve"> electrónico que se acompaña</w:t>
      </w:r>
      <w:r w:rsidR="009D0DA1">
        <w:rPr>
          <w:rFonts w:ascii="Book Antiqua" w:hAnsi="Book Antiqua"/>
          <w:szCs w:val="24"/>
        </w:rPr>
        <w:t>.</w:t>
      </w:r>
      <w:r w:rsidRPr="00461296">
        <w:rPr>
          <w:rFonts w:ascii="Book Antiqua" w:hAnsi="Book Antiqua"/>
          <w:szCs w:val="24"/>
        </w:rPr>
        <w:t xml:space="preserve"> </w:t>
      </w:r>
    </w:p>
    <w:p w14:paraId="03004119" w14:textId="77777777" w:rsidR="00EA0333" w:rsidRPr="00EA0333" w:rsidRDefault="00EA0333" w:rsidP="00EA0333">
      <w:pPr>
        <w:spacing w:line="276" w:lineRule="auto"/>
        <w:ind w:firstLine="720"/>
        <w:jc w:val="both"/>
        <w:rPr>
          <w:rFonts w:ascii="Book Antiqua" w:hAnsi="Book Antiqua"/>
          <w:szCs w:val="24"/>
        </w:rPr>
      </w:pPr>
    </w:p>
    <w:p w14:paraId="62840A97" w14:textId="3BCE0ECF" w:rsidR="0076298F" w:rsidRDefault="00E40CF6" w:rsidP="00EA0333">
      <w:pPr>
        <w:spacing w:after="120" w:line="276" w:lineRule="auto"/>
        <w:jc w:val="center"/>
        <w:rPr>
          <w:rFonts w:ascii="Book Antiqua" w:hAnsi="Book Antiqua"/>
          <w:b/>
          <w:szCs w:val="24"/>
          <w:lang w:val="es-ES_tradnl"/>
        </w:rPr>
      </w:pPr>
      <w:r w:rsidRPr="00A87AFD">
        <w:rPr>
          <w:rFonts w:ascii="Book Antiqua" w:hAnsi="Book Antiqua"/>
          <w:b/>
          <w:szCs w:val="24"/>
          <w:lang w:val="es-ES_tradnl"/>
        </w:rPr>
        <w:t>ALCANCE DE LA MEDIDA</w:t>
      </w:r>
    </w:p>
    <w:p w14:paraId="19FF4B4C" w14:textId="6DD1C55B" w:rsidR="00BE6F35" w:rsidRPr="00EA0333" w:rsidRDefault="006B6BE9" w:rsidP="00EA0333">
      <w:pPr>
        <w:suppressLineNumbers/>
        <w:jc w:val="both"/>
        <w:rPr>
          <w:rFonts w:ascii="Book Antiqua" w:hAnsi="Book Antiqua"/>
          <w:bCs/>
          <w:color w:val="000000"/>
          <w:szCs w:val="24"/>
        </w:rPr>
      </w:pPr>
      <w:r w:rsidRPr="0076298F">
        <w:rPr>
          <w:rFonts w:ascii="Book Antiqua" w:hAnsi="Book Antiqua"/>
          <w:bCs/>
          <w:szCs w:val="24"/>
        </w:rPr>
        <w:t>El P</w:t>
      </w:r>
      <w:r w:rsidR="00EA0333">
        <w:rPr>
          <w:rFonts w:ascii="Book Antiqua" w:hAnsi="Book Antiqua"/>
          <w:bCs/>
          <w:szCs w:val="24"/>
        </w:rPr>
        <w:t>C</w:t>
      </w:r>
      <w:r w:rsidR="008A4C32" w:rsidRPr="0076298F">
        <w:rPr>
          <w:rFonts w:ascii="Book Antiqua" w:hAnsi="Book Antiqua"/>
        </w:rPr>
        <w:t xml:space="preserve"> </w:t>
      </w:r>
      <w:r w:rsidR="002F46D8" w:rsidRPr="0076298F">
        <w:rPr>
          <w:rFonts w:ascii="Book Antiqua" w:hAnsi="Book Antiqua"/>
        </w:rPr>
        <w:t>501</w:t>
      </w:r>
      <w:r w:rsidR="00103031" w:rsidRPr="0076298F">
        <w:rPr>
          <w:rFonts w:ascii="Book Antiqua" w:hAnsi="Book Antiqua"/>
        </w:rPr>
        <w:t xml:space="preserve"> </w:t>
      </w:r>
      <w:r w:rsidR="002D65B5" w:rsidRPr="0076298F">
        <w:rPr>
          <w:rFonts w:ascii="Book Antiqua" w:hAnsi="Book Antiqua"/>
        </w:rPr>
        <w:t xml:space="preserve">tiene el objetivo </w:t>
      </w:r>
      <w:r w:rsidR="000F6E6A" w:rsidRPr="0076298F">
        <w:rPr>
          <w:rFonts w:ascii="Book Antiqua" w:hAnsi="Book Antiqua"/>
        </w:rPr>
        <w:t>añadir la Sección 1023.26 a la Ley Núm. 1-2011, según enmendada, conocida como “Código de Rentas Internas de Puerto Rico de 2011” con el fin de establecer una contribución especial a ingresos de intereses, dividendos y ganancias de capital a largo plazo.</w:t>
      </w:r>
      <w:r w:rsidR="00EA4D82" w:rsidRPr="0076298F">
        <w:rPr>
          <w:rFonts w:ascii="Book Antiqua" w:hAnsi="Book Antiqua"/>
        </w:rPr>
        <w:t xml:space="preserve">  A</w:t>
      </w:r>
      <w:r w:rsidR="008B77D2" w:rsidRPr="0076298F">
        <w:rPr>
          <w:rFonts w:ascii="Book Antiqua" w:hAnsi="Book Antiqua"/>
        </w:rPr>
        <w:t>l añadir esta sección</w:t>
      </w:r>
      <w:r w:rsidR="008B77D2" w:rsidRPr="0076298F">
        <w:rPr>
          <w:rFonts w:ascii="Book Antiqua" w:hAnsi="Book Antiqua"/>
          <w:color w:val="000000" w:themeColor="text1"/>
        </w:rPr>
        <w:t xml:space="preserve"> </w:t>
      </w:r>
      <w:r w:rsidR="00705F6A" w:rsidRPr="0076298F">
        <w:rPr>
          <w:rFonts w:ascii="Book Antiqua" w:hAnsi="Book Antiqua"/>
          <w:color w:val="000000"/>
          <w:szCs w:val="24"/>
        </w:rPr>
        <w:t xml:space="preserve">se </w:t>
      </w:r>
      <w:r w:rsidR="00705F6A" w:rsidRPr="0076298F">
        <w:rPr>
          <w:rFonts w:ascii="Book Antiqua" w:hAnsi="Book Antiqua"/>
          <w:bCs/>
          <w:color w:val="000000"/>
          <w:szCs w:val="24"/>
        </w:rPr>
        <w:t>busca nivelar las oportunidades entre residentes locales y aquellos beneficiados por incentivos contributivos bajo leyes anteriores, como la Ley 60-2019.</w:t>
      </w:r>
    </w:p>
    <w:p w14:paraId="1E1EF1E2" w14:textId="4B0500DF" w:rsidR="00EE05AF" w:rsidRPr="00EE05AF" w:rsidRDefault="00EE05AF" w:rsidP="00534636">
      <w:pPr>
        <w:spacing w:before="100" w:beforeAutospacing="1" w:after="120" w:line="276" w:lineRule="auto"/>
        <w:jc w:val="center"/>
        <w:rPr>
          <w:rFonts w:ascii="Book Antiqua" w:hAnsi="Book Antiqua"/>
          <w:b/>
          <w:szCs w:val="24"/>
          <w:lang w:val="es-ES_tradnl"/>
        </w:rPr>
      </w:pPr>
      <w:r w:rsidRPr="00EE05AF">
        <w:rPr>
          <w:rFonts w:ascii="Book Antiqua" w:hAnsi="Book Antiqua"/>
          <w:b/>
          <w:szCs w:val="24"/>
          <w:lang w:val="es-ES_tradnl"/>
        </w:rPr>
        <w:t>ANÁLISIS DE LA MEDIDA</w:t>
      </w:r>
    </w:p>
    <w:p w14:paraId="6D88272B" w14:textId="0545CC07" w:rsidR="001E5A75" w:rsidRPr="00EF46CD" w:rsidRDefault="00FA5E5D" w:rsidP="00EF46CD">
      <w:pPr>
        <w:spacing w:before="100" w:beforeAutospacing="1" w:after="120" w:line="276" w:lineRule="auto"/>
        <w:jc w:val="both"/>
        <w:rPr>
          <w:rFonts w:ascii="Book Antiqua" w:hAnsi="Book Antiqua"/>
          <w:bCs/>
          <w:szCs w:val="24"/>
        </w:rPr>
      </w:pPr>
      <w:r>
        <w:rPr>
          <w:rFonts w:ascii="Book Antiqua" w:hAnsi="Book Antiqua"/>
          <w:bCs/>
          <w:szCs w:val="24"/>
          <w:lang w:val="es-ES_tradnl"/>
        </w:rPr>
        <w:t>El</w:t>
      </w:r>
      <w:r w:rsidR="00EF46CD" w:rsidRPr="00EF46CD">
        <w:rPr>
          <w:rFonts w:ascii="Book Antiqua" w:hAnsi="Book Antiqua"/>
          <w:bCs/>
          <w:szCs w:val="24"/>
        </w:rPr>
        <w:t xml:space="preserve"> PC 501 responde a una doble finalidad de política pública: por un lado, corregir una inequidad percibida en el tratamiento contributivo entre los residentes históricos de Puerto Rico y los Individuos Residentes Inversionistas acogidos a decretos bajo la Ley Núm. 22-2012 y la Ley Núm. 60-2019; por otro, crear un incentivo estructural para la repatriación de capital, la atracción y retención de residentes económicamente activos, y la promoción de inversión local. Desde la óptica económica, la medida transforma un beneficio exclusivo en una opción universal, lo que puede ampliar el universo de agentes </w:t>
      </w:r>
      <w:r w:rsidR="00EF46CD" w:rsidRPr="00EF46CD">
        <w:rPr>
          <w:rFonts w:ascii="Book Antiqua" w:hAnsi="Book Antiqua"/>
          <w:bCs/>
          <w:szCs w:val="24"/>
        </w:rPr>
        <w:lastRenderedPageBreak/>
        <w:t>económicos que se benefician de un entorno fiscal competitivo sin eliminar los mecanismos de incentivos existentes que han sido útiles para atraer capital foráneo.</w:t>
      </w:r>
    </w:p>
    <w:p w14:paraId="6B2CBE96" w14:textId="2EAB8623" w:rsidR="00AA5931"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Operativamente, la medida es simple en su mecanismo</w:t>
      </w:r>
      <w:r w:rsidR="00F16AF1">
        <w:rPr>
          <w:rFonts w:ascii="Book Antiqua" w:hAnsi="Book Antiqua"/>
          <w:bCs/>
          <w:szCs w:val="24"/>
        </w:rPr>
        <w:t>,</w:t>
      </w:r>
      <w:r w:rsidRPr="00EF46CD">
        <w:rPr>
          <w:rFonts w:ascii="Book Antiqua" w:hAnsi="Book Antiqua"/>
          <w:bCs/>
          <w:szCs w:val="24"/>
        </w:rPr>
        <w:t xml:space="preserve"> la opción se ejerce mediante la planilla anual, lo que reduce la carga administrativa asociada a la tramitación de decretos individuales y facilita el acceso al beneficio. No obstante, su correcta implementación exige precisión normativa en definiciones clave</w:t>
      </w:r>
      <w:r w:rsidR="00843F00">
        <w:rPr>
          <w:rFonts w:ascii="Book Antiqua" w:hAnsi="Book Antiqua"/>
          <w:bCs/>
          <w:szCs w:val="24"/>
        </w:rPr>
        <w:t xml:space="preserve">, </w:t>
      </w:r>
      <w:r w:rsidRPr="00EF46CD">
        <w:rPr>
          <w:rFonts w:ascii="Book Antiqua" w:hAnsi="Book Antiqua"/>
          <w:bCs/>
          <w:szCs w:val="24"/>
        </w:rPr>
        <w:t>por ejemplo, “Valores”, “Otros Activos” y la regla para determinar la porción de ganancia considerada de fuente de Puerto Rico, así como reglas claras de retención, reporte y documentación para prevenir abusos y planificaciones fiscales agresivas que puedan erosionar la base contributiva sin generar actividad económica real.</w:t>
      </w:r>
    </w:p>
    <w:p w14:paraId="2C9601C8" w14:textId="03F98EBC" w:rsidR="00EF46CD"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 xml:space="preserve">En términos fiscales, existen dos dimensiones que deben ser ponderadas. La primera es el impacto estático: estimaciones técnicas disponibles señalan una reducción inicial en recaudos si se asume un acogimiento amplio a la opción del 4%. La segunda es </w:t>
      </w:r>
      <w:r w:rsidR="009E28BF">
        <w:rPr>
          <w:rFonts w:ascii="Book Antiqua" w:hAnsi="Book Antiqua"/>
          <w:bCs/>
          <w:szCs w:val="24"/>
        </w:rPr>
        <w:t>el impacto dinámico</w:t>
      </w:r>
      <w:r w:rsidR="002C7451">
        <w:rPr>
          <w:rFonts w:ascii="Book Antiqua" w:hAnsi="Book Antiqua"/>
          <w:bCs/>
          <w:szCs w:val="24"/>
        </w:rPr>
        <w:t xml:space="preserve">; </w:t>
      </w:r>
      <w:r w:rsidRPr="00EF46CD">
        <w:rPr>
          <w:rFonts w:ascii="Book Antiqua" w:hAnsi="Book Antiqua"/>
          <w:bCs/>
          <w:szCs w:val="24"/>
        </w:rPr>
        <w:t xml:space="preserve">la medida puede </w:t>
      </w:r>
      <w:r w:rsidR="009A484F">
        <w:rPr>
          <w:rFonts w:ascii="Book Antiqua" w:hAnsi="Book Antiqua"/>
          <w:bCs/>
          <w:szCs w:val="24"/>
        </w:rPr>
        <w:t>generar</w:t>
      </w:r>
      <w:r w:rsidRPr="00EF46CD">
        <w:rPr>
          <w:rFonts w:ascii="Book Antiqua" w:hAnsi="Book Antiqua"/>
          <w:bCs/>
          <w:szCs w:val="24"/>
        </w:rPr>
        <w:t xml:space="preserve"> repatriación de capital, llegada de nuevos residentes, </w:t>
      </w:r>
      <w:r w:rsidR="0047431A">
        <w:rPr>
          <w:rFonts w:ascii="Book Antiqua" w:hAnsi="Book Antiqua"/>
          <w:bCs/>
          <w:szCs w:val="24"/>
        </w:rPr>
        <w:t xml:space="preserve">reinversión del capital privado, </w:t>
      </w:r>
      <w:r w:rsidRPr="00EF46CD">
        <w:rPr>
          <w:rFonts w:ascii="Book Antiqua" w:hAnsi="Book Antiqua"/>
          <w:bCs/>
          <w:szCs w:val="24"/>
        </w:rPr>
        <w:t xml:space="preserve">mayor consumo y creación de empleos, lo que a su vez generaría nuevas fuentes de recaudos (contribuciones sobre salarios, IVU, impuestos sobre la propiedad y contribuciones corporativas derivadas de mayor actividad económica). La magnitud y el calendario de estos efectos dinámicos son </w:t>
      </w:r>
      <w:r w:rsidR="003954D3">
        <w:rPr>
          <w:rFonts w:ascii="Book Antiqua" w:hAnsi="Book Antiqua"/>
          <w:bCs/>
          <w:szCs w:val="24"/>
        </w:rPr>
        <w:t>variables</w:t>
      </w:r>
      <w:r w:rsidRPr="00EF46CD">
        <w:rPr>
          <w:rFonts w:ascii="Book Antiqua" w:hAnsi="Book Antiqua"/>
          <w:bCs/>
          <w:szCs w:val="24"/>
        </w:rPr>
        <w:t xml:space="preserve"> y dependen de la respuesta real de </w:t>
      </w:r>
      <w:r w:rsidR="00F45EB5">
        <w:rPr>
          <w:rFonts w:ascii="Book Antiqua" w:hAnsi="Book Antiqua"/>
          <w:bCs/>
          <w:szCs w:val="24"/>
        </w:rPr>
        <w:t>diversos</w:t>
      </w:r>
      <w:r w:rsidRPr="00EF46CD">
        <w:rPr>
          <w:rFonts w:ascii="Book Antiqua" w:hAnsi="Book Antiqua"/>
          <w:bCs/>
          <w:szCs w:val="24"/>
        </w:rPr>
        <w:t xml:space="preserve"> </w:t>
      </w:r>
      <w:r w:rsidR="00DB12F2">
        <w:rPr>
          <w:rFonts w:ascii="Book Antiqua" w:hAnsi="Book Antiqua"/>
          <w:bCs/>
          <w:szCs w:val="24"/>
        </w:rPr>
        <w:t>factores</w:t>
      </w:r>
      <w:r w:rsidRPr="00EF46CD">
        <w:rPr>
          <w:rFonts w:ascii="Book Antiqua" w:hAnsi="Book Antiqua"/>
          <w:bCs/>
          <w:szCs w:val="24"/>
        </w:rPr>
        <w:t xml:space="preserve"> económicos, por lo que deben ser objeto de monitoreo y evaluación periódica.</w:t>
      </w:r>
    </w:p>
    <w:p w14:paraId="079A8C5C" w14:textId="45BAC07E" w:rsidR="00EF46CD"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 xml:space="preserve">Finalmente, la medida debe coordinarse con otras iniciativas legislativas relevantes, en particular con el PC 505, que propone modificaciones al régimen aplicable a los Individuos Residentes Inversionistas, y debe ser evaluada en el marco del Plan Fiscal certificado y las obligaciones bajo PROMESA. La Comisión considera que, con las salvaguardas y el monitoreo adecuados, el PC 501 </w:t>
      </w:r>
      <w:r w:rsidR="001B39A3">
        <w:rPr>
          <w:rFonts w:ascii="Book Antiqua" w:hAnsi="Book Antiqua"/>
          <w:bCs/>
          <w:szCs w:val="24"/>
        </w:rPr>
        <w:t>es consistente</w:t>
      </w:r>
      <w:r w:rsidRPr="00EF46CD">
        <w:rPr>
          <w:rFonts w:ascii="Book Antiqua" w:hAnsi="Book Antiqua"/>
          <w:bCs/>
          <w:szCs w:val="24"/>
        </w:rPr>
        <w:t xml:space="preserve"> con las metas fiscales certificadas</w:t>
      </w:r>
      <w:r w:rsidR="004A6AC1">
        <w:rPr>
          <w:rFonts w:ascii="Book Antiqua" w:hAnsi="Book Antiqua"/>
          <w:bCs/>
          <w:szCs w:val="24"/>
        </w:rPr>
        <w:t xml:space="preserve"> en el plan fiscal</w:t>
      </w:r>
      <w:r w:rsidRPr="00EF46CD">
        <w:rPr>
          <w:rFonts w:ascii="Book Antiqua" w:hAnsi="Book Antiqua"/>
          <w:bCs/>
          <w:szCs w:val="24"/>
        </w:rPr>
        <w:t xml:space="preserve"> y contribuir a una mayor formalización y dinamismo económico.</w:t>
      </w:r>
    </w:p>
    <w:p w14:paraId="4F076470" w14:textId="77777777" w:rsidR="00EF46CD" w:rsidRPr="00EA0333" w:rsidRDefault="00EF46CD" w:rsidP="00EF46CD">
      <w:pPr>
        <w:spacing w:before="100" w:beforeAutospacing="1" w:after="120" w:line="276" w:lineRule="auto"/>
        <w:jc w:val="center"/>
        <w:rPr>
          <w:rFonts w:ascii="Book Antiqua" w:hAnsi="Book Antiqua"/>
          <w:b/>
          <w:szCs w:val="24"/>
        </w:rPr>
      </w:pPr>
      <w:r w:rsidRPr="00EA0333">
        <w:rPr>
          <w:rFonts w:ascii="Book Antiqua" w:hAnsi="Book Antiqua"/>
          <w:b/>
          <w:szCs w:val="24"/>
        </w:rPr>
        <w:t>PONENCIAS Y COMENTARIOS RECIBIDOS</w:t>
      </w:r>
    </w:p>
    <w:p w14:paraId="7DBD3903" w14:textId="7DD0F587" w:rsidR="002C156F"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La</w:t>
      </w:r>
      <w:r w:rsidR="00EA0333">
        <w:rPr>
          <w:rFonts w:ascii="Book Antiqua" w:hAnsi="Book Antiqua"/>
          <w:bCs/>
          <w:szCs w:val="24"/>
        </w:rPr>
        <w:t xml:space="preserve"> </w:t>
      </w:r>
      <w:r w:rsidRPr="00EF46CD">
        <w:rPr>
          <w:rFonts w:ascii="Book Antiqua" w:hAnsi="Book Antiqua"/>
          <w:bCs/>
          <w:szCs w:val="24"/>
        </w:rPr>
        <w:t>Comisión recibió y analizó en detalle los memoriales, estudios y ponencias presentados por diversas entidades públicas y privadas</w:t>
      </w:r>
      <w:r w:rsidR="0096120D">
        <w:rPr>
          <w:rFonts w:ascii="Book Antiqua" w:hAnsi="Book Antiqua"/>
          <w:bCs/>
          <w:szCs w:val="24"/>
        </w:rPr>
        <w:t xml:space="preserve">, al igual que celebro una </w:t>
      </w:r>
      <w:r w:rsidR="0026234E">
        <w:rPr>
          <w:rFonts w:ascii="Book Antiqua" w:hAnsi="Book Antiqua"/>
          <w:bCs/>
          <w:szCs w:val="24"/>
        </w:rPr>
        <w:t xml:space="preserve">Vista </w:t>
      </w:r>
      <w:r w:rsidR="00D06605">
        <w:rPr>
          <w:rFonts w:ascii="Book Antiqua" w:hAnsi="Book Antiqua"/>
          <w:bCs/>
          <w:szCs w:val="24"/>
        </w:rPr>
        <w:t>Pública</w:t>
      </w:r>
      <w:r w:rsidR="0026234E">
        <w:rPr>
          <w:rFonts w:ascii="Book Antiqua" w:hAnsi="Book Antiqua"/>
          <w:bCs/>
          <w:szCs w:val="24"/>
        </w:rPr>
        <w:t xml:space="preserve"> el 24 de septiembre de 202</w:t>
      </w:r>
      <w:r w:rsidR="00381E20">
        <w:rPr>
          <w:rFonts w:ascii="Book Antiqua" w:hAnsi="Book Antiqua"/>
          <w:bCs/>
          <w:szCs w:val="24"/>
        </w:rPr>
        <w:t xml:space="preserve">5 en donde </w:t>
      </w:r>
      <w:r w:rsidR="004B7EAF">
        <w:rPr>
          <w:rFonts w:ascii="Book Antiqua" w:hAnsi="Book Antiqua"/>
          <w:bCs/>
          <w:szCs w:val="24"/>
        </w:rPr>
        <w:t xml:space="preserve">comparecieron </w:t>
      </w:r>
      <w:r w:rsidR="003F42CB">
        <w:rPr>
          <w:rFonts w:ascii="Book Antiqua" w:hAnsi="Book Antiqua"/>
          <w:bCs/>
          <w:szCs w:val="24"/>
        </w:rPr>
        <w:t>el Departamento de Hacienda, la A</w:t>
      </w:r>
      <w:r w:rsidR="00800E7A">
        <w:rPr>
          <w:rFonts w:ascii="Book Antiqua" w:hAnsi="Book Antiqua"/>
          <w:bCs/>
          <w:szCs w:val="24"/>
        </w:rPr>
        <w:t>utoridad de Asesoría Financiera y Agencia Fiscal de Puerto Rico</w:t>
      </w:r>
      <w:r w:rsidR="004B7EAF">
        <w:rPr>
          <w:rFonts w:ascii="Book Antiqua" w:hAnsi="Book Antiqua"/>
          <w:bCs/>
          <w:szCs w:val="24"/>
        </w:rPr>
        <w:t xml:space="preserve"> y el Departamento de Desarrollo </w:t>
      </w:r>
      <w:r w:rsidR="00800E7A">
        <w:rPr>
          <w:rFonts w:ascii="Book Antiqua" w:hAnsi="Book Antiqua"/>
          <w:bCs/>
          <w:szCs w:val="24"/>
        </w:rPr>
        <w:t>Económico</w:t>
      </w:r>
      <w:r w:rsidR="004B7EAF">
        <w:rPr>
          <w:rFonts w:ascii="Book Antiqua" w:hAnsi="Book Antiqua"/>
          <w:bCs/>
          <w:szCs w:val="24"/>
        </w:rPr>
        <w:t xml:space="preserve"> y Comercio</w:t>
      </w:r>
      <w:r w:rsidRPr="00EF46CD">
        <w:rPr>
          <w:rFonts w:ascii="Book Antiqua" w:hAnsi="Book Antiqua"/>
          <w:bCs/>
          <w:szCs w:val="24"/>
        </w:rPr>
        <w:t xml:space="preserve">. A continuación, se resumen y </w:t>
      </w:r>
      <w:r w:rsidRPr="00EF46CD">
        <w:rPr>
          <w:rFonts w:ascii="Book Antiqua" w:hAnsi="Book Antiqua"/>
          <w:bCs/>
          <w:szCs w:val="24"/>
        </w:rPr>
        <w:lastRenderedPageBreak/>
        <w:t>amplían los comentarios de cada entidad, en párrafos que reflejan su posición, argumentos técnicos y recomendaciones específicas.</w:t>
      </w:r>
    </w:p>
    <w:p w14:paraId="0B08FD9F" w14:textId="72AA0C6D" w:rsidR="002C156F" w:rsidRPr="00EA0333" w:rsidRDefault="00EF46CD" w:rsidP="002C156F">
      <w:pPr>
        <w:spacing w:before="100" w:beforeAutospacing="1" w:after="120" w:line="276" w:lineRule="auto"/>
        <w:jc w:val="center"/>
        <w:rPr>
          <w:rFonts w:ascii="Book Antiqua" w:hAnsi="Book Antiqua"/>
          <w:b/>
          <w:szCs w:val="24"/>
        </w:rPr>
      </w:pPr>
      <w:r w:rsidRPr="00EA0333">
        <w:rPr>
          <w:rFonts w:ascii="Book Antiqua" w:hAnsi="Book Antiqua"/>
          <w:b/>
          <w:szCs w:val="24"/>
        </w:rPr>
        <w:t>Departamento de Hacienda</w:t>
      </w:r>
    </w:p>
    <w:p w14:paraId="3CE7B96A" w14:textId="7B7F3890" w:rsidR="0047431A"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El Departamento de Hacienda presentó un memorial explicativo en el que expone la intención de la Administración de transformar el sistema contributivo para hacerlo más justo y eficiente, con énfasis en alivio a la clase media, simplificación y fomento del ahorro familiar. Hacienda advierte que las enmiendas propuestas podrían representar un impacto fiscal aproximado de $100 millones, y subraya la necesidad de considerar el PC 501 en conjunto con el PC 505, que modifica el tratamiento de nuevos Individuos Residentes Inversionistas</w:t>
      </w:r>
      <w:r w:rsidR="007B716F">
        <w:rPr>
          <w:rFonts w:ascii="Book Antiqua" w:hAnsi="Book Antiqua"/>
          <w:bCs/>
          <w:szCs w:val="24"/>
        </w:rPr>
        <w:t xml:space="preserve"> ya que según el informe de OPAL el PC </w:t>
      </w:r>
      <w:r w:rsidR="0076298F">
        <w:rPr>
          <w:rFonts w:ascii="Book Antiqua" w:hAnsi="Book Antiqua"/>
          <w:bCs/>
          <w:szCs w:val="24"/>
        </w:rPr>
        <w:t xml:space="preserve">505 </w:t>
      </w:r>
      <w:r w:rsidR="0076298F" w:rsidRPr="00EF46CD">
        <w:rPr>
          <w:rFonts w:ascii="Book Antiqua" w:hAnsi="Book Antiqua"/>
          <w:bCs/>
          <w:szCs w:val="24"/>
        </w:rPr>
        <w:t>pudiera</w:t>
      </w:r>
      <w:r w:rsidR="008A146E" w:rsidRPr="008A146E">
        <w:rPr>
          <w:rFonts w:ascii="Book Antiqua" w:hAnsi="Book Antiqua"/>
          <w:bCs/>
          <w:szCs w:val="24"/>
        </w:rPr>
        <w:t xml:space="preserve"> generar un aumento en ingresos al Fondo General de $27.8 millones a $60.6 millones aproximadamente para el año fiscal 2027</w:t>
      </w:r>
      <w:r w:rsidR="00027760">
        <w:rPr>
          <w:rFonts w:ascii="Book Antiqua" w:hAnsi="Book Antiqua"/>
          <w:bCs/>
          <w:szCs w:val="24"/>
        </w:rPr>
        <w:t xml:space="preserve">. </w:t>
      </w:r>
      <w:r w:rsidR="0022679F">
        <w:rPr>
          <w:rFonts w:ascii="Book Antiqua" w:hAnsi="Book Antiqua"/>
          <w:bCs/>
          <w:szCs w:val="24"/>
        </w:rPr>
        <w:t>De igual forma</w:t>
      </w:r>
      <w:r w:rsidR="00D75C5B">
        <w:rPr>
          <w:rFonts w:ascii="Book Antiqua" w:hAnsi="Book Antiqua"/>
          <w:bCs/>
          <w:szCs w:val="24"/>
        </w:rPr>
        <w:t>,</w:t>
      </w:r>
      <w:r w:rsidR="0022679F">
        <w:rPr>
          <w:rFonts w:ascii="Book Antiqua" w:hAnsi="Book Antiqua"/>
          <w:bCs/>
          <w:szCs w:val="24"/>
        </w:rPr>
        <w:t xml:space="preserve"> el</w:t>
      </w:r>
      <w:r w:rsidRPr="00EF46CD">
        <w:rPr>
          <w:rFonts w:ascii="Book Antiqua" w:hAnsi="Book Antiqua"/>
          <w:bCs/>
          <w:szCs w:val="24"/>
        </w:rPr>
        <w:t xml:space="preserve"> Departamento enfatiza</w:t>
      </w:r>
      <w:r w:rsidR="0022679F" w:rsidRPr="0022679F">
        <w:t xml:space="preserve"> </w:t>
      </w:r>
      <w:r w:rsidR="00D75C5B">
        <w:rPr>
          <w:rFonts w:ascii="Book Antiqua" w:hAnsi="Book Antiqua"/>
          <w:bCs/>
          <w:szCs w:val="24"/>
        </w:rPr>
        <w:t>que,</w:t>
      </w:r>
      <w:r w:rsidR="0022679F" w:rsidRPr="0022679F">
        <w:rPr>
          <w:rFonts w:ascii="Book Antiqua" w:hAnsi="Book Antiqua"/>
          <w:bCs/>
          <w:szCs w:val="24"/>
        </w:rPr>
        <w:t xml:space="preserve"> al evaluar el impacto de la presente medida, se debe considerar el efecto que pudiera resultar en el comportamiento de los contribuyentes que pudiera mitigar la potencial reducción en ingresos al erario, específicamente la actividad económica que pudiera generar esta reducción de tasas contributivas, así como en el consumo de otras partidas tributables bajo otros conceptos. </w:t>
      </w:r>
      <w:r w:rsidR="004D0748">
        <w:rPr>
          <w:rFonts w:ascii="Book Antiqua" w:hAnsi="Book Antiqua"/>
          <w:bCs/>
          <w:szCs w:val="24"/>
        </w:rPr>
        <w:t>El Departamento también re</w:t>
      </w:r>
      <w:r w:rsidR="00D75C5B">
        <w:rPr>
          <w:rFonts w:ascii="Book Antiqua" w:hAnsi="Book Antiqua"/>
          <w:bCs/>
          <w:szCs w:val="24"/>
        </w:rPr>
        <w:t>salto y recordó</w:t>
      </w:r>
      <w:r w:rsidRPr="00EF46CD">
        <w:rPr>
          <w:rFonts w:ascii="Book Antiqua" w:hAnsi="Book Antiqua"/>
          <w:bCs/>
          <w:szCs w:val="24"/>
        </w:rPr>
        <w:t xml:space="preserve"> la obligación de mantener la neutralidad fiscal conforme al Plan Fiscal y sugiere que la medida se implemente dentro del marco regulatorio existente</w:t>
      </w:r>
      <w:r w:rsidR="0099172B">
        <w:rPr>
          <w:rFonts w:ascii="Book Antiqua" w:hAnsi="Book Antiqua"/>
          <w:bCs/>
          <w:szCs w:val="24"/>
        </w:rPr>
        <w:t xml:space="preserve">.  </w:t>
      </w:r>
      <w:r w:rsidRPr="00EF46CD">
        <w:rPr>
          <w:rFonts w:ascii="Book Antiqua" w:hAnsi="Book Antiqua"/>
          <w:bCs/>
          <w:szCs w:val="24"/>
        </w:rPr>
        <w:t>Hacienda también resalta que la medida no implica nuevos gastos gubernamentales directos y que su diseño debe procurar armonía con las metas fiscales y la estabilidad presupuestaria.</w:t>
      </w:r>
    </w:p>
    <w:p w14:paraId="11981ACF" w14:textId="77777777" w:rsidR="002C156F" w:rsidRPr="00EA0333" w:rsidRDefault="00EF46CD" w:rsidP="002C156F">
      <w:pPr>
        <w:spacing w:before="100" w:beforeAutospacing="1" w:after="120" w:line="276" w:lineRule="auto"/>
        <w:jc w:val="center"/>
        <w:rPr>
          <w:rFonts w:ascii="Book Antiqua" w:hAnsi="Book Antiqua"/>
          <w:b/>
          <w:szCs w:val="24"/>
        </w:rPr>
      </w:pPr>
      <w:r w:rsidRPr="00EA0333">
        <w:rPr>
          <w:rFonts w:ascii="Book Antiqua" w:hAnsi="Book Antiqua"/>
          <w:b/>
          <w:szCs w:val="24"/>
        </w:rPr>
        <w:t>Departamento de Desarrollo Económico y Comercio (DDEC)</w:t>
      </w:r>
    </w:p>
    <w:p w14:paraId="3A4C0246" w14:textId="369A64AC" w:rsid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El DDEC presentó un memorial de apoyo en el que argumenta que la medida constituye una acción de justicia contributiva que coloca a los inversionistas residentes en igualdad de condiciones con los Individuos Residentes Inversionistas que hoy disfrutan de beneficios bajo el Código de Incentivos. El DDEC destaca que la tasa fija del 4% simplifica la planificación financiera, reduce la carga administrativa asociada a decretos y puede incentivar la inversión local y el emprendimiento. Asimismo, el DDEC señala que la medida puede contribuir a la retención de capital y a la formalización de actividades económicas, y recomienda que la Oficina de Presupuesto de la Asamblea Legislativa (OPAL) realice el análisis fiscal correspondiente para cuantificar impactos y orientar la implementación.</w:t>
      </w:r>
    </w:p>
    <w:p w14:paraId="3E912690" w14:textId="77777777" w:rsidR="00EA0333" w:rsidRPr="00EF46CD" w:rsidRDefault="00EA0333" w:rsidP="00EF46CD">
      <w:pPr>
        <w:spacing w:before="100" w:beforeAutospacing="1" w:after="120" w:line="276" w:lineRule="auto"/>
        <w:jc w:val="both"/>
        <w:rPr>
          <w:rFonts w:ascii="Book Antiqua" w:hAnsi="Book Antiqua"/>
          <w:bCs/>
          <w:szCs w:val="24"/>
        </w:rPr>
      </w:pPr>
    </w:p>
    <w:p w14:paraId="1298A3A8" w14:textId="77777777" w:rsidR="002C156F" w:rsidRPr="00EA0333" w:rsidRDefault="00EF46CD" w:rsidP="002C156F">
      <w:pPr>
        <w:spacing w:before="100" w:beforeAutospacing="1" w:after="120" w:line="276" w:lineRule="auto"/>
        <w:jc w:val="center"/>
        <w:rPr>
          <w:rFonts w:ascii="Book Antiqua" w:hAnsi="Book Antiqua"/>
          <w:b/>
          <w:szCs w:val="24"/>
        </w:rPr>
      </w:pPr>
      <w:r w:rsidRPr="00EA0333">
        <w:rPr>
          <w:rFonts w:ascii="Book Antiqua" w:hAnsi="Book Antiqua"/>
          <w:b/>
          <w:szCs w:val="24"/>
        </w:rPr>
        <w:lastRenderedPageBreak/>
        <w:t>Autoridad de Asesoría Financiera y Agencia Fiscal (AAFAF)</w:t>
      </w:r>
    </w:p>
    <w:p w14:paraId="7DA61E6C" w14:textId="7EE87340" w:rsidR="00EF46CD"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La AAFAF remitió un análisis en el que concluye que el PC 501 está alineado con los principios y objetivos del Plan Fiscal certificado, en particular con la promoción del desarrollo económico sostenible, la ampliación de la base contributiva y la simplificación del sistema fiscal. AAFAF destaca que la contribución especial es voluntaria y sustituye otras cargas, lo que permite mantener un equilibrio entre incentivo y responsabilidad fiscal. Además, la AAFAF considera que la medida puede aumentar el cumplimiento voluntario y reducir la evasión al ofrecer un mecanismo atractivo y simplificado para tributar ingresos pasivos que, de otra forma, pueden quedar sujetos a planificación fiscal agresiva. En su ponencia, AAFAF recomienda la aprobación del PC 501 y sugiere coordinación estrecha con Hacienda y DDEC para la implementación y el monitoreo.</w:t>
      </w:r>
    </w:p>
    <w:p w14:paraId="473A2EC5" w14:textId="77777777" w:rsidR="002C156F" w:rsidRPr="00EA0333" w:rsidRDefault="00EF46CD" w:rsidP="002C156F">
      <w:pPr>
        <w:spacing w:before="100" w:beforeAutospacing="1" w:after="120" w:line="276" w:lineRule="auto"/>
        <w:jc w:val="center"/>
        <w:rPr>
          <w:rFonts w:ascii="Book Antiqua" w:hAnsi="Book Antiqua"/>
          <w:b/>
          <w:szCs w:val="24"/>
        </w:rPr>
      </w:pPr>
      <w:r w:rsidRPr="00EA0333">
        <w:rPr>
          <w:rFonts w:ascii="Book Antiqua" w:hAnsi="Book Antiqua"/>
          <w:b/>
          <w:szCs w:val="24"/>
        </w:rPr>
        <w:t>Colegio de Contadores Públicos Autorizados (Colegio de CPA)</w:t>
      </w:r>
    </w:p>
    <w:p w14:paraId="2702B4F1" w14:textId="383907AE" w:rsidR="00D839D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El Colegio de CPA expresó su apoyo a la medida, destacando que representa un avance hacia un sistema contributivo más justo, eficiente y balanceado.</w:t>
      </w:r>
      <w:r w:rsidR="00415759" w:rsidRPr="008C2194">
        <w:rPr>
          <w:rFonts w:ascii="Book Antiqua" w:hAnsi="Book Antiqua"/>
        </w:rPr>
        <w:t xml:space="preserve"> De igual forma el Co</w:t>
      </w:r>
      <w:r w:rsidR="000335DE" w:rsidRPr="008C2194">
        <w:rPr>
          <w:rFonts w:ascii="Book Antiqua" w:hAnsi="Book Antiqua"/>
        </w:rPr>
        <w:t xml:space="preserve">legio de CPA reconoce que los </w:t>
      </w:r>
      <w:r w:rsidR="003B5F9C" w:rsidRPr="008C2194">
        <w:rPr>
          <w:rFonts w:ascii="Book Antiqua" w:hAnsi="Book Antiqua"/>
        </w:rPr>
        <w:t>esfuerzos realizados</w:t>
      </w:r>
      <w:r w:rsidR="00F5369F">
        <w:rPr>
          <w:rFonts w:ascii="Book Antiqua" w:hAnsi="Book Antiqua"/>
        </w:rPr>
        <w:t xml:space="preserve"> por</w:t>
      </w:r>
      <w:r w:rsidR="000335DE" w:rsidRPr="008C2194">
        <w:rPr>
          <w:rFonts w:ascii="Book Antiqua" w:hAnsi="Book Antiqua"/>
        </w:rPr>
        <w:t xml:space="preserve"> el Gob</w:t>
      </w:r>
      <w:r w:rsidR="00C91C09" w:rsidRPr="008C2194">
        <w:rPr>
          <w:rFonts w:ascii="Book Antiqua" w:hAnsi="Book Antiqua"/>
        </w:rPr>
        <w:t xml:space="preserve">ierno de Puerto Rico para atraer inversión extranjera </w:t>
      </w:r>
      <w:r w:rsidR="000B6141" w:rsidRPr="008C2194">
        <w:rPr>
          <w:rFonts w:ascii="Book Antiqua" w:hAnsi="Book Antiqua"/>
        </w:rPr>
        <w:t>se ha</w:t>
      </w:r>
      <w:r w:rsidR="00C91733">
        <w:rPr>
          <w:rFonts w:ascii="Book Antiqua" w:hAnsi="Book Antiqua"/>
        </w:rPr>
        <w:t>n</w:t>
      </w:r>
      <w:r w:rsidR="000B6141" w:rsidRPr="008C2194">
        <w:rPr>
          <w:rFonts w:ascii="Book Antiqua" w:hAnsi="Book Antiqua"/>
        </w:rPr>
        <w:t xml:space="preserve"> traducido e</w:t>
      </w:r>
      <w:r w:rsidR="00C91733">
        <w:rPr>
          <w:rFonts w:ascii="Book Antiqua" w:hAnsi="Book Antiqua"/>
        </w:rPr>
        <w:t>n crecimiento económico</w:t>
      </w:r>
      <w:r w:rsidR="00FF7967" w:rsidRPr="008C2194">
        <w:rPr>
          <w:rFonts w:ascii="Book Antiqua" w:hAnsi="Book Antiqua"/>
        </w:rPr>
        <w:t xml:space="preserve"> en sectores específicos de la economía.</w:t>
      </w:r>
      <w:r w:rsidR="003B5F9C">
        <w:rPr>
          <w:rFonts w:ascii="Book Antiqua" w:hAnsi="Book Antiqua"/>
        </w:rPr>
        <w:t xml:space="preserve">  </w:t>
      </w:r>
      <w:r w:rsidRPr="00EF46CD">
        <w:rPr>
          <w:rFonts w:ascii="Book Antiqua" w:hAnsi="Book Antiqua"/>
          <w:bCs/>
          <w:szCs w:val="24"/>
        </w:rPr>
        <w:t>En su ponencia, el Colegio</w:t>
      </w:r>
      <w:r w:rsidR="003B5F9C">
        <w:rPr>
          <w:rFonts w:ascii="Book Antiqua" w:hAnsi="Book Antiqua"/>
          <w:bCs/>
          <w:szCs w:val="24"/>
        </w:rPr>
        <w:t xml:space="preserve"> de CPA</w:t>
      </w:r>
      <w:r w:rsidRPr="00EF46CD">
        <w:rPr>
          <w:rFonts w:ascii="Book Antiqua" w:hAnsi="Book Antiqua"/>
          <w:bCs/>
          <w:szCs w:val="24"/>
        </w:rPr>
        <w:t xml:space="preserve"> enfatiza la importancia de simplificar el acceso a beneficios contributivos y reconoce que la medida puede fomentar el ahorro y la inversión interna. </w:t>
      </w:r>
      <w:r w:rsidR="00B009F0" w:rsidRPr="00E85151">
        <w:rPr>
          <w:rFonts w:ascii="Book Antiqua" w:hAnsi="Book Antiqua"/>
          <w:bCs/>
          <w:szCs w:val="24"/>
        </w:rPr>
        <w:t>Asimismo,</w:t>
      </w:r>
      <w:r w:rsidR="004E2EFB">
        <w:rPr>
          <w:rFonts w:ascii="Book Antiqua" w:hAnsi="Book Antiqua"/>
          <w:bCs/>
          <w:szCs w:val="24"/>
        </w:rPr>
        <w:t xml:space="preserve"> en su ponencia exponen que </w:t>
      </w:r>
      <w:r w:rsidR="00E85151" w:rsidRPr="00E85151">
        <w:rPr>
          <w:rFonts w:ascii="Book Antiqua" w:hAnsi="Book Antiqua"/>
          <w:bCs/>
          <w:szCs w:val="24"/>
        </w:rPr>
        <w:t>para lograr un desarrollo económico sostenible</w:t>
      </w:r>
      <w:r w:rsidR="00963EC6">
        <w:rPr>
          <w:rFonts w:ascii="Book Antiqua" w:hAnsi="Book Antiqua"/>
          <w:bCs/>
          <w:szCs w:val="24"/>
        </w:rPr>
        <w:t xml:space="preserve"> el Gobierno no puede</w:t>
      </w:r>
      <w:r w:rsidR="00E85151" w:rsidRPr="00E85151">
        <w:rPr>
          <w:rFonts w:ascii="Book Antiqua" w:hAnsi="Book Antiqua"/>
          <w:bCs/>
          <w:szCs w:val="24"/>
        </w:rPr>
        <w:t xml:space="preserve"> depender únicamente del capital que llega de fuera</w:t>
      </w:r>
      <w:r w:rsidR="00963EC6">
        <w:rPr>
          <w:rFonts w:ascii="Book Antiqua" w:hAnsi="Book Antiqua"/>
          <w:bCs/>
          <w:szCs w:val="24"/>
        </w:rPr>
        <w:t>, sino que es</w:t>
      </w:r>
      <w:r w:rsidR="00E85151" w:rsidRPr="00E85151">
        <w:rPr>
          <w:rFonts w:ascii="Book Antiqua" w:hAnsi="Book Antiqua"/>
          <w:bCs/>
          <w:szCs w:val="24"/>
        </w:rPr>
        <w:t xml:space="preserve"> necesario empoderar a nuestros residentes para fomentar la creación de riqueza local </w:t>
      </w:r>
      <w:r w:rsidR="002859B3" w:rsidRPr="00E85151">
        <w:rPr>
          <w:rFonts w:ascii="Book Antiqua" w:hAnsi="Book Antiqua"/>
          <w:bCs/>
          <w:szCs w:val="24"/>
        </w:rPr>
        <w:t>que</w:t>
      </w:r>
      <w:r w:rsidR="002859B3">
        <w:rPr>
          <w:rFonts w:ascii="Book Antiqua" w:hAnsi="Book Antiqua"/>
          <w:bCs/>
          <w:szCs w:val="24"/>
        </w:rPr>
        <w:t xml:space="preserve"> por</w:t>
      </w:r>
      <w:r w:rsidR="000F75CB">
        <w:rPr>
          <w:rFonts w:ascii="Book Antiqua" w:hAnsi="Book Antiqua"/>
          <w:bCs/>
          <w:szCs w:val="24"/>
        </w:rPr>
        <w:t xml:space="preserve"> lo regular </w:t>
      </w:r>
      <w:r w:rsidR="00E85151" w:rsidRPr="00E85151">
        <w:rPr>
          <w:rFonts w:ascii="Book Antiqua" w:hAnsi="Book Antiqua"/>
          <w:bCs/>
          <w:szCs w:val="24"/>
        </w:rPr>
        <w:t xml:space="preserve">tiende a permanecer </w:t>
      </w:r>
      <w:r w:rsidR="000F75CB">
        <w:rPr>
          <w:rFonts w:ascii="Book Antiqua" w:hAnsi="Book Antiqua"/>
          <w:bCs/>
          <w:szCs w:val="24"/>
        </w:rPr>
        <w:t>dentro de la economía de</w:t>
      </w:r>
      <w:r w:rsidR="00E85151" w:rsidRPr="00E85151">
        <w:rPr>
          <w:rFonts w:ascii="Book Antiqua" w:hAnsi="Book Antiqua"/>
          <w:bCs/>
          <w:szCs w:val="24"/>
        </w:rPr>
        <w:t xml:space="preserve"> Puerto Rico.</w:t>
      </w:r>
      <w:r w:rsidR="000F75CB">
        <w:rPr>
          <w:rFonts w:ascii="Book Antiqua" w:hAnsi="Book Antiqua"/>
          <w:bCs/>
          <w:szCs w:val="24"/>
        </w:rPr>
        <w:t xml:space="preserve">  </w:t>
      </w:r>
      <w:r w:rsidR="00E85151" w:rsidRPr="00E85151">
        <w:rPr>
          <w:rFonts w:ascii="Book Antiqua" w:hAnsi="Book Antiqua"/>
          <w:bCs/>
          <w:szCs w:val="24"/>
        </w:rPr>
        <w:t>Ese capital se</w:t>
      </w:r>
      <w:r w:rsidR="002859B3">
        <w:rPr>
          <w:rFonts w:ascii="Book Antiqua" w:hAnsi="Book Antiqua"/>
          <w:bCs/>
          <w:szCs w:val="24"/>
        </w:rPr>
        <w:t xml:space="preserve"> puede traducir</w:t>
      </w:r>
      <w:r w:rsidR="00E85151" w:rsidRPr="00E85151">
        <w:rPr>
          <w:rFonts w:ascii="Book Antiqua" w:hAnsi="Book Antiqua"/>
          <w:bCs/>
          <w:szCs w:val="24"/>
        </w:rPr>
        <w:t xml:space="preserve"> en proyectos comunitarios, en educación, en nuevas empresas familiares y en un fortalecimiento del ecosistema empresarial puertorriqueño. </w:t>
      </w:r>
      <w:r w:rsidRPr="00EF46CD">
        <w:rPr>
          <w:rFonts w:ascii="Book Antiqua" w:hAnsi="Book Antiqua"/>
          <w:bCs/>
          <w:szCs w:val="24"/>
        </w:rPr>
        <w:t>No obstante, el Colegio advierte sobre posibles efectos no deseados en instrumentos de ahorro populares, como los planes de retiro cualificados (por ejemplo, 401(k)), y recomienda que se evalúe específicamente si las distribuciones de dichos planes deben incluirse o excluirse del alcance de la contribución especial para evitar crear una disparidad que desincentive el uso de vehículos de ahorro de la clase trabajadora. El Colegio sugiere además que Hacienda y AAFAF realicen análisis técnicos complementarios para precisar el alcance y las implicaciones prácticas.</w:t>
      </w:r>
    </w:p>
    <w:p w14:paraId="33893163" w14:textId="77777777" w:rsidR="00EA0333" w:rsidRDefault="00EA0333" w:rsidP="00EF46CD">
      <w:pPr>
        <w:spacing w:before="100" w:beforeAutospacing="1" w:after="120" w:line="276" w:lineRule="auto"/>
        <w:jc w:val="both"/>
        <w:rPr>
          <w:rFonts w:ascii="Book Antiqua" w:hAnsi="Book Antiqua"/>
          <w:bCs/>
          <w:szCs w:val="24"/>
        </w:rPr>
      </w:pPr>
    </w:p>
    <w:p w14:paraId="5E58252C" w14:textId="77777777" w:rsidR="00EA0333" w:rsidRPr="00EF46CD" w:rsidRDefault="00EA0333" w:rsidP="00EF46CD">
      <w:pPr>
        <w:spacing w:before="100" w:beforeAutospacing="1" w:after="120" w:line="276" w:lineRule="auto"/>
        <w:jc w:val="both"/>
        <w:rPr>
          <w:rFonts w:ascii="Book Antiqua" w:hAnsi="Book Antiqua"/>
          <w:bCs/>
          <w:szCs w:val="24"/>
        </w:rPr>
      </w:pPr>
    </w:p>
    <w:p w14:paraId="12BFDE46" w14:textId="6621CA1F" w:rsidR="00F30359" w:rsidRPr="00EA0333" w:rsidRDefault="00EF46CD" w:rsidP="00F30359">
      <w:pPr>
        <w:spacing w:before="100" w:beforeAutospacing="1" w:after="120" w:line="276" w:lineRule="auto"/>
        <w:jc w:val="center"/>
        <w:rPr>
          <w:rFonts w:ascii="Book Antiqua" w:hAnsi="Book Antiqua"/>
          <w:b/>
          <w:szCs w:val="24"/>
        </w:rPr>
      </w:pPr>
      <w:r w:rsidRPr="00EA0333">
        <w:rPr>
          <w:rFonts w:ascii="Book Antiqua" w:hAnsi="Book Antiqua"/>
          <w:b/>
          <w:szCs w:val="24"/>
        </w:rPr>
        <w:lastRenderedPageBreak/>
        <w:t>Asociación de Bancos de Puerto Rico</w:t>
      </w:r>
    </w:p>
    <w:p w14:paraId="7D345B6F" w14:textId="3C30D3C5" w:rsidR="0047431A" w:rsidRPr="00EF46CD"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 xml:space="preserve">La Asociación de Bancos manifestó su apoyo al PC 501, argumentando que la medida corrige una desventaja competitiva entre la inversión local y la inversión foránea, incentiva el ahorro y fortalece la estabilidad financiera de los ciudadanos. La Asociación subraya que los incentivos al ahorro son fundamentales para la planificación financiera individual y para reducir la futura dependencia de programas de asistencia </w:t>
      </w:r>
      <w:r w:rsidR="00D93029">
        <w:rPr>
          <w:rFonts w:ascii="Book Antiqua" w:hAnsi="Book Antiqua"/>
          <w:bCs/>
          <w:szCs w:val="24"/>
        </w:rPr>
        <w:t>gubernamental</w:t>
      </w:r>
      <w:r w:rsidRPr="00EF46CD">
        <w:rPr>
          <w:rFonts w:ascii="Book Antiqua" w:hAnsi="Book Antiqua"/>
          <w:bCs/>
          <w:szCs w:val="24"/>
        </w:rPr>
        <w:t>. Asimismo, la Asociación considera que la medida puede contribuir a la generación de capital local que, a su vez, financie proyectos productivos y fortalezca el sistema financiero y empresarial de la isla.</w:t>
      </w:r>
    </w:p>
    <w:p w14:paraId="06B3D30C" w14:textId="06E70C94" w:rsidR="002C156F" w:rsidRPr="00EA0333" w:rsidRDefault="00EF46CD" w:rsidP="002C156F">
      <w:pPr>
        <w:spacing w:before="100" w:beforeAutospacing="1" w:after="120" w:line="276" w:lineRule="auto"/>
        <w:jc w:val="center"/>
        <w:rPr>
          <w:rFonts w:ascii="Book Antiqua" w:hAnsi="Book Antiqua"/>
          <w:b/>
          <w:szCs w:val="24"/>
        </w:rPr>
      </w:pPr>
      <w:r w:rsidRPr="00EA0333">
        <w:rPr>
          <w:rFonts w:ascii="Book Antiqua" w:hAnsi="Book Antiqua"/>
          <w:b/>
          <w:szCs w:val="24"/>
        </w:rPr>
        <w:t>Paulson Puerto Rico</w:t>
      </w:r>
    </w:p>
    <w:p w14:paraId="003B0496" w14:textId="7696E9F0" w:rsidR="008D48D5" w:rsidRDefault="00EF46CD" w:rsidP="00EF46CD">
      <w:pPr>
        <w:spacing w:before="100" w:beforeAutospacing="1" w:after="120" w:line="276" w:lineRule="auto"/>
        <w:jc w:val="both"/>
        <w:rPr>
          <w:rFonts w:ascii="Book Antiqua" w:hAnsi="Book Antiqua"/>
          <w:bCs/>
          <w:szCs w:val="24"/>
        </w:rPr>
      </w:pPr>
      <w:r w:rsidRPr="00EF46CD">
        <w:rPr>
          <w:rFonts w:ascii="Book Antiqua" w:hAnsi="Book Antiqua"/>
          <w:bCs/>
          <w:szCs w:val="24"/>
        </w:rPr>
        <w:t>Paulson Puerto Rico presentó un memorial de apoyo que articula una visión estratégica amplia</w:t>
      </w:r>
      <w:r w:rsidR="00794D14">
        <w:rPr>
          <w:rFonts w:ascii="Book Antiqua" w:hAnsi="Book Antiqua"/>
          <w:bCs/>
          <w:szCs w:val="24"/>
        </w:rPr>
        <w:t>;</w:t>
      </w:r>
      <w:r w:rsidRPr="00EF46CD">
        <w:rPr>
          <w:rFonts w:ascii="Book Antiqua" w:hAnsi="Book Antiqua"/>
          <w:bCs/>
          <w:szCs w:val="24"/>
        </w:rPr>
        <w:t xml:space="preserve"> el PC 501 no solo corrige inequidades, sino que puede ser una herramienta decisiva para revertir la crisis demográfica, atraer talento y repatriar capital. Paulson aporta análisis que proyectan escenarios dinámicos en los que la llegada de nuevos residentes y la repatriación de capital generan ingresos adicionales que, en el mediano plazo, podrían superar la pérdida inicial de recaudos. Su ponencia enfatiza el potencial multiplicador en consumo, inversión inmobiliaria y creación de empleos, y recomienda que la medida se implemente con un calendario que permita a las agencias preparar reglamentos y sistemas de reporte.</w:t>
      </w:r>
      <w:r w:rsidR="00D14709">
        <w:rPr>
          <w:rFonts w:ascii="Book Antiqua" w:hAnsi="Book Antiqua"/>
          <w:bCs/>
          <w:szCs w:val="24"/>
        </w:rPr>
        <w:t xml:space="preserve"> </w:t>
      </w:r>
    </w:p>
    <w:p w14:paraId="78486E94" w14:textId="3573C0DD" w:rsidR="00672F73" w:rsidRPr="00EA0333" w:rsidRDefault="00C94F0F" w:rsidP="00C94F0F">
      <w:pPr>
        <w:spacing w:before="100" w:beforeAutospacing="1" w:after="120" w:line="276" w:lineRule="auto"/>
        <w:jc w:val="center"/>
        <w:rPr>
          <w:rFonts w:ascii="Book Antiqua" w:hAnsi="Book Antiqua"/>
          <w:b/>
          <w:szCs w:val="24"/>
        </w:rPr>
      </w:pPr>
      <w:r w:rsidRPr="00EA0333">
        <w:rPr>
          <w:rFonts w:ascii="Book Antiqua" w:hAnsi="Book Antiqua"/>
          <w:b/>
          <w:szCs w:val="24"/>
        </w:rPr>
        <w:t xml:space="preserve">Informe, Estudios Técnicos Inc. </w:t>
      </w:r>
    </w:p>
    <w:p w14:paraId="306963D9" w14:textId="7B0FCE57" w:rsidR="004D67D9" w:rsidRPr="00881C8A" w:rsidRDefault="00C94F0F" w:rsidP="00C94F0F">
      <w:pPr>
        <w:spacing w:before="100" w:beforeAutospacing="1" w:after="120" w:line="276" w:lineRule="auto"/>
        <w:jc w:val="both"/>
        <w:rPr>
          <w:rFonts w:ascii="Book Antiqua" w:hAnsi="Book Antiqua"/>
          <w:bCs/>
          <w:szCs w:val="24"/>
        </w:rPr>
      </w:pPr>
      <w:r w:rsidRPr="00C94F0F">
        <w:rPr>
          <w:rFonts w:ascii="Book Antiqua" w:hAnsi="Book Antiqua"/>
          <w:bCs/>
          <w:szCs w:val="24"/>
        </w:rPr>
        <w:t xml:space="preserve">El estudio de Estudios Técnicos, Inc. tuvo como objetivo evaluar las suposiciones y cálculos de la propuesta denominada </w:t>
      </w:r>
      <w:r w:rsidRPr="00C94F0F">
        <w:rPr>
          <w:rFonts w:ascii="Book Antiqua" w:hAnsi="Book Antiqua"/>
          <w:bCs/>
          <w:i/>
          <w:iCs/>
          <w:szCs w:val="24"/>
        </w:rPr>
        <w:t xml:space="preserve">Tax </w:t>
      </w:r>
      <w:proofErr w:type="spellStart"/>
      <w:r w:rsidRPr="00C94F0F">
        <w:rPr>
          <w:rFonts w:ascii="Book Antiqua" w:hAnsi="Book Antiqua"/>
          <w:bCs/>
          <w:i/>
          <w:iCs/>
          <w:szCs w:val="24"/>
        </w:rPr>
        <w:t>Fairness</w:t>
      </w:r>
      <w:proofErr w:type="spellEnd"/>
      <w:r w:rsidRPr="00C94F0F">
        <w:rPr>
          <w:rFonts w:ascii="Book Antiqua" w:hAnsi="Book Antiqua"/>
          <w:bCs/>
          <w:i/>
          <w:iCs/>
          <w:szCs w:val="24"/>
        </w:rPr>
        <w:t xml:space="preserve"> </w:t>
      </w:r>
      <w:proofErr w:type="spellStart"/>
      <w:r w:rsidRPr="00C94F0F">
        <w:rPr>
          <w:rFonts w:ascii="Book Antiqua" w:hAnsi="Book Antiqua"/>
          <w:bCs/>
          <w:i/>
          <w:iCs/>
          <w:szCs w:val="24"/>
        </w:rPr>
        <w:t>Act</w:t>
      </w:r>
      <w:proofErr w:type="spellEnd"/>
      <w:r w:rsidR="00CD0A12" w:rsidRPr="00881C8A">
        <w:rPr>
          <w:rFonts w:ascii="Book Antiqua" w:hAnsi="Book Antiqua"/>
          <w:bCs/>
          <w:i/>
          <w:iCs/>
          <w:szCs w:val="24"/>
        </w:rPr>
        <w:t xml:space="preserve"> </w:t>
      </w:r>
      <w:r w:rsidR="002E7680" w:rsidRPr="00881C8A">
        <w:rPr>
          <w:rFonts w:ascii="Book Antiqua" w:hAnsi="Book Antiqua"/>
          <w:bCs/>
          <w:szCs w:val="24"/>
        </w:rPr>
        <w:t>similar a los que se pretende aprobar con el PC 501</w:t>
      </w:r>
      <w:r w:rsidR="008722D8" w:rsidRPr="00881C8A">
        <w:rPr>
          <w:rFonts w:ascii="Book Antiqua" w:hAnsi="Book Antiqua"/>
          <w:bCs/>
          <w:szCs w:val="24"/>
        </w:rPr>
        <w:t xml:space="preserve">.  </w:t>
      </w:r>
      <w:r w:rsidRPr="00C94F0F">
        <w:rPr>
          <w:rFonts w:ascii="Book Antiqua" w:hAnsi="Book Antiqua"/>
          <w:bCs/>
          <w:szCs w:val="24"/>
        </w:rPr>
        <w:t xml:space="preserve">Para ello revisó fuentes oficiales (Departamento de Hacienda, OPAL, Junta de Planificación), </w:t>
      </w:r>
      <w:r w:rsidR="00400CE4">
        <w:rPr>
          <w:rFonts w:ascii="Book Antiqua" w:hAnsi="Book Antiqua"/>
          <w:bCs/>
          <w:szCs w:val="24"/>
        </w:rPr>
        <w:t>evaluó</w:t>
      </w:r>
      <w:r w:rsidRPr="00C94F0F">
        <w:rPr>
          <w:rFonts w:ascii="Book Antiqua" w:hAnsi="Book Antiqua"/>
          <w:bCs/>
          <w:szCs w:val="24"/>
        </w:rPr>
        <w:t xml:space="preserve"> la base de cálculo pasando de ingresos brutos a renta imponible, ajustó la porción del consumo sujeta al IVU y modeló escenarios dinámicos que incorporan efectos indirectos e inducidos; en particular, consideró un escenario con 2,000 residentes que repatriarían capital y 1,500 nuevos inversionistas, aplicando ratios para convertir ingreso en base imponible y multiplicadores para estimar efectos en empleo, consumo y recaudación secundaria. Los hallazgos clave indican</w:t>
      </w:r>
      <w:r w:rsidR="00803218" w:rsidRPr="00881C8A">
        <w:rPr>
          <w:rFonts w:ascii="Book Antiqua" w:hAnsi="Book Antiqua"/>
          <w:bCs/>
          <w:szCs w:val="24"/>
        </w:rPr>
        <w:t xml:space="preserve"> los cambios propuestos en el PC</w:t>
      </w:r>
      <w:r w:rsidR="00647AB6" w:rsidRPr="00881C8A">
        <w:rPr>
          <w:rFonts w:ascii="Book Antiqua" w:hAnsi="Book Antiqua"/>
          <w:bCs/>
          <w:szCs w:val="24"/>
        </w:rPr>
        <w:t xml:space="preserve"> 501</w:t>
      </w:r>
      <w:r w:rsidRPr="00C94F0F">
        <w:rPr>
          <w:rFonts w:ascii="Book Antiqua" w:hAnsi="Book Antiqua"/>
          <w:bCs/>
          <w:szCs w:val="24"/>
        </w:rPr>
        <w:t xml:space="preserve"> p</w:t>
      </w:r>
      <w:r w:rsidR="00647AB6" w:rsidRPr="00881C8A">
        <w:rPr>
          <w:rFonts w:ascii="Book Antiqua" w:hAnsi="Book Antiqua"/>
          <w:bCs/>
          <w:szCs w:val="24"/>
        </w:rPr>
        <w:t>udieran</w:t>
      </w:r>
      <w:r w:rsidRPr="00C94F0F">
        <w:rPr>
          <w:rFonts w:ascii="Book Antiqua" w:hAnsi="Book Antiqua"/>
          <w:bCs/>
          <w:szCs w:val="24"/>
        </w:rPr>
        <w:t xml:space="preserve"> generar un retorno fiscal positivo</w:t>
      </w:r>
      <w:r w:rsidR="00647AB6" w:rsidRPr="00881C8A">
        <w:rPr>
          <w:rFonts w:ascii="Book Antiqua" w:hAnsi="Book Antiqua"/>
          <w:bCs/>
          <w:szCs w:val="24"/>
        </w:rPr>
        <w:t xml:space="preserve"> o “ROI”</w:t>
      </w:r>
      <w:r w:rsidR="00A45F35" w:rsidRPr="00881C8A">
        <w:rPr>
          <w:rFonts w:ascii="Book Antiqua" w:hAnsi="Book Antiqua"/>
          <w:bCs/>
          <w:szCs w:val="24"/>
        </w:rPr>
        <w:t xml:space="preserve"> de un 195%</w:t>
      </w:r>
      <w:r w:rsidRPr="00C94F0F">
        <w:rPr>
          <w:rFonts w:ascii="Book Antiqua" w:hAnsi="Book Antiqua"/>
          <w:bCs/>
          <w:szCs w:val="24"/>
        </w:rPr>
        <w:t xml:space="preserve">, dado que la actividad económica adicional </w:t>
      </w:r>
      <w:r w:rsidR="00A45F35" w:rsidRPr="00881C8A">
        <w:rPr>
          <w:rFonts w:ascii="Book Antiqua" w:hAnsi="Book Antiqua"/>
          <w:bCs/>
          <w:szCs w:val="24"/>
        </w:rPr>
        <w:t>(</w:t>
      </w:r>
      <w:r w:rsidRPr="00C94F0F">
        <w:rPr>
          <w:rFonts w:ascii="Book Antiqua" w:hAnsi="Book Antiqua"/>
          <w:bCs/>
          <w:szCs w:val="24"/>
        </w:rPr>
        <w:t>salarios, IVU, impuestos sobre la propiedad y contribuciones sobre nómina y corporativas</w:t>
      </w:r>
      <w:r w:rsidR="00A45F35" w:rsidRPr="00881C8A">
        <w:rPr>
          <w:rFonts w:ascii="Book Antiqua" w:hAnsi="Book Antiqua"/>
          <w:bCs/>
          <w:szCs w:val="24"/>
        </w:rPr>
        <w:t>)</w:t>
      </w:r>
      <w:r w:rsidRPr="00C94F0F">
        <w:rPr>
          <w:rFonts w:ascii="Book Antiqua" w:hAnsi="Book Antiqua"/>
          <w:bCs/>
          <w:szCs w:val="24"/>
        </w:rPr>
        <w:t xml:space="preserve"> podría compensar la pérdida directa inicial</w:t>
      </w:r>
      <w:r w:rsidR="007D0119" w:rsidRPr="00881C8A">
        <w:rPr>
          <w:rFonts w:ascii="Book Antiqua" w:hAnsi="Book Antiqua"/>
          <w:bCs/>
          <w:szCs w:val="24"/>
        </w:rPr>
        <w:t xml:space="preserve"> por el beneficio contributivo.</w:t>
      </w:r>
      <w:r w:rsidRPr="00C94F0F">
        <w:rPr>
          <w:rFonts w:ascii="Book Antiqua" w:hAnsi="Book Antiqua"/>
          <w:bCs/>
          <w:szCs w:val="24"/>
        </w:rPr>
        <w:t xml:space="preserve"> </w:t>
      </w:r>
      <w:r w:rsidR="007D0119" w:rsidRPr="00881C8A">
        <w:rPr>
          <w:rFonts w:ascii="Book Antiqua" w:hAnsi="Book Antiqua"/>
          <w:bCs/>
          <w:szCs w:val="24"/>
        </w:rPr>
        <w:t>S</w:t>
      </w:r>
      <w:r w:rsidRPr="00C94F0F">
        <w:rPr>
          <w:rFonts w:ascii="Book Antiqua" w:hAnsi="Book Antiqua"/>
          <w:bCs/>
          <w:szCs w:val="24"/>
        </w:rPr>
        <w:t>in embargo,</w:t>
      </w:r>
      <w:r w:rsidR="007D0119" w:rsidRPr="00881C8A">
        <w:rPr>
          <w:rFonts w:ascii="Book Antiqua" w:hAnsi="Book Antiqua"/>
          <w:bCs/>
          <w:szCs w:val="24"/>
        </w:rPr>
        <w:t xml:space="preserve"> el estudio menciona que</w:t>
      </w:r>
      <w:r w:rsidRPr="00C94F0F">
        <w:rPr>
          <w:rFonts w:ascii="Book Antiqua" w:hAnsi="Book Antiqua"/>
          <w:bCs/>
          <w:szCs w:val="24"/>
        </w:rPr>
        <w:t xml:space="preserve"> los </w:t>
      </w:r>
      <w:r w:rsidRPr="00C94F0F">
        <w:rPr>
          <w:rFonts w:ascii="Book Antiqua" w:hAnsi="Book Antiqua"/>
          <w:bCs/>
          <w:szCs w:val="24"/>
        </w:rPr>
        <w:lastRenderedPageBreak/>
        <w:t>resultados son altamente sensibles al grado real de repatriación de capital, al ritmo de llegada de nuevos residentes y al riesgo de planificación fiscal agresiva.</w:t>
      </w:r>
      <w:r w:rsidR="008A6040">
        <w:rPr>
          <w:rFonts w:ascii="Book Antiqua" w:hAnsi="Book Antiqua"/>
          <w:bCs/>
          <w:szCs w:val="24"/>
        </w:rPr>
        <w:t xml:space="preserve">  En un escenario mas conservador el estudio también refleja que la medida pudiera tener un </w:t>
      </w:r>
      <w:r w:rsidR="00135569">
        <w:rPr>
          <w:rFonts w:ascii="Book Antiqua" w:hAnsi="Book Antiqua"/>
          <w:bCs/>
          <w:szCs w:val="24"/>
        </w:rPr>
        <w:t>“ROI” de 39.4%.</w:t>
      </w:r>
      <w:r w:rsidRPr="00C94F0F">
        <w:rPr>
          <w:rFonts w:ascii="Book Antiqua" w:hAnsi="Book Antiqua"/>
          <w:bCs/>
          <w:szCs w:val="24"/>
        </w:rPr>
        <w:t xml:space="preserve"> </w:t>
      </w:r>
    </w:p>
    <w:p w14:paraId="2AFF47AA" w14:textId="039881D6" w:rsidR="004D67D9" w:rsidRPr="00881C8A" w:rsidRDefault="004D67D9" w:rsidP="00C94F0F">
      <w:pPr>
        <w:spacing w:before="100" w:beforeAutospacing="1" w:after="120" w:line="276" w:lineRule="auto"/>
        <w:jc w:val="both"/>
        <w:rPr>
          <w:rFonts w:ascii="Book Antiqua" w:hAnsi="Book Antiqua"/>
          <w:bCs/>
          <w:szCs w:val="24"/>
        </w:rPr>
      </w:pPr>
      <w:r w:rsidRPr="00881C8A">
        <w:rPr>
          <w:rFonts w:ascii="Book Antiqua" w:hAnsi="Book Antiqua"/>
          <w:bCs/>
          <w:szCs w:val="24"/>
        </w:rPr>
        <w:t xml:space="preserve">El estudio dedica un apartado a examinar cómo otras jurisdicciones, especialmente </w:t>
      </w:r>
      <w:r w:rsidR="00184710">
        <w:rPr>
          <w:rFonts w:ascii="Book Antiqua" w:hAnsi="Book Antiqua"/>
          <w:bCs/>
          <w:szCs w:val="24"/>
        </w:rPr>
        <w:t>E</w:t>
      </w:r>
      <w:r w:rsidRPr="00881C8A">
        <w:rPr>
          <w:rFonts w:ascii="Book Antiqua" w:hAnsi="Book Antiqua"/>
          <w:bCs/>
          <w:szCs w:val="24"/>
        </w:rPr>
        <w:t xml:space="preserve">stados </w:t>
      </w:r>
      <w:r w:rsidR="0017265C">
        <w:rPr>
          <w:rFonts w:ascii="Book Antiqua" w:hAnsi="Book Antiqua"/>
          <w:bCs/>
          <w:szCs w:val="24"/>
        </w:rPr>
        <w:t>en los</w:t>
      </w:r>
      <w:r w:rsidRPr="00881C8A">
        <w:rPr>
          <w:rFonts w:ascii="Book Antiqua" w:hAnsi="Book Antiqua"/>
          <w:bCs/>
          <w:szCs w:val="24"/>
        </w:rPr>
        <w:t xml:space="preserve"> E.</w:t>
      </w:r>
      <w:r w:rsidR="0017265C">
        <w:rPr>
          <w:bCs/>
          <w:szCs w:val="24"/>
        </w:rPr>
        <w:t>U.</w:t>
      </w:r>
      <w:r w:rsidRPr="00881C8A">
        <w:rPr>
          <w:rFonts w:ascii="Book Antiqua" w:hAnsi="Book Antiqua"/>
          <w:bCs/>
          <w:szCs w:val="24"/>
        </w:rPr>
        <w:t xml:space="preserve"> y el propio marco de incentivos de Puerto Rico (</w:t>
      </w:r>
      <w:r w:rsidR="009A3087" w:rsidRPr="00881C8A">
        <w:rPr>
          <w:rFonts w:ascii="Book Antiqua" w:hAnsi="Book Antiqua"/>
          <w:bCs/>
          <w:szCs w:val="24"/>
        </w:rPr>
        <w:t xml:space="preserve">Ley </w:t>
      </w:r>
      <w:r w:rsidRPr="00881C8A">
        <w:rPr>
          <w:rFonts w:ascii="Book Antiqua" w:hAnsi="Book Antiqua"/>
          <w:bCs/>
          <w:szCs w:val="24"/>
        </w:rPr>
        <w:t>60</w:t>
      </w:r>
      <w:r w:rsidR="009A3087" w:rsidRPr="00881C8A">
        <w:rPr>
          <w:rFonts w:ascii="Book Antiqua" w:hAnsi="Book Antiqua"/>
          <w:bCs/>
          <w:szCs w:val="24"/>
        </w:rPr>
        <w:t xml:space="preserve"> del </w:t>
      </w:r>
      <w:r w:rsidRPr="00881C8A">
        <w:rPr>
          <w:rFonts w:ascii="Book Antiqua" w:hAnsi="Book Antiqua"/>
          <w:bCs/>
          <w:szCs w:val="24"/>
        </w:rPr>
        <w:t>2019) tratan las ganancias de capital, dividendos e intereses. Se</w:t>
      </w:r>
      <w:r w:rsidRPr="00881C8A">
        <w:rPr>
          <w:rFonts w:ascii="Book Antiqua" w:hAnsi="Book Antiqua" w:cs="Book Antiqua"/>
          <w:bCs/>
          <w:szCs w:val="24"/>
        </w:rPr>
        <w:t>ñ</w:t>
      </w:r>
      <w:r w:rsidRPr="00881C8A">
        <w:rPr>
          <w:rFonts w:ascii="Book Antiqua" w:hAnsi="Book Antiqua"/>
          <w:bCs/>
          <w:szCs w:val="24"/>
        </w:rPr>
        <w:t>ala que</w:t>
      </w:r>
      <w:r w:rsidR="009A3087" w:rsidRPr="00881C8A">
        <w:rPr>
          <w:rFonts w:ascii="Book Antiqua" w:hAnsi="Book Antiqua"/>
          <w:bCs/>
          <w:szCs w:val="24"/>
        </w:rPr>
        <w:t xml:space="preserve"> la Ley</w:t>
      </w:r>
      <w:r w:rsidRPr="00881C8A">
        <w:rPr>
          <w:rFonts w:ascii="Book Antiqua" w:hAnsi="Book Antiqua"/>
          <w:bCs/>
          <w:szCs w:val="24"/>
        </w:rPr>
        <w:t xml:space="preserve"> 60</w:t>
      </w:r>
      <w:r w:rsidR="009A3087" w:rsidRPr="00881C8A">
        <w:rPr>
          <w:rFonts w:ascii="Book Antiqua" w:hAnsi="Book Antiqua"/>
          <w:bCs/>
          <w:szCs w:val="24"/>
        </w:rPr>
        <w:t xml:space="preserve"> del 2019</w:t>
      </w:r>
      <w:r w:rsidRPr="00881C8A">
        <w:rPr>
          <w:rFonts w:ascii="Book Antiqua" w:hAnsi="Book Antiqua"/>
          <w:bCs/>
          <w:szCs w:val="24"/>
        </w:rPr>
        <w:t xml:space="preserve"> consolid</w:t>
      </w:r>
      <w:r w:rsidRPr="00881C8A">
        <w:rPr>
          <w:rFonts w:ascii="Book Antiqua" w:hAnsi="Book Antiqua" w:cs="Book Antiqua"/>
          <w:bCs/>
          <w:szCs w:val="24"/>
        </w:rPr>
        <w:t>ó</w:t>
      </w:r>
      <w:r w:rsidRPr="00881C8A">
        <w:rPr>
          <w:rFonts w:ascii="Book Antiqua" w:hAnsi="Book Antiqua"/>
          <w:bCs/>
          <w:szCs w:val="24"/>
        </w:rPr>
        <w:t xml:space="preserve"> y ampli</w:t>
      </w:r>
      <w:r w:rsidRPr="00881C8A">
        <w:rPr>
          <w:rFonts w:ascii="Book Antiqua" w:hAnsi="Book Antiqua" w:cs="Book Antiqua"/>
          <w:bCs/>
          <w:szCs w:val="24"/>
        </w:rPr>
        <w:t>ó</w:t>
      </w:r>
      <w:r w:rsidRPr="00881C8A">
        <w:rPr>
          <w:rFonts w:ascii="Book Antiqua" w:hAnsi="Book Antiqua"/>
          <w:bCs/>
          <w:szCs w:val="24"/>
        </w:rPr>
        <w:t xml:space="preserve"> incentivos previos (</w:t>
      </w:r>
      <w:r w:rsidR="007F60B8" w:rsidRPr="00881C8A">
        <w:rPr>
          <w:rFonts w:ascii="Book Antiqua" w:hAnsi="Book Antiqua"/>
          <w:bCs/>
          <w:szCs w:val="24"/>
        </w:rPr>
        <w:t>Ley</w:t>
      </w:r>
      <w:r w:rsidRPr="00881C8A">
        <w:rPr>
          <w:rFonts w:ascii="Book Antiqua" w:hAnsi="Book Antiqua"/>
          <w:bCs/>
          <w:szCs w:val="24"/>
        </w:rPr>
        <w:t xml:space="preserve"> 22</w:t>
      </w:r>
      <w:r w:rsidR="0047431A">
        <w:rPr>
          <w:rFonts w:ascii="Book Antiqua" w:hAnsi="Book Antiqua"/>
          <w:bCs/>
          <w:szCs w:val="24"/>
        </w:rPr>
        <w:t xml:space="preserve"> del 2012</w:t>
      </w:r>
      <w:r w:rsidRPr="00881C8A">
        <w:rPr>
          <w:rFonts w:ascii="Book Antiqua" w:hAnsi="Book Antiqua"/>
          <w:bCs/>
          <w:szCs w:val="24"/>
        </w:rPr>
        <w:t>), ofreciendo exenciones sustantivas a Individuos Residentes Inversionistas bajo condiciones espec</w:t>
      </w:r>
      <w:r w:rsidRPr="00881C8A">
        <w:rPr>
          <w:rFonts w:ascii="Book Antiqua" w:hAnsi="Book Antiqua" w:cs="Book Antiqua"/>
          <w:bCs/>
          <w:szCs w:val="24"/>
        </w:rPr>
        <w:t>í</w:t>
      </w:r>
      <w:r w:rsidRPr="00881C8A">
        <w:rPr>
          <w:rFonts w:ascii="Book Antiqua" w:hAnsi="Book Antiqua"/>
          <w:bCs/>
          <w:szCs w:val="24"/>
        </w:rPr>
        <w:t>ficas (donaciones, compra de vivienda, requisitos de empleo o inversi</w:t>
      </w:r>
      <w:r w:rsidRPr="00881C8A">
        <w:rPr>
          <w:rFonts w:ascii="Book Antiqua" w:hAnsi="Book Antiqua" w:cs="Book Antiqua"/>
          <w:bCs/>
          <w:szCs w:val="24"/>
        </w:rPr>
        <w:t>ó</w:t>
      </w:r>
      <w:r w:rsidRPr="00881C8A">
        <w:rPr>
          <w:rFonts w:ascii="Book Antiqua" w:hAnsi="Book Antiqua"/>
          <w:bCs/>
          <w:szCs w:val="24"/>
        </w:rPr>
        <w:t>n seg</w:t>
      </w:r>
      <w:r w:rsidRPr="00881C8A">
        <w:rPr>
          <w:rFonts w:ascii="Book Antiqua" w:hAnsi="Book Antiqua" w:cs="Book Antiqua"/>
          <w:bCs/>
          <w:szCs w:val="24"/>
        </w:rPr>
        <w:t>ú</w:t>
      </w:r>
      <w:r w:rsidRPr="00881C8A">
        <w:rPr>
          <w:rFonts w:ascii="Book Antiqua" w:hAnsi="Book Antiqua"/>
          <w:bCs/>
          <w:szCs w:val="24"/>
        </w:rPr>
        <w:t>n el caso), lo que crea una ventaja competitiva frente al residente local. Frente a esto, el análisis repasa la diversidad de regímenes estatales</w:t>
      </w:r>
      <w:r w:rsidR="00AC1E4E" w:rsidRPr="00881C8A">
        <w:rPr>
          <w:rFonts w:ascii="Book Antiqua" w:hAnsi="Book Antiqua"/>
          <w:bCs/>
          <w:szCs w:val="24"/>
        </w:rPr>
        <w:t>,</w:t>
      </w:r>
      <w:r w:rsidR="0052599B">
        <w:rPr>
          <w:rFonts w:ascii="Book Antiqua" w:hAnsi="Book Antiqua"/>
          <w:bCs/>
          <w:szCs w:val="24"/>
        </w:rPr>
        <w:t xml:space="preserve"> </w:t>
      </w:r>
      <w:r w:rsidRPr="00881C8A">
        <w:rPr>
          <w:rFonts w:ascii="Book Antiqua" w:hAnsi="Book Antiqua"/>
          <w:bCs/>
          <w:szCs w:val="24"/>
        </w:rPr>
        <w:t xml:space="preserve">varios estados no gravan renta ni ganancias de capital (por ejemplo, Florida, Texas, Nevada, Washington, Wyoming, Alaska, Tennessee, </w:t>
      </w:r>
      <w:proofErr w:type="gramStart"/>
      <w:r w:rsidRPr="00881C8A">
        <w:rPr>
          <w:rFonts w:ascii="Book Antiqua" w:hAnsi="Book Antiqua"/>
          <w:bCs/>
          <w:szCs w:val="24"/>
        </w:rPr>
        <w:t>New Hampshire</w:t>
      </w:r>
      <w:proofErr w:type="gramEnd"/>
      <w:r w:rsidRPr="00881C8A">
        <w:rPr>
          <w:rFonts w:ascii="Book Antiqua" w:hAnsi="Book Antiqua"/>
          <w:bCs/>
          <w:szCs w:val="24"/>
        </w:rPr>
        <w:t>), mientras otros aplican tasas moderadas o escalonadas</w:t>
      </w:r>
      <w:r w:rsidR="00AC1E4E" w:rsidRPr="00881C8A">
        <w:rPr>
          <w:rFonts w:ascii="Book Antiqua" w:hAnsi="Book Antiqua"/>
          <w:bCs/>
          <w:szCs w:val="24"/>
        </w:rPr>
        <w:t>.</w:t>
      </w:r>
      <w:r w:rsidRPr="00881C8A">
        <w:rPr>
          <w:rFonts w:ascii="Book Antiqua" w:hAnsi="Book Antiqua"/>
          <w:bCs/>
          <w:szCs w:val="24"/>
        </w:rPr>
        <w:t xml:space="preserve"> </w:t>
      </w:r>
      <w:r w:rsidR="00A23133">
        <w:rPr>
          <w:rFonts w:ascii="Book Antiqua" w:hAnsi="Book Antiqua"/>
          <w:bCs/>
          <w:szCs w:val="24"/>
        </w:rPr>
        <w:t>S</w:t>
      </w:r>
      <w:r w:rsidRPr="00881C8A">
        <w:rPr>
          <w:rFonts w:ascii="Book Antiqua" w:hAnsi="Book Antiqua"/>
          <w:bCs/>
          <w:szCs w:val="24"/>
        </w:rPr>
        <w:t xml:space="preserve">e </w:t>
      </w:r>
      <w:proofErr w:type="gramStart"/>
      <w:r w:rsidR="00EA0333" w:rsidRPr="00881C8A">
        <w:rPr>
          <w:rFonts w:ascii="Book Antiqua" w:hAnsi="Book Antiqua"/>
          <w:bCs/>
          <w:szCs w:val="24"/>
        </w:rPr>
        <w:t>menciona</w:t>
      </w:r>
      <w:proofErr w:type="gramEnd"/>
      <w:r w:rsidRPr="00881C8A">
        <w:rPr>
          <w:rFonts w:ascii="Book Antiqua" w:hAnsi="Book Antiqua"/>
          <w:bCs/>
          <w:szCs w:val="24"/>
        </w:rPr>
        <w:t xml:space="preserve"> además</w:t>
      </w:r>
      <w:r w:rsidR="00A23133">
        <w:rPr>
          <w:rFonts w:ascii="Book Antiqua" w:hAnsi="Book Antiqua"/>
          <w:bCs/>
          <w:szCs w:val="24"/>
        </w:rPr>
        <w:t>,</w:t>
      </w:r>
      <w:r w:rsidRPr="00881C8A">
        <w:rPr>
          <w:rFonts w:ascii="Book Antiqua" w:hAnsi="Book Antiqua"/>
          <w:bCs/>
          <w:szCs w:val="24"/>
        </w:rPr>
        <w:t xml:space="preserve"> la experiencia de Washington con un impuesto sobre ganancias de capital del 7% para montos elevados. El informe subraya que, fuera de los regímenes preferenciales como</w:t>
      </w:r>
      <w:r w:rsidR="001423C6">
        <w:rPr>
          <w:rFonts w:ascii="Book Antiqua" w:hAnsi="Book Antiqua"/>
          <w:bCs/>
          <w:szCs w:val="24"/>
        </w:rPr>
        <w:t xml:space="preserve"> la Ley</w:t>
      </w:r>
      <w:r w:rsidRPr="00881C8A">
        <w:rPr>
          <w:rFonts w:ascii="Book Antiqua" w:hAnsi="Book Antiqua"/>
          <w:bCs/>
          <w:szCs w:val="24"/>
        </w:rPr>
        <w:t xml:space="preserve"> 60</w:t>
      </w:r>
      <w:r w:rsidR="001423C6">
        <w:rPr>
          <w:rFonts w:ascii="Book Antiqua" w:hAnsi="Book Antiqua"/>
          <w:bCs/>
          <w:szCs w:val="24"/>
        </w:rPr>
        <w:t xml:space="preserve"> del 2019</w:t>
      </w:r>
      <w:r w:rsidRPr="00881C8A">
        <w:rPr>
          <w:rFonts w:ascii="Book Antiqua" w:hAnsi="Book Antiqua"/>
          <w:bCs/>
          <w:szCs w:val="24"/>
        </w:rPr>
        <w:t>, las tasas estatales sobre ganancias de capital varían ampliamente y que muchos estados usan créditos, exclusiones o tratamientos especiales en lugar de exenciones totales.</w:t>
      </w:r>
    </w:p>
    <w:p w14:paraId="34FC1035" w14:textId="16999E0B" w:rsidR="00C94F0F" w:rsidRPr="00C94F0F" w:rsidRDefault="0046266B" w:rsidP="00EA0333">
      <w:pPr>
        <w:spacing w:before="100" w:beforeAutospacing="1" w:after="120" w:line="276" w:lineRule="auto"/>
        <w:jc w:val="both"/>
        <w:rPr>
          <w:rFonts w:ascii="Book Antiqua" w:hAnsi="Book Antiqua"/>
          <w:bCs/>
          <w:szCs w:val="24"/>
        </w:rPr>
      </w:pPr>
      <w:r w:rsidRPr="00881C8A">
        <w:rPr>
          <w:rFonts w:ascii="Book Antiqua" w:hAnsi="Book Antiqua"/>
          <w:bCs/>
          <w:szCs w:val="24"/>
        </w:rPr>
        <w:t xml:space="preserve">El informe concluye </w:t>
      </w:r>
      <w:r w:rsidR="00881C8A" w:rsidRPr="00881C8A">
        <w:rPr>
          <w:rFonts w:ascii="Book Antiqua" w:hAnsi="Book Antiqua"/>
          <w:bCs/>
          <w:szCs w:val="24"/>
        </w:rPr>
        <w:t>que,</w:t>
      </w:r>
      <w:r w:rsidR="00C94F0F" w:rsidRPr="00C94F0F">
        <w:rPr>
          <w:rFonts w:ascii="Book Antiqua" w:hAnsi="Book Antiqua"/>
          <w:bCs/>
          <w:szCs w:val="24"/>
        </w:rPr>
        <w:t xml:space="preserve"> con ajustes metodológicos prudentes y salvaguardas</w:t>
      </w:r>
      <w:r w:rsidR="00881C8A" w:rsidRPr="00881C8A">
        <w:rPr>
          <w:rFonts w:ascii="Book Antiqua" w:hAnsi="Book Antiqua"/>
          <w:bCs/>
          <w:szCs w:val="24"/>
        </w:rPr>
        <w:t xml:space="preserve">, </w:t>
      </w:r>
      <w:r w:rsidR="00C94F0F" w:rsidRPr="00C94F0F">
        <w:rPr>
          <w:rFonts w:ascii="Book Antiqua" w:hAnsi="Book Antiqua"/>
          <w:bCs/>
          <w:szCs w:val="24"/>
        </w:rPr>
        <w:t>la propuesta puede constituir una inversión estratégica para Puerto Rico, aunque su éxito depende críticamente de la materialización de los flujos proyectados y de una implementación rigurosa y monitoreada.</w:t>
      </w:r>
    </w:p>
    <w:p w14:paraId="3E3269EC" w14:textId="77777777" w:rsidR="002C156F" w:rsidRPr="00EA0333" w:rsidRDefault="002C156F" w:rsidP="002C156F">
      <w:pPr>
        <w:spacing w:before="100" w:beforeAutospacing="1" w:after="120" w:line="276" w:lineRule="auto"/>
        <w:jc w:val="center"/>
        <w:rPr>
          <w:rFonts w:ascii="Book Antiqua" w:hAnsi="Book Antiqua"/>
          <w:b/>
          <w:szCs w:val="24"/>
        </w:rPr>
      </w:pPr>
      <w:r w:rsidRPr="00EA0333">
        <w:rPr>
          <w:rFonts w:ascii="Book Antiqua" w:hAnsi="Book Antiqua"/>
          <w:b/>
          <w:szCs w:val="24"/>
        </w:rPr>
        <w:t>Oficina de Presupuesto de la Asamblea Legislativa (OPAL)</w:t>
      </w:r>
    </w:p>
    <w:p w14:paraId="4868AD25" w14:textId="682269B1" w:rsidR="002C156F" w:rsidRDefault="002C156F" w:rsidP="002C156F">
      <w:pPr>
        <w:spacing w:before="100" w:beforeAutospacing="1" w:after="120" w:line="276" w:lineRule="auto"/>
        <w:jc w:val="both"/>
        <w:rPr>
          <w:rFonts w:ascii="Book Antiqua" w:hAnsi="Book Antiqua"/>
          <w:bCs/>
          <w:szCs w:val="24"/>
        </w:rPr>
      </w:pPr>
      <w:r w:rsidRPr="002C156F">
        <w:rPr>
          <w:rFonts w:ascii="Book Antiqua" w:hAnsi="Book Antiqua"/>
          <w:bCs/>
          <w:szCs w:val="24"/>
        </w:rPr>
        <w:t>OPAL presentó el Informe 2025-236, que contiene un estimado del efecto fiscal del PC 501 y del Proyecto del Senado 488. En su análisis estático, OPAL proyecta una reducción en recaudos del Fondo General de -$132.3 millones para 2026, con proyecciones entre -$134.8 millones y -$141.2 millones para el periodo 2027–2030. OPAL explica su metodología, los supuestos empleados (incluyendo la asunción de acogimiento total a la opción del 4% y la utilización de datos contributivos disponibles), y advierte que su estimado no incorpora efectos dinámicos que podrían atenuar el impacto fiscal. OPAL también identifica limitaciones de datos, la volatilidad inherente a ingresos por intereses, dividendos y ganancias de capital, y la necesidad de mayor granularidad para distinguir ingresos de fuente</w:t>
      </w:r>
      <w:r w:rsidR="00A47F24">
        <w:rPr>
          <w:rFonts w:ascii="Book Antiqua" w:hAnsi="Book Antiqua"/>
          <w:bCs/>
          <w:szCs w:val="24"/>
        </w:rPr>
        <w:t>s</w:t>
      </w:r>
      <w:r w:rsidRPr="002C156F">
        <w:rPr>
          <w:rFonts w:ascii="Book Antiqua" w:hAnsi="Book Antiqua"/>
          <w:bCs/>
          <w:szCs w:val="24"/>
        </w:rPr>
        <w:t xml:space="preserve"> de Puerto Rico. </w:t>
      </w:r>
    </w:p>
    <w:p w14:paraId="34C8AC59" w14:textId="2A45EBA8" w:rsidR="00EE05AF" w:rsidRPr="0096316F" w:rsidRDefault="00491178" w:rsidP="00EE05AF">
      <w:pPr>
        <w:spacing w:before="100" w:beforeAutospacing="1" w:after="120" w:line="276" w:lineRule="auto"/>
        <w:jc w:val="both"/>
        <w:rPr>
          <w:rFonts w:ascii="Book Antiqua" w:hAnsi="Book Antiqua"/>
          <w:bCs/>
          <w:szCs w:val="24"/>
        </w:rPr>
      </w:pPr>
      <w:r>
        <w:rPr>
          <w:rFonts w:ascii="Book Antiqua" w:hAnsi="Book Antiqua"/>
          <w:bCs/>
          <w:szCs w:val="24"/>
        </w:rPr>
        <w:lastRenderedPageBreak/>
        <w:t>También</w:t>
      </w:r>
      <w:r w:rsidR="009E252E">
        <w:rPr>
          <w:rFonts w:ascii="Book Antiqua" w:hAnsi="Book Antiqua"/>
          <w:bCs/>
          <w:szCs w:val="24"/>
        </w:rPr>
        <w:t xml:space="preserve"> la </w:t>
      </w:r>
      <w:r>
        <w:rPr>
          <w:rFonts w:ascii="Book Antiqua" w:hAnsi="Book Antiqua"/>
          <w:bCs/>
          <w:szCs w:val="24"/>
        </w:rPr>
        <w:t>Comisión</w:t>
      </w:r>
      <w:r w:rsidR="009E252E">
        <w:rPr>
          <w:rFonts w:ascii="Book Antiqua" w:hAnsi="Book Antiqua"/>
          <w:bCs/>
          <w:szCs w:val="24"/>
        </w:rPr>
        <w:t xml:space="preserve"> tomo en consideración el informe de </w:t>
      </w:r>
      <w:r w:rsidR="00B56C2D">
        <w:rPr>
          <w:rFonts w:ascii="Book Antiqua" w:hAnsi="Book Antiqua"/>
          <w:bCs/>
          <w:szCs w:val="24"/>
        </w:rPr>
        <w:t xml:space="preserve">la </w:t>
      </w:r>
      <w:r w:rsidR="00B56C2D" w:rsidRPr="00B56C2D">
        <w:rPr>
          <w:rFonts w:ascii="Book Antiqua" w:hAnsi="Book Antiqua"/>
          <w:bCs/>
          <w:szCs w:val="24"/>
        </w:rPr>
        <w:t>OPAL 2025</w:t>
      </w:r>
      <w:r w:rsidR="00B56C2D" w:rsidRPr="00B56C2D">
        <w:rPr>
          <w:rFonts w:ascii="Book Antiqua" w:hAnsi="Book Antiqua"/>
          <w:bCs/>
          <w:szCs w:val="24"/>
        </w:rPr>
        <w:noBreakHyphen/>
        <w:t xml:space="preserve">091 </w:t>
      </w:r>
      <w:r w:rsidR="00B56C2D">
        <w:rPr>
          <w:rFonts w:ascii="Book Antiqua" w:hAnsi="Book Antiqua"/>
          <w:bCs/>
          <w:szCs w:val="24"/>
        </w:rPr>
        <w:t xml:space="preserve">el cual </w:t>
      </w:r>
      <w:r w:rsidR="00B56C2D" w:rsidRPr="00B56C2D">
        <w:rPr>
          <w:rFonts w:ascii="Book Antiqua" w:hAnsi="Book Antiqua"/>
          <w:bCs/>
          <w:szCs w:val="24"/>
        </w:rPr>
        <w:t xml:space="preserve">evalúa el efecto fiscal del PC 505/PS 489 y concluye que, bajo un análisis estático, la medida generaría </w:t>
      </w:r>
      <w:r w:rsidR="00B56C2D" w:rsidRPr="00B56C2D">
        <w:rPr>
          <w:rFonts w:ascii="Book Antiqua" w:hAnsi="Book Antiqua"/>
          <w:szCs w:val="24"/>
        </w:rPr>
        <w:t>un aumento en recaudos netos por entre $27.8 y $60.6 millones en 2027 por nuevos decretos y hasta $270.7 millones en 2037</w:t>
      </w:r>
      <w:r w:rsidR="00B56C2D" w:rsidRPr="00B56C2D">
        <w:rPr>
          <w:rFonts w:ascii="Book Antiqua" w:hAnsi="Book Antiqua"/>
          <w:bCs/>
          <w:szCs w:val="24"/>
        </w:rPr>
        <w:t xml:space="preserve"> si se extienden decretos vigentes</w:t>
      </w:r>
      <w:r w:rsidR="00EA0333">
        <w:rPr>
          <w:rFonts w:ascii="Book Antiqua" w:hAnsi="Book Antiqua"/>
          <w:bCs/>
          <w:szCs w:val="24"/>
        </w:rPr>
        <w:t>.</w:t>
      </w:r>
    </w:p>
    <w:p w14:paraId="1188AB46" w14:textId="77777777" w:rsidR="00EE05AF" w:rsidRPr="0096316F" w:rsidRDefault="00EE05AF" w:rsidP="00534636">
      <w:pPr>
        <w:spacing w:before="100" w:beforeAutospacing="1" w:after="120" w:line="276" w:lineRule="auto"/>
        <w:jc w:val="center"/>
        <w:rPr>
          <w:rFonts w:ascii="Book Antiqua" w:hAnsi="Book Antiqua"/>
          <w:b/>
          <w:szCs w:val="24"/>
        </w:rPr>
      </w:pPr>
      <w:r w:rsidRPr="0096316F">
        <w:rPr>
          <w:rFonts w:ascii="Book Antiqua" w:hAnsi="Book Antiqua"/>
          <w:b/>
          <w:szCs w:val="24"/>
        </w:rPr>
        <w:t>IMPACTO FISCAL</w:t>
      </w:r>
    </w:p>
    <w:p w14:paraId="2BF296B1" w14:textId="605792E1" w:rsidR="00EE05AF" w:rsidRDefault="00EE05AF" w:rsidP="00EE05AF">
      <w:pPr>
        <w:spacing w:before="100" w:beforeAutospacing="1" w:after="120" w:line="276" w:lineRule="auto"/>
        <w:jc w:val="both"/>
        <w:rPr>
          <w:rFonts w:ascii="Book Antiqua" w:hAnsi="Book Antiqua"/>
          <w:szCs w:val="24"/>
        </w:rPr>
      </w:pPr>
      <w:r w:rsidRPr="0096316F">
        <w:rPr>
          <w:rFonts w:ascii="Book Antiqua" w:hAnsi="Book Antiqua"/>
          <w:szCs w:val="24"/>
        </w:rPr>
        <w:t xml:space="preserve">El Proyecto de la Cámara </w:t>
      </w:r>
      <w:r w:rsidR="00650D7A" w:rsidRPr="0096316F">
        <w:rPr>
          <w:rFonts w:ascii="Book Antiqua" w:hAnsi="Book Antiqua"/>
          <w:szCs w:val="24"/>
        </w:rPr>
        <w:t>501</w:t>
      </w:r>
      <w:r w:rsidRPr="0096316F">
        <w:rPr>
          <w:rFonts w:ascii="Book Antiqua" w:hAnsi="Book Antiqua"/>
          <w:szCs w:val="24"/>
        </w:rPr>
        <w:t xml:space="preserve"> tiene un impacto fiscal</w:t>
      </w:r>
      <w:r w:rsidR="00AD6197">
        <w:rPr>
          <w:rFonts w:ascii="Book Antiqua" w:hAnsi="Book Antiqua"/>
          <w:szCs w:val="24"/>
        </w:rPr>
        <w:t xml:space="preserve"> estático</w:t>
      </w:r>
      <w:r w:rsidRPr="0096316F">
        <w:rPr>
          <w:rFonts w:ascii="Book Antiqua" w:hAnsi="Book Antiqua"/>
          <w:szCs w:val="24"/>
        </w:rPr>
        <w:t xml:space="preserve"> estimado de $</w:t>
      </w:r>
      <w:r w:rsidR="0076298F">
        <w:rPr>
          <w:rFonts w:ascii="Book Antiqua" w:hAnsi="Book Antiqua"/>
          <w:szCs w:val="24"/>
        </w:rPr>
        <w:t>132 millones</w:t>
      </w:r>
      <w:r w:rsidRPr="0096316F">
        <w:rPr>
          <w:rFonts w:ascii="Book Antiqua" w:hAnsi="Book Antiqua"/>
          <w:szCs w:val="24"/>
        </w:rPr>
        <w:t xml:space="preserve"> en los recaudos del Gobierno de Puerto </w:t>
      </w:r>
      <w:r w:rsidR="00534636" w:rsidRPr="0096316F">
        <w:rPr>
          <w:rFonts w:ascii="Book Antiqua" w:hAnsi="Book Antiqua"/>
          <w:szCs w:val="24"/>
        </w:rPr>
        <w:t>Rico; esto</w:t>
      </w:r>
      <w:r w:rsidRPr="0096316F">
        <w:rPr>
          <w:rFonts w:ascii="Book Antiqua" w:hAnsi="Book Antiqua"/>
          <w:szCs w:val="24"/>
        </w:rPr>
        <w:t xml:space="preserve"> según estimado provisto por la Oficina de Presupuesto de la Asamblea Legislativa </w:t>
      </w:r>
      <w:r w:rsidR="006572AA" w:rsidRPr="0096316F">
        <w:rPr>
          <w:rFonts w:ascii="Book Antiqua" w:hAnsi="Book Antiqua"/>
          <w:szCs w:val="24"/>
        </w:rPr>
        <w:t>(OPAL)</w:t>
      </w:r>
      <w:r w:rsidR="005E2611">
        <w:rPr>
          <w:rFonts w:ascii="Book Antiqua" w:hAnsi="Book Antiqua"/>
          <w:szCs w:val="24"/>
        </w:rPr>
        <w:t xml:space="preserve"> en su informe 2025-236</w:t>
      </w:r>
      <w:r w:rsidR="006625F3" w:rsidRPr="0096316F">
        <w:rPr>
          <w:rFonts w:ascii="Book Antiqua" w:hAnsi="Book Antiqua"/>
          <w:szCs w:val="24"/>
        </w:rPr>
        <w:t>.</w:t>
      </w:r>
      <w:r w:rsidR="005E2611">
        <w:rPr>
          <w:rFonts w:ascii="Book Antiqua" w:hAnsi="Book Antiqua"/>
          <w:szCs w:val="24"/>
        </w:rPr>
        <w:t xml:space="preserve">  De </w:t>
      </w:r>
      <w:r w:rsidR="00A76C46">
        <w:rPr>
          <w:rFonts w:ascii="Book Antiqua" w:hAnsi="Book Antiqua"/>
          <w:szCs w:val="24"/>
        </w:rPr>
        <w:t>igual</w:t>
      </w:r>
      <w:r w:rsidR="005E2611">
        <w:rPr>
          <w:rFonts w:ascii="Book Antiqua" w:hAnsi="Book Antiqua"/>
          <w:szCs w:val="24"/>
        </w:rPr>
        <w:t xml:space="preserve"> forma</w:t>
      </w:r>
      <w:r w:rsidR="009536BF">
        <w:rPr>
          <w:rFonts w:ascii="Book Antiqua" w:hAnsi="Book Antiqua"/>
          <w:szCs w:val="24"/>
        </w:rPr>
        <w:t>,</w:t>
      </w:r>
      <w:r w:rsidR="005E2611">
        <w:rPr>
          <w:rFonts w:ascii="Book Antiqua" w:hAnsi="Book Antiqua"/>
          <w:szCs w:val="24"/>
        </w:rPr>
        <w:t xml:space="preserve"> se </w:t>
      </w:r>
      <w:r w:rsidR="009536BF">
        <w:rPr>
          <w:rFonts w:ascii="Book Antiqua" w:hAnsi="Book Antiqua"/>
          <w:szCs w:val="24"/>
        </w:rPr>
        <w:t>evaluó</w:t>
      </w:r>
      <w:r w:rsidR="00A76C46">
        <w:rPr>
          <w:rFonts w:ascii="Book Antiqua" w:hAnsi="Book Antiqua"/>
          <w:szCs w:val="24"/>
        </w:rPr>
        <w:t xml:space="preserve"> </w:t>
      </w:r>
      <w:r w:rsidR="009536BF">
        <w:rPr>
          <w:rFonts w:ascii="Book Antiqua" w:hAnsi="Book Antiqua"/>
          <w:szCs w:val="24"/>
        </w:rPr>
        <w:t xml:space="preserve">el informe de la OPAL </w:t>
      </w:r>
      <w:r w:rsidR="00AF0C57">
        <w:rPr>
          <w:rFonts w:ascii="Book Antiqua" w:hAnsi="Book Antiqua"/>
          <w:szCs w:val="24"/>
        </w:rPr>
        <w:t>2025-2</w:t>
      </w:r>
      <w:r w:rsidR="003A69F8">
        <w:rPr>
          <w:rFonts w:ascii="Book Antiqua" w:hAnsi="Book Antiqua"/>
          <w:szCs w:val="24"/>
        </w:rPr>
        <w:t xml:space="preserve">36 </w:t>
      </w:r>
      <w:r w:rsidR="009536BF">
        <w:rPr>
          <w:rFonts w:ascii="Book Antiqua" w:hAnsi="Book Antiqua"/>
          <w:szCs w:val="24"/>
        </w:rPr>
        <w:t>sobre el PC</w:t>
      </w:r>
      <w:r w:rsidR="00094F97">
        <w:rPr>
          <w:rFonts w:ascii="Book Antiqua" w:hAnsi="Book Antiqua"/>
          <w:szCs w:val="24"/>
        </w:rPr>
        <w:t xml:space="preserve"> 505 </w:t>
      </w:r>
      <w:r w:rsidR="003A69F8">
        <w:rPr>
          <w:rFonts w:ascii="Book Antiqua" w:hAnsi="Book Antiqua"/>
          <w:szCs w:val="24"/>
        </w:rPr>
        <w:t>el cual</w:t>
      </w:r>
      <w:r w:rsidR="00AF0C57" w:rsidRPr="00AF0C57">
        <w:rPr>
          <w:rFonts w:ascii="Book Antiqua" w:hAnsi="Book Antiqua"/>
          <w:szCs w:val="24"/>
        </w:rPr>
        <w:t xml:space="preserve"> concluye que, bajo un análisis estático, la medida </w:t>
      </w:r>
      <w:r w:rsidR="004300B7">
        <w:rPr>
          <w:rFonts w:ascii="Book Antiqua" w:hAnsi="Book Antiqua"/>
          <w:szCs w:val="24"/>
        </w:rPr>
        <w:t xml:space="preserve">puede generar </w:t>
      </w:r>
      <w:r w:rsidR="00AF0C57" w:rsidRPr="003A69F8">
        <w:rPr>
          <w:rFonts w:ascii="Book Antiqua" w:hAnsi="Book Antiqua"/>
          <w:szCs w:val="24"/>
        </w:rPr>
        <w:t xml:space="preserve">un aumento en recaudos netos por $27.8 </w:t>
      </w:r>
      <w:r w:rsidR="00ED23DC">
        <w:rPr>
          <w:rFonts w:ascii="Book Antiqua" w:hAnsi="Book Antiqua"/>
          <w:szCs w:val="24"/>
        </w:rPr>
        <w:t xml:space="preserve">millones en </w:t>
      </w:r>
      <w:r w:rsidR="00BE3330">
        <w:rPr>
          <w:rFonts w:ascii="Book Antiqua" w:hAnsi="Book Antiqua"/>
          <w:szCs w:val="24"/>
        </w:rPr>
        <w:t>2026</w:t>
      </w:r>
      <w:r w:rsidR="006E7BD6">
        <w:rPr>
          <w:rFonts w:ascii="Book Antiqua" w:hAnsi="Book Antiqua"/>
          <w:szCs w:val="24"/>
        </w:rPr>
        <w:t xml:space="preserve"> y</w:t>
      </w:r>
      <w:r w:rsidR="00AF0C57" w:rsidRPr="003A69F8">
        <w:rPr>
          <w:rFonts w:ascii="Book Antiqua" w:hAnsi="Book Antiqua"/>
          <w:szCs w:val="24"/>
        </w:rPr>
        <w:t xml:space="preserve"> $60.6 millones en 2027 por nuevos decretos</w:t>
      </w:r>
      <w:r w:rsidR="007C71B4">
        <w:rPr>
          <w:rFonts w:ascii="Book Antiqua" w:hAnsi="Book Antiqua"/>
          <w:szCs w:val="24"/>
        </w:rPr>
        <w:t xml:space="preserve">, aumentando el recaudo </w:t>
      </w:r>
      <w:r w:rsidR="00426A22">
        <w:rPr>
          <w:rFonts w:ascii="Book Antiqua" w:hAnsi="Book Antiqua"/>
          <w:szCs w:val="24"/>
        </w:rPr>
        <w:t xml:space="preserve">cada año </w:t>
      </w:r>
      <w:r w:rsidR="00E06848">
        <w:rPr>
          <w:rFonts w:ascii="Book Antiqua" w:hAnsi="Book Antiqua"/>
          <w:szCs w:val="24"/>
        </w:rPr>
        <w:t xml:space="preserve">hasta </w:t>
      </w:r>
      <w:r w:rsidR="00426A22" w:rsidRPr="003A69F8">
        <w:rPr>
          <w:rFonts w:ascii="Book Antiqua" w:hAnsi="Book Antiqua"/>
          <w:szCs w:val="24"/>
        </w:rPr>
        <w:t>$</w:t>
      </w:r>
      <w:r w:rsidR="00AF0C57" w:rsidRPr="003A69F8">
        <w:rPr>
          <w:rFonts w:ascii="Book Antiqua" w:hAnsi="Book Antiqua"/>
          <w:szCs w:val="24"/>
        </w:rPr>
        <w:t>270.7 millones en 2037</w:t>
      </w:r>
      <w:r w:rsidR="003A69F8">
        <w:rPr>
          <w:rFonts w:ascii="Book Antiqua" w:hAnsi="Book Antiqua"/>
          <w:szCs w:val="24"/>
        </w:rPr>
        <w:t xml:space="preserve">.  </w:t>
      </w:r>
      <w:r w:rsidR="00CF635F">
        <w:rPr>
          <w:rFonts w:ascii="Book Antiqua" w:hAnsi="Book Antiqua"/>
          <w:szCs w:val="24"/>
        </w:rPr>
        <w:t xml:space="preserve">El Departamento de </w:t>
      </w:r>
      <w:r w:rsidR="00CF635F" w:rsidRPr="00CF635F">
        <w:rPr>
          <w:rFonts w:ascii="Book Antiqua" w:hAnsi="Book Antiqua"/>
          <w:bCs/>
          <w:szCs w:val="24"/>
        </w:rPr>
        <w:t xml:space="preserve">Hacienda </w:t>
      </w:r>
      <w:r w:rsidR="00CF635F">
        <w:rPr>
          <w:rFonts w:ascii="Book Antiqua" w:hAnsi="Book Antiqua"/>
          <w:bCs/>
          <w:szCs w:val="24"/>
        </w:rPr>
        <w:t xml:space="preserve">menciona en su </w:t>
      </w:r>
      <w:r w:rsidR="003D32CD">
        <w:rPr>
          <w:rFonts w:ascii="Book Antiqua" w:hAnsi="Book Antiqua"/>
          <w:bCs/>
          <w:szCs w:val="24"/>
        </w:rPr>
        <w:t>ponencia</w:t>
      </w:r>
      <w:r w:rsidR="00CF635F" w:rsidRPr="00CF635F">
        <w:rPr>
          <w:rFonts w:ascii="Book Antiqua" w:hAnsi="Book Antiqua"/>
          <w:bCs/>
          <w:szCs w:val="24"/>
        </w:rPr>
        <w:t xml:space="preserve"> que las enmiendas propuestas podrían representar un impacto fiscal aproximado de $100 millones</w:t>
      </w:r>
      <w:r w:rsidR="002961D4">
        <w:rPr>
          <w:rFonts w:ascii="Book Antiqua" w:hAnsi="Book Antiqua"/>
          <w:bCs/>
          <w:szCs w:val="24"/>
        </w:rPr>
        <w:t>.</w:t>
      </w:r>
      <w:r w:rsidR="00CF635F" w:rsidRPr="00CF635F">
        <w:rPr>
          <w:rFonts w:ascii="Book Antiqua" w:hAnsi="Book Antiqua"/>
          <w:szCs w:val="24"/>
        </w:rPr>
        <w:t xml:space="preserve"> </w:t>
      </w:r>
      <w:r w:rsidR="005721E1">
        <w:rPr>
          <w:rFonts w:ascii="Book Antiqua" w:hAnsi="Book Antiqua"/>
          <w:bCs/>
          <w:szCs w:val="24"/>
        </w:rPr>
        <w:t>El estudio presentado por Estudios técnicos también presenta unos</w:t>
      </w:r>
      <w:r w:rsidR="00CC333C" w:rsidRPr="00CC333C">
        <w:rPr>
          <w:rFonts w:ascii="Book Antiqua" w:hAnsi="Book Antiqua"/>
          <w:bCs/>
          <w:szCs w:val="24"/>
        </w:rPr>
        <w:t xml:space="preserve"> hallazgos clave</w:t>
      </w:r>
      <w:r w:rsidR="005721E1">
        <w:rPr>
          <w:rFonts w:ascii="Book Antiqua" w:hAnsi="Book Antiqua"/>
          <w:bCs/>
          <w:szCs w:val="24"/>
        </w:rPr>
        <w:t>s</w:t>
      </w:r>
      <w:r w:rsidR="008E410E">
        <w:rPr>
          <w:rFonts w:ascii="Book Antiqua" w:hAnsi="Book Antiqua"/>
          <w:bCs/>
          <w:szCs w:val="24"/>
        </w:rPr>
        <w:t xml:space="preserve"> que</w:t>
      </w:r>
      <w:r w:rsidR="00CC333C" w:rsidRPr="00CC333C">
        <w:rPr>
          <w:rFonts w:ascii="Book Antiqua" w:hAnsi="Book Antiqua"/>
          <w:bCs/>
          <w:szCs w:val="24"/>
        </w:rPr>
        <w:t xml:space="preserve"> </w:t>
      </w:r>
      <w:r w:rsidR="008E410E">
        <w:rPr>
          <w:rFonts w:ascii="Book Antiqua" w:hAnsi="Book Antiqua"/>
          <w:bCs/>
          <w:szCs w:val="24"/>
        </w:rPr>
        <w:t>sugiere que</w:t>
      </w:r>
      <w:r w:rsidR="00CC333C" w:rsidRPr="00CC333C">
        <w:rPr>
          <w:rFonts w:ascii="Book Antiqua" w:hAnsi="Book Antiqua"/>
          <w:bCs/>
          <w:szCs w:val="24"/>
        </w:rPr>
        <w:t xml:space="preserve"> los cambios propuestos en el PC 501 pudieran generar un retorno fiscal positivo o “ROI” de un 195%</w:t>
      </w:r>
      <w:r w:rsidR="008E410E">
        <w:rPr>
          <w:rFonts w:ascii="Book Antiqua" w:hAnsi="Book Antiqua"/>
          <w:bCs/>
          <w:szCs w:val="24"/>
        </w:rPr>
        <w:t xml:space="preserve"> o </w:t>
      </w:r>
      <w:r w:rsidR="00490DF7">
        <w:rPr>
          <w:rFonts w:ascii="Book Antiqua" w:hAnsi="Book Antiqua"/>
          <w:bCs/>
          <w:szCs w:val="24"/>
        </w:rPr>
        <w:t>$312 millones</w:t>
      </w:r>
      <w:r w:rsidR="00CC333C" w:rsidRPr="00CC333C">
        <w:rPr>
          <w:rFonts w:ascii="Book Antiqua" w:hAnsi="Book Antiqua"/>
          <w:bCs/>
          <w:szCs w:val="24"/>
        </w:rPr>
        <w:t>, dado que la actividad económica adicional (salarios, IVU, impuestos sobre la propiedad y contribuciones sobre nómina y corporativas) podría compensar la pérdida directa inicial por el beneficio contributivo.</w:t>
      </w:r>
      <w:r w:rsidR="00135569">
        <w:rPr>
          <w:rFonts w:ascii="Book Antiqua" w:hAnsi="Book Antiqua"/>
          <w:bCs/>
          <w:szCs w:val="24"/>
        </w:rPr>
        <w:t xml:space="preserve">  En un escenario mas conservador el estudio presenta que la medida pudiera tener un “ROI” de </w:t>
      </w:r>
      <w:r w:rsidR="00A464BB">
        <w:rPr>
          <w:rFonts w:ascii="Book Antiqua" w:hAnsi="Book Antiqua"/>
          <w:bCs/>
          <w:szCs w:val="24"/>
        </w:rPr>
        <w:t>39.4%.</w:t>
      </w:r>
    </w:p>
    <w:p w14:paraId="4243F8DB" w14:textId="1E50B73B" w:rsidR="0047431A" w:rsidRPr="0096316F" w:rsidRDefault="003A69F8" w:rsidP="00EE05AF">
      <w:pPr>
        <w:spacing w:before="100" w:beforeAutospacing="1" w:after="120" w:line="276" w:lineRule="auto"/>
        <w:jc w:val="both"/>
        <w:rPr>
          <w:rFonts w:ascii="Book Antiqua" w:hAnsi="Book Antiqua"/>
          <w:szCs w:val="24"/>
        </w:rPr>
      </w:pPr>
      <w:r>
        <w:rPr>
          <w:rFonts w:ascii="Book Antiqua" w:hAnsi="Book Antiqua"/>
          <w:szCs w:val="24"/>
        </w:rPr>
        <w:t xml:space="preserve">Tomando en consideración </w:t>
      </w:r>
      <w:r w:rsidR="005F69CD">
        <w:rPr>
          <w:rFonts w:ascii="Book Antiqua" w:hAnsi="Book Antiqua"/>
          <w:szCs w:val="24"/>
        </w:rPr>
        <w:t xml:space="preserve">el </w:t>
      </w:r>
      <w:r w:rsidR="00B3236B">
        <w:rPr>
          <w:rFonts w:ascii="Book Antiqua" w:hAnsi="Book Antiqua"/>
          <w:szCs w:val="24"/>
        </w:rPr>
        <w:t>efecto</w:t>
      </w:r>
      <w:r w:rsidR="00A464BB">
        <w:rPr>
          <w:rFonts w:ascii="Book Antiqua" w:hAnsi="Book Antiqua"/>
          <w:szCs w:val="24"/>
        </w:rPr>
        <w:t xml:space="preserve"> </w:t>
      </w:r>
      <w:r w:rsidR="00563A6B">
        <w:rPr>
          <w:rFonts w:ascii="Book Antiqua" w:hAnsi="Book Antiqua"/>
          <w:szCs w:val="24"/>
        </w:rPr>
        <w:t xml:space="preserve">impacto fiscal </w:t>
      </w:r>
      <w:r w:rsidR="00A464BB">
        <w:rPr>
          <w:rFonts w:ascii="Book Antiqua" w:hAnsi="Book Antiqua"/>
          <w:szCs w:val="24"/>
        </w:rPr>
        <w:t xml:space="preserve">estático </w:t>
      </w:r>
      <w:r w:rsidR="00FE6190">
        <w:rPr>
          <w:rFonts w:ascii="Book Antiqua" w:hAnsi="Book Antiqua"/>
          <w:szCs w:val="24"/>
        </w:rPr>
        <w:t>que tiene el PC 501 según</w:t>
      </w:r>
      <w:r w:rsidR="00563A6B">
        <w:rPr>
          <w:rFonts w:ascii="Book Antiqua" w:hAnsi="Book Antiqua"/>
          <w:szCs w:val="24"/>
        </w:rPr>
        <w:t xml:space="preserve"> el</w:t>
      </w:r>
      <w:r w:rsidR="00FE6190">
        <w:rPr>
          <w:rFonts w:ascii="Book Antiqua" w:hAnsi="Book Antiqua"/>
          <w:szCs w:val="24"/>
        </w:rPr>
        <w:t xml:space="preserve"> informe de </w:t>
      </w:r>
      <w:r w:rsidR="009C30C4">
        <w:rPr>
          <w:rFonts w:ascii="Book Antiqua" w:hAnsi="Book Antiqua"/>
          <w:szCs w:val="24"/>
        </w:rPr>
        <w:t>OPAL y</w:t>
      </w:r>
      <w:r w:rsidR="00FE6190">
        <w:rPr>
          <w:rFonts w:ascii="Book Antiqua" w:hAnsi="Book Antiqua"/>
          <w:szCs w:val="24"/>
        </w:rPr>
        <w:t xml:space="preserve"> el efecto</w:t>
      </w:r>
      <w:r w:rsidR="00A464BB">
        <w:rPr>
          <w:rFonts w:ascii="Book Antiqua" w:hAnsi="Book Antiqua"/>
          <w:szCs w:val="24"/>
        </w:rPr>
        <w:t xml:space="preserve"> </w:t>
      </w:r>
      <w:r w:rsidR="005F69CD">
        <w:rPr>
          <w:rFonts w:ascii="Book Antiqua" w:hAnsi="Book Antiqua"/>
          <w:szCs w:val="24"/>
        </w:rPr>
        <w:t xml:space="preserve">dinámico que debe generar </w:t>
      </w:r>
      <w:r w:rsidR="00012481">
        <w:rPr>
          <w:rFonts w:ascii="Book Antiqua" w:hAnsi="Book Antiqua"/>
          <w:szCs w:val="24"/>
        </w:rPr>
        <w:t>el PC 501</w:t>
      </w:r>
      <w:r w:rsidR="005F69CD">
        <w:rPr>
          <w:rFonts w:ascii="Book Antiqua" w:hAnsi="Book Antiqua"/>
          <w:szCs w:val="24"/>
        </w:rPr>
        <w:t xml:space="preserve"> según se </w:t>
      </w:r>
      <w:r w:rsidR="00BC7B0F">
        <w:rPr>
          <w:rFonts w:ascii="Book Antiqua" w:hAnsi="Book Antiqua"/>
          <w:szCs w:val="24"/>
        </w:rPr>
        <w:t xml:space="preserve">estima en el informe preparado por Estudios </w:t>
      </w:r>
      <w:r w:rsidR="00D42B19">
        <w:rPr>
          <w:rFonts w:ascii="Book Antiqua" w:hAnsi="Book Antiqua"/>
          <w:szCs w:val="24"/>
        </w:rPr>
        <w:t>Técnicos</w:t>
      </w:r>
      <w:r w:rsidR="00BC7B0F">
        <w:rPr>
          <w:rFonts w:ascii="Book Antiqua" w:hAnsi="Book Antiqua"/>
          <w:szCs w:val="24"/>
        </w:rPr>
        <w:t xml:space="preserve"> y </w:t>
      </w:r>
      <w:r w:rsidR="004E5C36">
        <w:rPr>
          <w:rFonts w:ascii="Book Antiqua" w:hAnsi="Book Antiqua"/>
          <w:szCs w:val="24"/>
        </w:rPr>
        <w:t xml:space="preserve">el aumento en </w:t>
      </w:r>
      <w:r w:rsidR="00D42B19">
        <w:rPr>
          <w:rFonts w:ascii="Book Antiqua" w:hAnsi="Book Antiqua"/>
          <w:szCs w:val="24"/>
        </w:rPr>
        <w:t>recaudos</w:t>
      </w:r>
      <w:r w:rsidR="004E5C36">
        <w:rPr>
          <w:rFonts w:ascii="Book Antiqua" w:hAnsi="Book Antiqua"/>
          <w:szCs w:val="24"/>
        </w:rPr>
        <w:t xml:space="preserve"> generado por el PC 505 entendemos que </w:t>
      </w:r>
      <w:r w:rsidR="00436ED6">
        <w:rPr>
          <w:rFonts w:ascii="Book Antiqua" w:hAnsi="Book Antiqua"/>
          <w:szCs w:val="24"/>
        </w:rPr>
        <w:t xml:space="preserve">la aprobación de estas medidas generaría los </w:t>
      </w:r>
      <w:r w:rsidR="00D42B19">
        <w:rPr>
          <w:rFonts w:ascii="Book Antiqua" w:hAnsi="Book Antiqua"/>
          <w:szCs w:val="24"/>
        </w:rPr>
        <w:t>recaudos</w:t>
      </w:r>
      <w:r w:rsidR="00436ED6">
        <w:rPr>
          <w:rFonts w:ascii="Book Antiqua" w:hAnsi="Book Antiqua"/>
          <w:szCs w:val="24"/>
        </w:rPr>
        <w:t xml:space="preserve"> suficientes para cumplir con el </w:t>
      </w:r>
      <w:r w:rsidR="00D42B19">
        <w:rPr>
          <w:rFonts w:ascii="Book Antiqua" w:hAnsi="Book Antiqua"/>
          <w:szCs w:val="24"/>
        </w:rPr>
        <w:t xml:space="preserve">requerimiento de neutralidad </w:t>
      </w:r>
      <w:r w:rsidR="003E152B">
        <w:rPr>
          <w:rFonts w:ascii="Book Antiqua" w:hAnsi="Book Antiqua"/>
          <w:szCs w:val="24"/>
        </w:rPr>
        <w:t xml:space="preserve">fiscal </w:t>
      </w:r>
      <w:r w:rsidR="00D42B19">
        <w:rPr>
          <w:rFonts w:ascii="Book Antiqua" w:hAnsi="Book Antiqua"/>
          <w:szCs w:val="24"/>
        </w:rPr>
        <w:t xml:space="preserve">requerido por </w:t>
      </w:r>
      <w:r w:rsidR="003E152B">
        <w:rPr>
          <w:rFonts w:ascii="Book Antiqua" w:hAnsi="Book Antiqua"/>
          <w:szCs w:val="24"/>
        </w:rPr>
        <w:t>el</w:t>
      </w:r>
      <w:r w:rsidR="00D42B19">
        <w:rPr>
          <w:rFonts w:ascii="Book Antiqua" w:hAnsi="Book Antiqua"/>
          <w:szCs w:val="24"/>
        </w:rPr>
        <w:t xml:space="preserve"> Plan Fiscal.</w:t>
      </w:r>
    </w:p>
    <w:p w14:paraId="08AAF075" w14:textId="15B58181" w:rsidR="00EE05AF" w:rsidRPr="0096316F" w:rsidRDefault="00EE05AF" w:rsidP="006625F3">
      <w:pPr>
        <w:spacing w:before="100" w:beforeAutospacing="1" w:after="120" w:line="276" w:lineRule="auto"/>
        <w:jc w:val="center"/>
        <w:rPr>
          <w:rFonts w:ascii="Book Antiqua" w:hAnsi="Book Antiqua"/>
          <w:b/>
          <w:szCs w:val="24"/>
        </w:rPr>
      </w:pPr>
      <w:r w:rsidRPr="0096316F">
        <w:rPr>
          <w:rFonts w:ascii="Book Antiqua" w:hAnsi="Book Antiqua"/>
          <w:b/>
          <w:szCs w:val="24"/>
        </w:rPr>
        <w:t>CONCLUSIÓN</w:t>
      </w:r>
    </w:p>
    <w:p w14:paraId="07746110" w14:textId="530186C4" w:rsidR="00E15113" w:rsidRDefault="00E15113" w:rsidP="00E15113">
      <w:pPr>
        <w:jc w:val="both"/>
        <w:rPr>
          <w:rFonts w:ascii="Book Antiqua" w:hAnsi="Book Antiqua"/>
          <w:color w:val="000000"/>
        </w:rPr>
      </w:pPr>
      <w:r w:rsidRPr="00E15113">
        <w:rPr>
          <w:rFonts w:ascii="Book Antiqua" w:hAnsi="Book Antiqua"/>
          <w:color w:val="000000"/>
        </w:rPr>
        <w:t>Después de considerar las ponencias y la evidencia técnica, la Comisión concluyó que el P</w:t>
      </w:r>
      <w:r w:rsidR="00BF0087">
        <w:rPr>
          <w:rFonts w:ascii="Book Antiqua" w:hAnsi="Book Antiqua"/>
          <w:color w:val="000000"/>
        </w:rPr>
        <w:t xml:space="preserve">. de la </w:t>
      </w:r>
      <w:r w:rsidRPr="00E15113">
        <w:rPr>
          <w:rFonts w:ascii="Book Antiqua" w:hAnsi="Book Antiqua"/>
          <w:color w:val="000000"/>
        </w:rPr>
        <w:t>C</w:t>
      </w:r>
      <w:r w:rsidR="00BF0087">
        <w:rPr>
          <w:rFonts w:ascii="Book Antiqua" w:hAnsi="Book Antiqua"/>
          <w:color w:val="000000"/>
        </w:rPr>
        <w:t>.</w:t>
      </w:r>
      <w:r w:rsidRPr="00E15113">
        <w:rPr>
          <w:rFonts w:ascii="Book Antiqua" w:hAnsi="Book Antiqua"/>
          <w:color w:val="000000"/>
        </w:rPr>
        <w:t xml:space="preserve"> 501 es una política pública con méritos claros en términos de equidad y potencial </w:t>
      </w:r>
      <w:r w:rsidR="001F5BE4">
        <w:rPr>
          <w:rFonts w:ascii="Book Antiqua" w:hAnsi="Book Antiqua"/>
          <w:color w:val="000000"/>
        </w:rPr>
        <w:t xml:space="preserve">de desarrollo </w:t>
      </w:r>
      <w:r w:rsidRPr="00E15113">
        <w:rPr>
          <w:rFonts w:ascii="Book Antiqua" w:hAnsi="Book Antiqua"/>
          <w:color w:val="000000"/>
        </w:rPr>
        <w:t>económico. Sin embargo, su éxito depende de un diseño normativo y administrativo riguroso, como la elaboración de reglamento</w:t>
      </w:r>
      <w:r w:rsidR="00FB0FB5">
        <w:rPr>
          <w:rFonts w:ascii="Book Antiqua" w:hAnsi="Book Antiqua"/>
          <w:color w:val="000000"/>
        </w:rPr>
        <w:t>s e informes</w:t>
      </w:r>
      <w:r w:rsidRPr="00E15113">
        <w:rPr>
          <w:rFonts w:ascii="Book Antiqua" w:hAnsi="Book Antiqua"/>
          <w:color w:val="000000"/>
        </w:rPr>
        <w:t xml:space="preserve">. Por ello, la Comisión recomienda incluir </w:t>
      </w:r>
      <w:r w:rsidR="007737D7">
        <w:rPr>
          <w:rFonts w:ascii="Book Antiqua" w:hAnsi="Book Antiqua"/>
          <w:color w:val="000000"/>
        </w:rPr>
        <w:t>enmiendas</w:t>
      </w:r>
      <w:r w:rsidRPr="00E15113">
        <w:rPr>
          <w:rFonts w:ascii="Book Antiqua" w:hAnsi="Book Antiqua"/>
          <w:color w:val="000000"/>
        </w:rPr>
        <w:t xml:space="preserve"> para abordar asuntos relacionados con la fiscalización, </w:t>
      </w:r>
      <w:r w:rsidR="00976001">
        <w:rPr>
          <w:rFonts w:ascii="Book Antiqua" w:hAnsi="Book Antiqua"/>
          <w:color w:val="000000"/>
        </w:rPr>
        <w:t>responsabilidad fiscal</w:t>
      </w:r>
      <w:r w:rsidR="007737D7">
        <w:rPr>
          <w:rFonts w:ascii="Book Antiqua" w:hAnsi="Book Antiqua"/>
          <w:color w:val="000000"/>
        </w:rPr>
        <w:t xml:space="preserve"> y </w:t>
      </w:r>
      <w:r w:rsidRPr="00E15113">
        <w:rPr>
          <w:rFonts w:ascii="Book Antiqua" w:hAnsi="Book Antiqua"/>
          <w:color w:val="000000"/>
        </w:rPr>
        <w:t xml:space="preserve">transparencia. </w:t>
      </w:r>
    </w:p>
    <w:p w14:paraId="52EAFF2F" w14:textId="77777777" w:rsidR="00E15113" w:rsidRDefault="00E15113" w:rsidP="00E15113">
      <w:pPr>
        <w:jc w:val="both"/>
        <w:rPr>
          <w:rFonts w:ascii="Book Antiqua" w:hAnsi="Book Antiqua"/>
          <w:color w:val="000000"/>
        </w:rPr>
      </w:pPr>
    </w:p>
    <w:p w14:paraId="4B460D58" w14:textId="4EDE7B25" w:rsidR="00AC305C" w:rsidRDefault="00E15113" w:rsidP="00E15113">
      <w:pPr>
        <w:jc w:val="both"/>
      </w:pPr>
      <w:r w:rsidRPr="00E15113">
        <w:rPr>
          <w:rFonts w:ascii="Book Antiqua" w:hAnsi="Book Antiqua"/>
          <w:color w:val="000000"/>
        </w:rPr>
        <w:lastRenderedPageBreak/>
        <w:t>La Comisión de Hacienda considera que esta medida ayudará a reducir las disparidades entre los contribuyentes residentes en Puerto Rico y aquellos acogidos a decretos bajo la Ley 60-2019. Además, permitirá que los nuevos y actuales contribuyentes reinviertan en la economía de la Isla, fortaleciendo así la actividad y el desarrollo económico sostenible.</w:t>
      </w:r>
    </w:p>
    <w:p w14:paraId="1E645E47" w14:textId="77777777" w:rsidR="00E15113" w:rsidRDefault="00E15113" w:rsidP="00E15113">
      <w:pPr>
        <w:jc w:val="both"/>
      </w:pPr>
    </w:p>
    <w:p w14:paraId="26945427" w14:textId="003FA1D4" w:rsidR="00C30D74" w:rsidRPr="00E15113" w:rsidRDefault="004101D7" w:rsidP="004101D7">
      <w:r w:rsidRPr="004101D7">
        <w:rPr>
          <w:rFonts w:ascii="Book Antiqua" w:hAnsi="Book Antiqua"/>
          <w:color w:val="000000"/>
        </w:rPr>
        <w:t>Es fundamental capacitar a los residentes locales para impulsar la generación de riqueza en Puerto Rico, ya que est</w:t>
      </w:r>
      <w:r w:rsidR="00C26FD1">
        <w:rPr>
          <w:rFonts w:ascii="Book Antiqua" w:hAnsi="Book Antiqua"/>
          <w:color w:val="000000"/>
        </w:rPr>
        <w:t>a</w:t>
      </w:r>
      <w:r w:rsidRPr="004101D7">
        <w:rPr>
          <w:rFonts w:ascii="Book Antiqua" w:hAnsi="Book Antiqua"/>
          <w:color w:val="000000"/>
        </w:rPr>
        <w:t xml:space="preserve"> tiende a permanecer dentro de la economía local y ofrece un mayor retorno. Es</w:t>
      </w:r>
      <w:r w:rsidR="00B522F0">
        <w:rPr>
          <w:rFonts w:ascii="Book Antiqua" w:hAnsi="Book Antiqua"/>
          <w:color w:val="000000"/>
        </w:rPr>
        <w:t>t</w:t>
      </w:r>
      <w:r w:rsidRPr="004101D7">
        <w:rPr>
          <w:rFonts w:ascii="Book Antiqua" w:hAnsi="Book Antiqua"/>
          <w:color w:val="000000"/>
        </w:rPr>
        <w:t>e capital debe traducirse en iniciativas comunitarias, educación, nuevas empresas familiares y el fortalecimiento de la economía para alcanzar un desarrollo sostenible.</w:t>
      </w:r>
    </w:p>
    <w:p w14:paraId="7B3922FC" w14:textId="33F3BBD1" w:rsidR="00E40CF6" w:rsidRPr="00EA0333" w:rsidRDefault="00EE05AF" w:rsidP="00EA0333">
      <w:pPr>
        <w:spacing w:before="100" w:beforeAutospacing="1" w:after="120" w:line="276" w:lineRule="auto"/>
        <w:jc w:val="both"/>
        <w:rPr>
          <w:rFonts w:ascii="Book Antiqua" w:hAnsi="Book Antiqua"/>
          <w:szCs w:val="24"/>
        </w:rPr>
      </w:pPr>
      <w:r w:rsidRPr="0096316F">
        <w:rPr>
          <w:rFonts w:ascii="Book Antiqua" w:hAnsi="Book Antiqua"/>
          <w:b/>
          <w:szCs w:val="24"/>
        </w:rPr>
        <w:t>POR TODO LO ANTES EXPUESTO</w:t>
      </w:r>
      <w:r w:rsidRPr="0096316F">
        <w:rPr>
          <w:rFonts w:ascii="Book Antiqua" w:hAnsi="Book Antiqua"/>
          <w:szCs w:val="24"/>
        </w:rPr>
        <w:t xml:space="preserve">, la Comisión Hacienda de la Cámara de Representantes de Puerto Rico, luego del estudio y consideración correspondiente, </w:t>
      </w:r>
      <w:r w:rsidR="001D2028" w:rsidRPr="0096316F">
        <w:rPr>
          <w:rFonts w:ascii="Book Antiqua" w:hAnsi="Book Antiqua"/>
          <w:szCs w:val="24"/>
        </w:rPr>
        <w:t xml:space="preserve">tiene a bien recomendar a este </w:t>
      </w:r>
      <w:r w:rsidR="00671714">
        <w:rPr>
          <w:rFonts w:ascii="Book Antiqua" w:hAnsi="Book Antiqua"/>
          <w:szCs w:val="24"/>
        </w:rPr>
        <w:t>Honorable</w:t>
      </w:r>
      <w:r w:rsidR="001D2028" w:rsidRPr="0096316F">
        <w:rPr>
          <w:rFonts w:ascii="Book Antiqua" w:hAnsi="Book Antiqua"/>
          <w:szCs w:val="24"/>
        </w:rPr>
        <w:t xml:space="preserve"> Cuerpo la aprobación del P. de la C. </w:t>
      </w:r>
      <w:r w:rsidR="00AC305C" w:rsidRPr="0096316F">
        <w:rPr>
          <w:rFonts w:ascii="Book Antiqua" w:hAnsi="Book Antiqua"/>
          <w:szCs w:val="24"/>
        </w:rPr>
        <w:t xml:space="preserve">501, </w:t>
      </w:r>
      <w:r w:rsidR="0034425C">
        <w:rPr>
          <w:rFonts w:ascii="Book Antiqua" w:hAnsi="Book Antiqua"/>
          <w:szCs w:val="24"/>
        </w:rPr>
        <w:t xml:space="preserve">con las enmiendas </w:t>
      </w:r>
      <w:r w:rsidR="00EA0333">
        <w:rPr>
          <w:rFonts w:ascii="Book Antiqua" w:hAnsi="Book Antiqua"/>
          <w:szCs w:val="24"/>
        </w:rPr>
        <w:t>incluidas en el</w:t>
      </w:r>
      <w:r w:rsidR="0076298F">
        <w:rPr>
          <w:rFonts w:ascii="Book Antiqua" w:hAnsi="Book Antiqua"/>
          <w:szCs w:val="24"/>
        </w:rPr>
        <w:t xml:space="preserve"> </w:t>
      </w:r>
      <w:proofErr w:type="spellStart"/>
      <w:r w:rsidR="0076298F">
        <w:rPr>
          <w:rFonts w:ascii="Book Antiqua" w:hAnsi="Book Antiqua"/>
          <w:szCs w:val="24"/>
        </w:rPr>
        <w:t>entirrillado</w:t>
      </w:r>
      <w:proofErr w:type="spellEnd"/>
      <w:r w:rsidR="00EA0333">
        <w:rPr>
          <w:rFonts w:ascii="Book Antiqua" w:hAnsi="Book Antiqua"/>
          <w:szCs w:val="24"/>
        </w:rPr>
        <w:t xml:space="preserve"> electrónico que se acompaña</w:t>
      </w:r>
      <w:r w:rsidR="00AC305C" w:rsidRPr="0096316F">
        <w:rPr>
          <w:rFonts w:ascii="Book Antiqua" w:hAnsi="Book Antiqua"/>
          <w:szCs w:val="24"/>
        </w:rPr>
        <w:t>.</w:t>
      </w:r>
    </w:p>
    <w:p w14:paraId="5A002697" w14:textId="77777777" w:rsidR="00E40CF6" w:rsidRPr="00EA0333" w:rsidRDefault="00E40CF6" w:rsidP="004101D7">
      <w:pPr>
        <w:spacing w:before="120" w:after="240"/>
        <w:jc w:val="both"/>
        <w:rPr>
          <w:rFonts w:ascii="Book Antiqua" w:hAnsi="Book Antiqua"/>
          <w:b/>
          <w:szCs w:val="24"/>
          <w:lang w:val="it-IT"/>
        </w:rPr>
      </w:pPr>
      <w:r w:rsidRPr="00EA0333">
        <w:rPr>
          <w:rFonts w:ascii="Book Antiqua" w:hAnsi="Book Antiqua"/>
          <w:b/>
          <w:szCs w:val="24"/>
          <w:lang w:val="it-IT"/>
        </w:rPr>
        <w:t>Respetuosamente sometido,</w:t>
      </w:r>
    </w:p>
    <w:p w14:paraId="52D5513C" w14:textId="77777777" w:rsidR="00E40CF6" w:rsidRPr="00EA0333" w:rsidRDefault="00E40CF6" w:rsidP="006F03EF">
      <w:pPr>
        <w:ind w:left="720"/>
        <w:jc w:val="both"/>
        <w:rPr>
          <w:rFonts w:ascii="Book Antiqua" w:hAnsi="Book Antiqua"/>
          <w:szCs w:val="24"/>
          <w:lang w:val="it-IT"/>
        </w:rPr>
      </w:pPr>
    </w:p>
    <w:p w14:paraId="5C9A5797" w14:textId="77777777" w:rsidR="00FD22D0" w:rsidRPr="00EA0333" w:rsidRDefault="00FD22D0" w:rsidP="006F03EF">
      <w:pPr>
        <w:ind w:left="720"/>
        <w:jc w:val="both"/>
        <w:rPr>
          <w:rFonts w:ascii="Book Antiqua" w:hAnsi="Book Antiqua"/>
          <w:szCs w:val="24"/>
          <w:lang w:val="it-IT"/>
        </w:rPr>
      </w:pPr>
    </w:p>
    <w:p w14:paraId="281F322B" w14:textId="77777777" w:rsidR="00E40CF6" w:rsidRPr="00EA0333" w:rsidRDefault="00E40CF6" w:rsidP="006F03EF">
      <w:pPr>
        <w:ind w:left="720"/>
        <w:jc w:val="both"/>
        <w:rPr>
          <w:rFonts w:ascii="Book Antiqua" w:hAnsi="Book Antiqua"/>
          <w:szCs w:val="24"/>
          <w:lang w:val="it-IT"/>
        </w:rPr>
      </w:pPr>
    </w:p>
    <w:p w14:paraId="2359307E" w14:textId="77777777" w:rsidR="00AF46A6" w:rsidRPr="00EA0333" w:rsidRDefault="00AF46A6" w:rsidP="00AA3B49">
      <w:pPr>
        <w:ind w:firstLine="720"/>
        <w:jc w:val="both"/>
        <w:rPr>
          <w:rFonts w:ascii="Book Antiqua" w:hAnsi="Book Antiqua"/>
          <w:szCs w:val="24"/>
          <w:lang w:val="it-IT"/>
        </w:rPr>
      </w:pPr>
    </w:p>
    <w:p w14:paraId="23942E16" w14:textId="146C8C90" w:rsidR="00E40CF6" w:rsidRPr="00EA0333" w:rsidRDefault="008E3326" w:rsidP="004101D7">
      <w:pPr>
        <w:jc w:val="both"/>
        <w:rPr>
          <w:rFonts w:ascii="Book Antiqua" w:hAnsi="Book Antiqua"/>
          <w:szCs w:val="24"/>
          <w:lang w:val="it-IT"/>
        </w:rPr>
      </w:pPr>
      <w:r w:rsidRPr="00EA0333">
        <w:rPr>
          <w:rFonts w:ascii="Book Antiqua" w:hAnsi="Book Antiqua"/>
          <w:szCs w:val="24"/>
          <w:lang w:val="it-IT"/>
        </w:rPr>
        <w:t xml:space="preserve">Hon. </w:t>
      </w:r>
      <w:r w:rsidR="00DC3DEB" w:rsidRPr="00EA0333">
        <w:rPr>
          <w:rFonts w:ascii="Book Antiqua" w:hAnsi="Book Antiqua"/>
          <w:szCs w:val="24"/>
          <w:lang w:val="it-IT"/>
        </w:rPr>
        <w:t>Eddie Charbonier Chinea</w:t>
      </w:r>
      <w:r w:rsidR="00E40CF6" w:rsidRPr="00EA0333">
        <w:rPr>
          <w:rFonts w:ascii="Book Antiqua" w:hAnsi="Book Antiqua"/>
          <w:szCs w:val="24"/>
          <w:lang w:val="it-IT"/>
        </w:rPr>
        <w:tab/>
      </w:r>
    </w:p>
    <w:p w14:paraId="06B8C522" w14:textId="77777777" w:rsidR="00E40CF6" w:rsidRPr="00A87AFD" w:rsidRDefault="00A31BE0" w:rsidP="004101D7">
      <w:pPr>
        <w:jc w:val="both"/>
        <w:rPr>
          <w:rFonts w:ascii="Book Antiqua" w:hAnsi="Book Antiqua"/>
          <w:szCs w:val="24"/>
          <w:lang w:val="es-ES_tradnl"/>
        </w:rPr>
      </w:pPr>
      <w:r w:rsidRPr="00A87AFD">
        <w:rPr>
          <w:rFonts w:ascii="Book Antiqua" w:hAnsi="Book Antiqua"/>
          <w:szCs w:val="24"/>
          <w:lang w:val="es-ES_tradnl"/>
        </w:rPr>
        <w:t>Presidente</w:t>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p>
    <w:p w14:paraId="796F533C" w14:textId="649522A8" w:rsidR="00E40CF6" w:rsidRDefault="00E40CF6" w:rsidP="004101D7">
      <w:pPr>
        <w:jc w:val="both"/>
        <w:rPr>
          <w:rFonts w:ascii="Book Antiqua" w:hAnsi="Book Antiqua"/>
          <w:szCs w:val="24"/>
          <w:lang w:val="es-ES_tradnl"/>
        </w:rPr>
      </w:pPr>
      <w:r w:rsidRPr="00A87AFD">
        <w:rPr>
          <w:rFonts w:ascii="Book Antiqua" w:hAnsi="Book Antiqua"/>
          <w:szCs w:val="24"/>
          <w:lang w:val="es-ES_tradnl"/>
        </w:rPr>
        <w:t xml:space="preserve">Comisión de </w:t>
      </w:r>
      <w:r w:rsidR="00690F28">
        <w:rPr>
          <w:rFonts w:ascii="Book Antiqua" w:hAnsi="Book Antiqua"/>
          <w:szCs w:val="24"/>
          <w:lang w:val="es-ES_tradnl"/>
        </w:rPr>
        <w:t>Hacienda</w:t>
      </w:r>
    </w:p>
    <w:p w14:paraId="79093383" w14:textId="77777777" w:rsidR="00842A53" w:rsidRDefault="00842A53" w:rsidP="006F03EF">
      <w:pPr>
        <w:ind w:left="720"/>
        <w:jc w:val="both"/>
        <w:rPr>
          <w:rFonts w:ascii="Book Antiqua" w:hAnsi="Book Antiqua"/>
          <w:szCs w:val="24"/>
          <w:lang w:val="es-ES_tradnl"/>
        </w:rPr>
      </w:pPr>
    </w:p>
    <w:p w14:paraId="3ED9133E" w14:textId="77777777" w:rsidR="002D5F4E" w:rsidRDefault="002D5F4E" w:rsidP="006F03EF">
      <w:pPr>
        <w:ind w:left="720"/>
        <w:rPr>
          <w:rFonts w:ascii="Book Antiqua" w:hAnsi="Book Antiqua"/>
          <w:lang w:val="es-ES_tradnl"/>
        </w:rPr>
      </w:pPr>
    </w:p>
    <w:p w14:paraId="2676292B" w14:textId="77777777" w:rsidR="00115B6C" w:rsidRDefault="00115B6C" w:rsidP="006F03EF">
      <w:pPr>
        <w:ind w:left="720"/>
        <w:rPr>
          <w:rFonts w:ascii="Book Antiqua" w:hAnsi="Book Antiqua"/>
          <w:lang w:val="es-ES_tradnl"/>
        </w:rPr>
      </w:pPr>
    </w:p>
    <w:p w14:paraId="6119A3FC" w14:textId="77777777" w:rsidR="00115B6C" w:rsidRPr="00115B6C" w:rsidRDefault="00115B6C" w:rsidP="00D129F0">
      <w:pPr>
        <w:rPr>
          <w:rFonts w:ascii="Book Antiqua" w:hAnsi="Book Antiqua"/>
        </w:rPr>
      </w:pPr>
    </w:p>
    <w:sectPr w:rsidR="00115B6C" w:rsidRPr="00115B6C" w:rsidSect="00043754">
      <w:headerReference w:type="default" r:id="rId8"/>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1A365" w14:textId="77777777" w:rsidR="00D92A88" w:rsidRDefault="00D92A88">
      <w:r>
        <w:separator/>
      </w:r>
    </w:p>
  </w:endnote>
  <w:endnote w:type="continuationSeparator" w:id="0">
    <w:p w14:paraId="0FF6A641" w14:textId="77777777" w:rsidR="00D92A88" w:rsidRDefault="00D9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C91E" w14:textId="77777777" w:rsidR="00D92A88" w:rsidRDefault="00D92A88">
      <w:r>
        <w:separator/>
      </w:r>
    </w:p>
  </w:footnote>
  <w:footnote w:type="continuationSeparator" w:id="0">
    <w:p w14:paraId="73E47D7B" w14:textId="77777777" w:rsidR="00D92A88" w:rsidRDefault="00D92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A0C" w14:textId="77777777" w:rsidR="00E14DA5" w:rsidRDefault="001D630C">
    <w:pPr>
      <w:pStyle w:val="Header"/>
      <w:jc w:val="center"/>
    </w:pPr>
    <w:r>
      <w:rPr>
        <w:rStyle w:val="PageNumber"/>
      </w:rPr>
      <w:fldChar w:fldCharType="begin"/>
    </w:r>
    <w:r w:rsidR="00E14DA5">
      <w:rPr>
        <w:rStyle w:val="PageNumber"/>
      </w:rPr>
      <w:instrText xml:space="preserve"> PAGE </w:instrText>
    </w:r>
    <w:r>
      <w:rPr>
        <w:rStyle w:val="PageNumber"/>
      </w:rPr>
      <w:fldChar w:fldCharType="separate"/>
    </w:r>
    <w:r w:rsidR="006A3BE8">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6157D3"/>
    <w:multiLevelType w:val="hybridMultilevel"/>
    <w:tmpl w:val="28BCF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4E54D14"/>
    <w:multiLevelType w:val="hybridMultilevel"/>
    <w:tmpl w:val="839208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6097417">
    <w:abstractNumId w:val="4"/>
  </w:num>
  <w:num w:numId="2" w16cid:durableId="140466067">
    <w:abstractNumId w:val="0"/>
  </w:num>
  <w:num w:numId="3" w16cid:durableId="68042144">
    <w:abstractNumId w:val="2"/>
  </w:num>
  <w:num w:numId="4" w16cid:durableId="307174337">
    <w:abstractNumId w:val="0"/>
  </w:num>
  <w:num w:numId="5" w16cid:durableId="933589269">
    <w:abstractNumId w:val="2"/>
  </w:num>
  <w:num w:numId="6" w16cid:durableId="1231694369">
    <w:abstractNumId w:val="3"/>
  </w:num>
  <w:num w:numId="7" w16cid:durableId="618101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FFF"/>
    <w:rsid w:val="000001AB"/>
    <w:rsid w:val="00001AC6"/>
    <w:rsid w:val="0000596C"/>
    <w:rsid w:val="0000626C"/>
    <w:rsid w:val="00012481"/>
    <w:rsid w:val="0001265C"/>
    <w:rsid w:val="00023B98"/>
    <w:rsid w:val="00027760"/>
    <w:rsid w:val="000325D8"/>
    <w:rsid w:val="000333CA"/>
    <w:rsid w:val="000335DE"/>
    <w:rsid w:val="00033A69"/>
    <w:rsid w:val="00035804"/>
    <w:rsid w:val="00043754"/>
    <w:rsid w:val="00060A31"/>
    <w:rsid w:val="00064056"/>
    <w:rsid w:val="00064118"/>
    <w:rsid w:val="00071096"/>
    <w:rsid w:val="00072BC4"/>
    <w:rsid w:val="0007394F"/>
    <w:rsid w:val="00074AB6"/>
    <w:rsid w:val="00074AD7"/>
    <w:rsid w:val="00077CEC"/>
    <w:rsid w:val="00083227"/>
    <w:rsid w:val="00090A30"/>
    <w:rsid w:val="00092376"/>
    <w:rsid w:val="00094F97"/>
    <w:rsid w:val="00095CFE"/>
    <w:rsid w:val="000960F9"/>
    <w:rsid w:val="000973BA"/>
    <w:rsid w:val="000A7A6D"/>
    <w:rsid w:val="000B1F5E"/>
    <w:rsid w:val="000B20A8"/>
    <w:rsid w:val="000B6141"/>
    <w:rsid w:val="000C057A"/>
    <w:rsid w:val="000D4714"/>
    <w:rsid w:val="000D649C"/>
    <w:rsid w:val="000E1605"/>
    <w:rsid w:val="000E5521"/>
    <w:rsid w:val="000E5C6D"/>
    <w:rsid w:val="000F0633"/>
    <w:rsid w:val="000F2D88"/>
    <w:rsid w:val="000F6E6A"/>
    <w:rsid w:val="000F75CB"/>
    <w:rsid w:val="00103031"/>
    <w:rsid w:val="00105072"/>
    <w:rsid w:val="00112A90"/>
    <w:rsid w:val="00115B6C"/>
    <w:rsid w:val="0012047C"/>
    <w:rsid w:val="00124BED"/>
    <w:rsid w:val="00130D9C"/>
    <w:rsid w:val="001322DC"/>
    <w:rsid w:val="00135569"/>
    <w:rsid w:val="00140660"/>
    <w:rsid w:val="00141259"/>
    <w:rsid w:val="001423C6"/>
    <w:rsid w:val="0014627B"/>
    <w:rsid w:val="00152D7E"/>
    <w:rsid w:val="001641E9"/>
    <w:rsid w:val="0017265C"/>
    <w:rsid w:val="00175060"/>
    <w:rsid w:val="00175F0F"/>
    <w:rsid w:val="001762E5"/>
    <w:rsid w:val="00183608"/>
    <w:rsid w:val="001837FA"/>
    <w:rsid w:val="00184710"/>
    <w:rsid w:val="00184B04"/>
    <w:rsid w:val="00186134"/>
    <w:rsid w:val="0019463C"/>
    <w:rsid w:val="001A3664"/>
    <w:rsid w:val="001A43D1"/>
    <w:rsid w:val="001A64B6"/>
    <w:rsid w:val="001B2C29"/>
    <w:rsid w:val="001B3457"/>
    <w:rsid w:val="001B39A3"/>
    <w:rsid w:val="001B54C8"/>
    <w:rsid w:val="001C5AA8"/>
    <w:rsid w:val="001C77CF"/>
    <w:rsid w:val="001C7A9A"/>
    <w:rsid w:val="001D2028"/>
    <w:rsid w:val="001D630C"/>
    <w:rsid w:val="001E1FF7"/>
    <w:rsid w:val="001E5A75"/>
    <w:rsid w:val="001F5BE4"/>
    <w:rsid w:val="00205FE6"/>
    <w:rsid w:val="0021144C"/>
    <w:rsid w:val="00211CED"/>
    <w:rsid w:val="00216838"/>
    <w:rsid w:val="002233E5"/>
    <w:rsid w:val="0022396C"/>
    <w:rsid w:val="0022679F"/>
    <w:rsid w:val="00227064"/>
    <w:rsid w:val="00236229"/>
    <w:rsid w:val="00241F13"/>
    <w:rsid w:val="00243C57"/>
    <w:rsid w:val="00243F70"/>
    <w:rsid w:val="00250C98"/>
    <w:rsid w:val="00253ED7"/>
    <w:rsid w:val="0025404F"/>
    <w:rsid w:val="002558CA"/>
    <w:rsid w:val="0026234E"/>
    <w:rsid w:val="00262657"/>
    <w:rsid w:val="00280307"/>
    <w:rsid w:val="002810F4"/>
    <w:rsid w:val="002811B2"/>
    <w:rsid w:val="0028581B"/>
    <w:rsid w:val="002859B3"/>
    <w:rsid w:val="00286E07"/>
    <w:rsid w:val="00290EE5"/>
    <w:rsid w:val="00291E6D"/>
    <w:rsid w:val="002922BD"/>
    <w:rsid w:val="0029408C"/>
    <w:rsid w:val="002961D4"/>
    <w:rsid w:val="002A08F7"/>
    <w:rsid w:val="002A2AEC"/>
    <w:rsid w:val="002A38C2"/>
    <w:rsid w:val="002A4DBF"/>
    <w:rsid w:val="002C156F"/>
    <w:rsid w:val="002C16E2"/>
    <w:rsid w:val="002C6868"/>
    <w:rsid w:val="002C7451"/>
    <w:rsid w:val="002D2707"/>
    <w:rsid w:val="002D5F4E"/>
    <w:rsid w:val="002D65B5"/>
    <w:rsid w:val="002E6EB8"/>
    <w:rsid w:val="002E7680"/>
    <w:rsid w:val="002F46D8"/>
    <w:rsid w:val="00301C63"/>
    <w:rsid w:val="003056AE"/>
    <w:rsid w:val="00307653"/>
    <w:rsid w:val="00307DF5"/>
    <w:rsid w:val="0031430A"/>
    <w:rsid w:val="0031731B"/>
    <w:rsid w:val="00317A4C"/>
    <w:rsid w:val="003218FB"/>
    <w:rsid w:val="00327096"/>
    <w:rsid w:val="00331F64"/>
    <w:rsid w:val="00334641"/>
    <w:rsid w:val="003421CB"/>
    <w:rsid w:val="0034425C"/>
    <w:rsid w:val="00351C6E"/>
    <w:rsid w:val="003619D2"/>
    <w:rsid w:val="00362E37"/>
    <w:rsid w:val="003631D5"/>
    <w:rsid w:val="00367EF3"/>
    <w:rsid w:val="00371531"/>
    <w:rsid w:val="00373B43"/>
    <w:rsid w:val="00380550"/>
    <w:rsid w:val="00381E20"/>
    <w:rsid w:val="003878BB"/>
    <w:rsid w:val="00387D4A"/>
    <w:rsid w:val="00392F03"/>
    <w:rsid w:val="003954D3"/>
    <w:rsid w:val="003963EC"/>
    <w:rsid w:val="003973E8"/>
    <w:rsid w:val="003A3E86"/>
    <w:rsid w:val="003A422B"/>
    <w:rsid w:val="003A42A0"/>
    <w:rsid w:val="003A43C5"/>
    <w:rsid w:val="003A69F8"/>
    <w:rsid w:val="003A752E"/>
    <w:rsid w:val="003B5DFD"/>
    <w:rsid w:val="003B5F9C"/>
    <w:rsid w:val="003B6FFF"/>
    <w:rsid w:val="003C0EB3"/>
    <w:rsid w:val="003C12B8"/>
    <w:rsid w:val="003C3B39"/>
    <w:rsid w:val="003C59B6"/>
    <w:rsid w:val="003D25C5"/>
    <w:rsid w:val="003D32CD"/>
    <w:rsid w:val="003E152B"/>
    <w:rsid w:val="003E1D13"/>
    <w:rsid w:val="003F42CB"/>
    <w:rsid w:val="00400CE4"/>
    <w:rsid w:val="004101D7"/>
    <w:rsid w:val="00411411"/>
    <w:rsid w:val="00415759"/>
    <w:rsid w:val="00426A22"/>
    <w:rsid w:val="004300B7"/>
    <w:rsid w:val="004311B0"/>
    <w:rsid w:val="00436ED6"/>
    <w:rsid w:val="00437274"/>
    <w:rsid w:val="00443AD7"/>
    <w:rsid w:val="00447F71"/>
    <w:rsid w:val="00455BD3"/>
    <w:rsid w:val="00461296"/>
    <w:rsid w:val="004617A0"/>
    <w:rsid w:val="00462613"/>
    <w:rsid w:val="0046266B"/>
    <w:rsid w:val="00472C98"/>
    <w:rsid w:val="0047431A"/>
    <w:rsid w:val="004763C5"/>
    <w:rsid w:val="004779B3"/>
    <w:rsid w:val="004903D1"/>
    <w:rsid w:val="00490A50"/>
    <w:rsid w:val="00490DF7"/>
    <w:rsid w:val="00491178"/>
    <w:rsid w:val="00493D87"/>
    <w:rsid w:val="004A6AC1"/>
    <w:rsid w:val="004A7692"/>
    <w:rsid w:val="004B120A"/>
    <w:rsid w:val="004B7EAF"/>
    <w:rsid w:val="004C082B"/>
    <w:rsid w:val="004C5931"/>
    <w:rsid w:val="004D0748"/>
    <w:rsid w:val="004D092E"/>
    <w:rsid w:val="004D67D9"/>
    <w:rsid w:val="004D7EE1"/>
    <w:rsid w:val="004E2EFB"/>
    <w:rsid w:val="004E4389"/>
    <w:rsid w:val="004E5C36"/>
    <w:rsid w:val="004F1737"/>
    <w:rsid w:val="004F323D"/>
    <w:rsid w:val="004F5426"/>
    <w:rsid w:val="004F7CF7"/>
    <w:rsid w:val="005039AB"/>
    <w:rsid w:val="00507DA9"/>
    <w:rsid w:val="00512B58"/>
    <w:rsid w:val="00514B66"/>
    <w:rsid w:val="00522210"/>
    <w:rsid w:val="00523640"/>
    <w:rsid w:val="0052599B"/>
    <w:rsid w:val="00532D26"/>
    <w:rsid w:val="00534636"/>
    <w:rsid w:val="00535C4C"/>
    <w:rsid w:val="005375C0"/>
    <w:rsid w:val="00540E55"/>
    <w:rsid w:val="00544A5A"/>
    <w:rsid w:val="00545B3D"/>
    <w:rsid w:val="00552818"/>
    <w:rsid w:val="00555B4E"/>
    <w:rsid w:val="00563A6B"/>
    <w:rsid w:val="00564473"/>
    <w:rsid w:val="00565842"/>
    <w:rsid w:val="00570D96"/>
    <w:rsid w:val="005721E1"/>
    <w:rsid w:val="0057562B"/>
    <w:rsid w:val="0057706D"/>
    <w:rsid w:val="00577F6E"/>
    <w:rsid w:val="00581E95"/>
    <w:rsid w:val="005874DA"/>
    <w:rsid w:val="0058753D"/>
    <w:rsid w:val="00591FA3"/>
    <w:rsid w:val="005938C3"/>
    <w:rsid w:val="00594FEE"/>
    <w:rsid w:val="00597AE6"/>
    <w:rsid w:val="005A7DD9"/>
    <w:rsid w:val="005B51C3"/>
    <w:rsid w:val="005C048C"/>
    <w:rsid w:val="005C2CFB"/>
    <w:rsid w:val="005C349A"/>
    <w:rsid w:val="005C3E80"/>
    <w:rsid w:val="005C51FC"/>
    <w:rsid w:val="005C7209"/>
    <w:rsid w:val="005C743E"/>
    <w:rsid w:val="005C7D83"/>
    <w:rsid w:val="005D2242"/>
    <w:rsid w:val="005E2611"/>
    <w:rsid w:val="005F69CD"/>
    <w:rsid w:val="005F705E"/>
    <w:rsid w:val="006003EF"/>
    <w:rsid w:val="0060167B"/>
    <w:rsid w:val="00607E97"/>
    <w:rsid w:val="006158BB"/>
    <w:rsid w:val="0062048A"/>
    <w:rsid w:val="006205D4"/>
    <w:rsid w:val="00626E4B"/>
    <w:rsid w:val="00632CD1"/>
    <w:rsid w:val="00636789"/>
    <w:rsid w:val="006378F8"/>
    <w:rsid w:val="00641A43"/>
    <w:rsid w:val="00642C26"/>
    <w:rsid w:val="00643074"/>
    <w:rsid w:val="00645C25"/>
    <w:rsid w:val="00647AB6"/>
    <w:rsid w:val="00650D7A"/>
    <w:rsid w:val="006572AA"/>
    <w:rsid w:val="006617AE"/>
    <w:rsid w:val="006625F3"/>
    <w:rsid w:val="00663563"/>
    <w:rsid w:val="00665981"/>
    <w:rsid w:val="00671714"/>
    <w:rsid w:val="0067173D"/>
    <w:rsid w:val="00672F73"/>
    <w:rsid w:val="006815B8"/>
    <w:rsid w:val="006840AB"/>
    <w:rsid w:val="00686142"/>
    <w:rsid w:val="00690F28"/>
    <w:rsid w:val="006A3BE8"/>
    <w:rsid w:val="006A629A"/>
    <w:rsid w:val="006A7617"/>
    <w:rsid w:val="006B4E5C"/>
    <w:rsid w:val="006B6BE9"/>
    <w:rsid w:val="006B6F13"/>
    <w:rsid w:val="006C16C8"/>
    <w:rsid w:val="006C758A"/>
    <w:rsid w:val="006D1CE9"/>
    <w:rsid w:val="006D50F0"/>
    <w:rsid w:val="006D51F3"/>
    <w:rsid w:val="006D7E8A"/>
    <w:rsid w:val="006E48C3"/>
    <w:rsid w:val="006E7BD6"/>
    <w:rsid w:val="006F03EF"/>
    <w:rsid w:val="006F0B95"/>
    <w:rsid w:val="006F5DBA"/>
    <w:rsid w:val="00705F6A"/>
    <w:rsid w:val="00707271"/>
    <w:rsid w:val="007125A5"/>
    <w:rsid w:val="00712794"/>
    <w:rsid w:val="007204ED"/>
    <w:rsid w:val="00725943"/>
    <w:rsid w:val="00737C62"/>
    <w:rsid w:val="0074316E"/>
    <w:rsid w:val="007436E8"/>
    <w:rsid w:val="007463E0"/>
    <w:rsid w:val="00755818"/>
    <w:rsid w:val="007609A0"/>
    <w:rsid w:val="00762425"/>
    <w:rsid w:val="0076298F"/>
    <w:rsid w:val="007658F5"/>
    <w:rsid w:val="00765B62"/>
    <w:rsid w:val="00766E6C"/>
    <w:rsid w:val="00770C2C"/>
    <w:rsid w:val="007737D7"/>
    <w:rsid w:val="00777C6B"/>
    <w:rsid w:val="00786342"/>
    <w:rsid w:val="00794D14"/>
    <w:rsid w:val="00797BEA"/>
    <w:rsid w:val="007B56AB"/>
    <w:rsid w:val="007B716F"/>
    <w:rsid w:val="007C71B4"/>
    <w:rsid w:val="007D0119"/>
    <w:rsid w:val="007D088D"/>
    <w:rsid w:val="007D187F"/>
    <w:rsid w:val="007D3C07"/>
    <w:rsid w:val="007D5D77"/>
    <w:rsid w:val="007D6F3D"/>
    <w:rsid w:val="007E0183"/>
    <w:rsid w:val="007F60B8"/>
    <w:rsid w:val="00800E7A"/>
    <w:rsid w:val="008024DD"/>
    <w:rsid w:val="00803218"/>
    <w:rsid w:val="00811682"/>
    <w:rsid w:val="00817A25"/>
    <w:rsid w:val="008225EF"/>
    <w:rsid w:val="0082486A"/>
    <w:rsid w:val="008275AB"/>
    <w:rsid w:val="008322EA"/>
    <w:rsid w:val="008377A8"/>
    <w:rsid w:val="00840B00"/>
    <w:rsid w:val="00842A53"/>
    <w:rsid w:val="00842EBC"/>
    <w:rsid w:val="00842EF1"/>
    <w:rsid w:val="00843F00"/>
    <w:rsid w:val="00847468"/>
    <w:rsid w:val="008572B4"/>
    <w:rsid w:val="008605B5"/>
    <w:rsid w:val="008611B1"/>
    <w:rsid w:val="00861C18"/>
    <w:rsid w:val="00865BC1"/>
    <w:rsid w:val="00866C06"/>
    <w:rsid w:val="00872103"/>
    <w:rsid w:val="008722D8"/>
    <w:rsid w:val="00872CD0"/>
    <w:rsid w:val="008753D9"/>
    <w:rsid w:val="00880967"/>
    <w:rsid w:val="00881C8A"/>
    <w:rsid w:val="008962FB"/>
    <w:rsid w:val="008A146E"/>
    <w:rsid w:val="008A40C7"/>
    <w:rsid w:val="008A43E4"/>
    <w:rsid w:val="008A4C32"/>
    <w:rsid w:val="008A4D33"/>
    <w:rsid w:val="008A6040"/>
    <w:rsid w:val="008B1EF0"/>
    <w:rsid w:val="008B21EA"/>
    <w:rsid w:val="008B77D2"/>
    <w:rsid w:val="008B7F31"/>
    <w:rsid w:val="008C2194"/>
    <w:rsid w:val="008C24A0"/>
    <w:rsid w:val="008C5117"/>
    <w:rsid w:val="008D1ABF"/>
    <w:rsid w:val="008D48D5"/>
    <w:rsid w:val="008D763D"/>
    <w:rsid w:val="008E2CF3"/>
    <w:rsid w:val="008E3326"/>
    <w:rsid w:val="008E410E"/>
    <w:rsid w:val="008E7E0D"/>
    <w:rsid w:val="008F036A"/>
    <w:rsid w:val="008F3E3D"/>
    <w:rsid w:val="008F4931"/>
    <w:rsid w:val="00906E0D"/>
    <w:rsid w:val="00913BB6"/>
    <w:rsid w:val="009166F5"/>
    <w:rsid w:val="009170A4"/>
    <w:rsid w:val="0093045E"/>
    <w:rsid w:val="00937E14"/>
    <w:rsid w:val="009401DE"/>
    <w:rsid w:val="00944819"/>
    <w:rsid w:val="0095105D"/>
    <w:rsid w:val="009536BF"/>
    <w:rsid w:val="00956E6C"/>
    <w:rsid w:val="0096120D"/>
    <w:rsid w:val="00961A2F"/>
    <w:rsid w:val="0096316F"/>
    <w:rsid w:val="00963EC6"/>
    <w:rsid w:val="00965FC8"/>
    <w:rsid w:val="00966767"/>
    <w:rsid w:val="00967E05"/>
    <w:rsid w:val="00975FED"/>
    <w:rsid w:val="00976001"/>
    <w:rsid w:val="0098352E"/>
    <w:rsid w:val="0099172B"/>
    <w:rsid w:val="009977F3"/>
    <w:rsid w:val="009A0D71"/>
    <w:rsid w:val="009A1DC7"/>
    <w:rsid w:val="009A3087"/>
    <w:rsid w:val="009A484F"/>
    <w:rsid w:val="009B65B2"/>
    <w:rsid w:val="009C29D1"/>
    <w:rsid w:val="009C30C4"/>
    <w:rsid w:val="009C391D"/>
    <w:rsid w:val="009C3E52"/>
    <w:rsid w:val="009C6566"/>
    <w:rsid w:val="009D080D"/>
    <w:rsid w:val="009D0DA1"/>
    <w:rsid w:val="009D57B7"/>
    <w:rsid w:val="009D6027"/>
    <w:rsid w:val="009E1A4E"/>
    <w:rsid w:val="009E1F6B"/>
    <w:rsid w:val="009E252E"/>
    <w:rsid w:val="009E28BF"/>
    <w:rsid w:val="009F06CC"/>
    <w:rsid w:val="009F31CE"/>
    <w:rsid w:val="009F6F40"/>
    <w:rsid w:val="00A003BA"/>
    <w:rsid w:val="00A07124"/>
    <w:rsid w:val="00A10EB0"/>
    <w:rsid w:val="00A11D7B"/>
    <w:rsid w:val="00A13312"/>
    <w:rsid w:val="00A15068"/>
    <w:rsid w:val="00A16521"/>
    <w:rsid w:val="00A2107C"/>
    <w:rsid w:val="00A2243C"/>
    <w:rsid w:val="00A23133"/>
    <w:rsid w:val="00A233AA"/>
    <w:rsid w:val="00A26A11"/>
    <w:rsid w:val="00A31BE0"/>
    <w:rsid w:val="00A31C83"/>
    <w:rsid w:val="00A323F4"/>
    <w:rsid w:val="00A3697F"/>
    <w:rsid w:val="00A459DF"/>
    <w:rsid w:val="00A45F35"/>
    <w:rsid w:val="00A464BB"/>
    <w:rsid w:val="00A47F24"/>
    <w:rsid w:val="00A55566"/>
    <w:rsid w:val="00A5751D"/>
    <w:rsid w:val="00A66442"/>
    <w:rsid w:val="00A66D3B"/>
    <w:rsid w:val="00A703C7"/>
    <w:rsid w:val="00A76C46"/>
    <w:rsid w:val="00A814B3"/>
    <w:rsid w:val="00A82C15"/>
    <w:rsid w:val="00A847B5"/>
    <w:rsid w:val="00A86ED3"/>
    <w:rsid w:val="00A87AFD"/>
    <w:rsid w:val="00A9311D"/>
    <w:rsid w:val="00AA3AF9"/>
    <w:rsid w:val="00AA3B49"/>
    <w:rsid w:val="00AA5931"/>
    <w:rsid w:val="00AA5B42"/>
    <w:rsid w:val="00AB3A1F"/>
    <w:rsid w:val="00AB6098"/>
    <w:rsid w:val="00AC1E4E"/>
    <w:rsid w:val="00AC305C"/>
    <w:rsid w:val="00AC30A4"/>
    <w:rsid w:val="00AD6197"/>
    <w:rsid w:val="00AD6365"/>
    <w:rsid w:val="00AE2A3D"/>
    <w:rsid w:val="00AE4673"/>
    <w:rsid w:val="00AF0C57"/>
    <w:rsid w:val="00AF46A6"/>
    <w:rsid w:val="00AF5E8C"/>
    <w:rsid w:val="00AF730D"/>
    <w:rsid w:val="00B009F0"/>
    <w:rsid w:val="00B016E3"/>
    <w:rsid w:val="00B04A56"/>
    <w:rsid w:val="00B05E4B"/>
    <w:rsid w:val="00B06616"/>
    <w:rsid w:val="00B111FE"/>
    <w:rsid w:val="00B14CE3"/>
    <w:rsid w:val="00B2442E"/>
    <w:rsid w:val="00B24C19"/>
    <w:rsid w:val="00B2691F"/>
    <w:rsid w:val="00B30135"/>
    <w:rsid w:val="00B3236B"/>
    <w:rsid w:val="00B349AA"/>
    <w:rsid w:val="00B41F64"/>
    <w:rsid w:val="00B522F0"/>
    <w:rsid w:val="00B53234"/>
    <w:rsid w:val="00B561B2"/>
    <w:rsid w:val="00B56C2D"/>
    <w:rsid w:val="00B600E8"/>
    <w:rsid w:val="00B81783"/>
    <w:rsid w:val="00B82CF3"/>
    <w:rsid w:val="00B8515B"/>
    <w:rsid w:val="00B92A2A"/>
    <w:rsid w:val="00B935BE"/>
    <w:rsid w:val="00B976FA"/>
    <w:rsid w:val="00BA0F4E"/>
    <w:rsid w:val="00BA2723"/>
    <w:rsid w:val="00BA5BEC"/>
    <w:rsid w:val="00BB0303"/>
    <w:rsid w:val="00BB1AB5"/>
    <w:rsid w:val="00BB56A6"/>
    <w:rsid w:val="00BB6063"/>
    <w:rsid w:val="00BB6B29"/>
    <w:rsid w:val="00BC0809"/>
    <w:rsid w:val="00BC3B8E"/>
    <w:rsid w:val="00BC7B0F"/>
    <w:rsid w:val="00BD18CC"/>
    <w:rsid w:val="00BE3330"/>
    <w:rsid w:val="00BE594E"/>
    <w:rsid w:val="00BE6F35"/>
    <w:rsid w:val="00BE7478"/>
    <w:rsid w:val="00BF0087"/>
    <w:rsid w:val="00BF4A53"/>
    <w:rsid w:val="00C01738"/>
    <w:rsid w:val="00C057A8"/>
    <w:rsid w:val="00C130D7"/>
    <w:rsid w:val="00C1365B"/>
    <w:rsid w:val="00C14336"/>
    <w:rsid w:val="00C20FBC"/>
    <w:rsid w:val="00C22816"/>
    <w:rsid w:val="00C26FD1"/>
    <w:rsid w:val="00C30D74"/>
    <w:rsid w:val="00C33412"/>
    <w:rsid w:val="00C44F4C"/>
    <w:rsid w:val="00C51390"/>
    <w:rsid w:val="00C60AE1"/>
    <w:rsid w:val="00C61EB9"/>
    <w:rsid w:val="00C64596"/>
    <w:rsid w:val="00C654CC"/>
    <w:rsid w:val="00C65F6F"/>
    <w:rsid w:val="00C76663"/>
    <w:rsid w:val="00C766CA"/>
    <w:rsid w:val="00C76E6C"/>
    <w:rsid w:val="00C772BF"/>
    <w:rsid w:val="00C80A10"/>
    <w:rsid w:val="00C85B94"/>
    <w:rsid w:val="00C91733"/>
    <w:rsid w:val="00C91C09"/>
    <w:rsid w:val="00C94F0F"/>
    <w:rsid w:val="00C966D0"/>
    <w:rsid w:val="00CA2011"/>
    <w:rsid w:val="00CA39B5"/>
    <w:rsid w:val="00CC0B82"/>
    <w:rsid w:val="00CC2AE4"/>
    <w:rsid w:val="00CC333C"/>
    <w:rsid w:val="00CD0A12"/>
    <w:rsid w:val="00CE1A03"/>
    <w:rsid w:val="00CE296A"/>
    <w:rsid w:val="00CE2975"/>
    <w:rsid w:val="00CE59CE"/>
    <w:rsid w:val="00CE6AFB"/>
    <w:rsid w:val="00CF2509"/>
    <w:rsid w:val="00CF30EA"/>
    <w:rsid w:val="00CF3FAA"/>
    <w:rsid w:val="00CF635F"/>
    <w:rsid w:val="00D01171"/>
    <w:rsid w:val="00D016E5"/>
    <w:rsid w:val="00D06605"/>
    <w:rsid w:val="00D119D8"/>
    <w:rsid w:val="00D129F0"/>
    <w:rsid w:val="00D12DA1"/>
    <w:rsid w:val="00D14709"/>
    <w:rsid w:val="00D23385"/>
    <w:rsid w:val="00D23E17"/>
    <w:rsid w:val="00D25C03"/>
    <w:rsid w:val="00D262EA"/>
    <w:rsid w:val="00D3286F"/>
    <w:rsid w:val="00D35315"/>
    <w:rsid w:val="00D42B19"/>
    <w:rsid w:val="00D42DD7"/>
    <w:rsid w:val="00D46A4E"/>
    <w:rsid w:val="00D477BD"/>
    <w:rsid w:val="00D51B20"/>
    <w:rsid w:val="00D52DF7"/>
    <w:rsid w:val="00D55C2A"/>
    <w:rsid w:val="00D57534"/>
    <w:rsid w:val="00D656CB"/>
    <w:rsid w:val="00D67C9E"/>
    <w:rsid w:val="00D75C5B"/>
    <w:rsid w:val="00D76D8E"/>
    <w:rsid w:val="00D81938"/>
    <w:rsid w:val="00D81FFD"/>
    <w:rsid w:val="00D83718"/>
    <w:rsid w:val="00D839DD"/>
    <w:rsid w:val="00D83F31"/>
    <w:rsid w:val="00D92A88"/>
    <w:rsid w:val="00D92EB2"/>
    <w:rsid w:val="00D93029"/>
    <w:rsid w:val="00D93467"/>
    <w:rsid w:val="00D93EFD"/>
    <w:rsid w:val="00DA23E6"/>
    <w:rsid w:val="00DB12F2"/>
    <w:rsid w:val="00DB46AB"/>
    <w:rsid w:val="00DB5062"/>
    <w:rsid w:val="00DC24A8"/>
    <w:rsid w:val="00DC3DEB"/>
    <w:rsid w:val="00DC606D"/>
    <w:rsid w:val="00DC7B3D"/>
    <w:rsid w:val="00DD1425"/>
    <w:rsid w:val="00DD7966"/>
    <w:rsid w:val="00DD79BF"/>
    <w:rsid w:val="00DE3D01"/>
    <w:rsid w:val="00DE7C69"/>
    <w:rsid w:val="00DF015F"/>
    <w:rsid w:val="00DF1D3A"/>
    <w:rsid w:val="00DF2849"/>
    <w:rsid w:val="00DF33F8"/>
    <w:rsid w:val="00DF6BDA"/>
    <w:rsid w:val="00E04031"/>
    <w:rsid w:val="00E04806"/>
    <w:rsid w:val="00E048B1"/>
    <w:rsid w:val="00E06848"/>
    <w:rsid w:val="00E14DA5"/>
    <w:rsid w:val="00E15113"/>
    <w:rsid w:val="00E170ED"/>
    <w:rsid w:val="00E21702"/>
    <w:rsid w:val="00E36530"/>
    <w:rsid w:val="00E40CF6"/>
    <w:rsid w:val="00E41100"/>
    <w:rsid w:val="00E4720D"/>
    <w:rsid w:val="00E519D6"/>
    <w:rsid w:val="00E51EB5"/>
    <w:rsid w:val="00E625F5"/>
    <w:rsid w:val="00E731A0"/>
    <w:rsid w:val="00E73696"/>
    <w:rsid w:val="00E818BD"/>
    <w:rsid w:val="00E85151"/>
    <w:rsid w:val="00EA0333"/>
    <w:rsid w:val="00EA09F5"/>
    <w:rsid w:val="00EA2283"/>
    <w:rsid w:val="00EA4D82"/>
    <w:rsid w:val="00EA7828"/>
    <w:rsid w:val="00EB2DC9"/>
    <w:rsid w:val="00EB2ED9"/>
    <w:rsid w:val="00EB35B0"/>
    <w:rsid w:val="00EC0553"/>
    <w:rsid w:val="00EC2A73"/>
    <w:rsid w:val="00EC3B69"/>
    <w:rsid w:val="00EC7747"/>
    <w:rsid w:val="00ED18C6"/>
    <w:rsid w:val="00ED23DC"/>
    <w:rsid w:val="00ED26DC"/>
    <w:rsid w:val="00ED3608"/>
    <w:rsid w:val="00ED73EB"/>
    <w:rsid w:val="00EE05AF"/>
    <w:rsid w:val="00EE17CE"/>
    <w:rsid w:val="00EE1B61"/>
    <w:rsid w:val="00EE3004"/>
    <w:rsid w:val="00EF1A38"/>
    <w:rsid w:val="00EF46CD"/>
    <w:rsid w:val="00F000FD"/>
    <w:rsid w:val="00F00327"/>
    <w:rsid w:val="00F0166E"/>
    <w:rsid w:val="00F01A8B"/>
    <w:rsid w:val="00F0248C"/>
    <w:rsid w:val="00F024DB"/>
    <w:rsid w:val="00F03B5A"/>
    <w:rsid w:val="00F03B75"/>
    <w:rsid w:val="00F057EA"/>
    <w:rsid w:val="00F07F7F"/>
    <w:rsid w:val="00F1011B"/>
    <w:rsid w:val="00F15944"/>
    <w:rsid w:val="00F16AF1"/>
    <w:rsid w:val="00F2210F"/>
    <w:rsid w:val="00F229B3"/>
    <w:rsid w:val="00F24F16"/>
    <w:rsid w:val="00F30359"/>
    <w:rsid w:val="00F31D24"/>
    <w:rsid w:val="00F3434F"/>
    <w:rsid w:val="00F3692D"/>
    <w:rsid w:val="00F41C26"/>
    <w:rsid w:val="00F42394"/>
    <w:rsid w:val="00F45EB5"/>
    <w:rsid w:val="00F467F8"/>
    <w:rsid w:val="00F5369F"/>
    <w:rsid w:val="00F53B9D"/>
    <w:rsid w:val="00F53F18"/>
    <w:rsid w:val="00F578EE"/>
    <w:rsid w:val="00F63A40"/>
    <w:rsid w:val="00F65568"/>
    <w:rsid w:val="00F70C30"/>
    <w:rsid w:val="00F71342"/>
    <w:rsid w:val="00F74664"/>
    <w:rsid w:val="00F834B4"/>
    <w:rsid w:val="00F87989"/>
    <w:rsid w:val="00F92271"/>
    <w:rsid w:val="00F93085"/>
    <w:rsid w:val="00F945A3"/>
    <w:rsid w:val="00F94ED3"/>
    <w:rsid w:val="00FA5820"/>
    <w:rsid w:val="00FA5E5D"/>
    <w:rsid w:val="00FB0FB5"/>
    <w:rsid w:val="00FD21E3"/>
    <w:rsid w:val="00FD22D0"/>
    <w:rsid w:val="00FD6E1E"/>
    <w:rsid w:val="00FE6190"/>
    <w:rsid w:val="00FF468C"/>
    <w:rsid w:val="00FF5F91"/>
    <w:rsid w:val="00FF7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AA1E62"/>
  <w15:docId w15:val="{AAF4E09E-59B5-42F1-B1C1-DCBED5E2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pPr>
      <w:spacing w:after="0" w:line="240" w:lineRule="auto"/>
    </w:pPr>
    <w:rPr>
      <w:rFonts w:ascii="Times New Roman" w:eastAsia="Times New Roman" w:hAnsi="Times New Roman" w:cs="Times New Roman"/>
      <w:sz w:val="24"/>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basedOn w:val="DefaultParagraphFont"/>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1"/>
    <w:qFormat/>
    <w:rsid w:val="003B6FFF"/>
    <w:pPr>
      <w:spacing w:after="0" w:line="240" w:lineRule="auto"/>
    </w:pPr>
    <w:rPr>
      <w:rFonts w:ascii="Calibri" w:eastAsia="Times New Roman" w:hAnsi="Calibri" w:cs="Times New Roman"/>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pPr>
      <w:spacing w:after="0" w:line="240" w:lineRule="auto"/>
    </w:pPr>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character" w:styleId="Hyperlink">
    <w:name w:val="Hyperlink"/>
    <w:basedOn w:val="DefaultParagraphFont"/>
    <w:uiPriority w:val="99"/>
    <w:unhideWhenUsed/>
    <w:rsid w:val="00765B62"/>
    <w:rPr>
      <w:color w:val="0000FF" w:themeColor="hyperlink"/>
      <w:u w:val="single"/>
    </w:rPr>
  </w:style>
  <w:style w:type="character" w:styleId="UnresolvedMention">
    <w:name w:val="Unresolved Mention"/>
    <w:basedOn w:val="DefaultParagraphFont"/>
    <w:uiPriority w:val="99"/>
    <w:semiHidden/>
    <w:unhideWhenUsed/>
    <w:rsid w:val="002C16E2"/>
    <w:rPr>
      <w:color w:val="605E5C"/>
      <w:shd w:val="clear" w:color="auto" w:fill="E1DFDD"/>
    </w:rPr>
  </w:style>
  <w:style w:type="paragraph" w:styleId="Footer">
    <w:name w:val="footer"/>
    <w:basedOn w:val="Normal"/>
    <w:link w:val="FooterChar"/>
    <w:uiPriority w:val="99"/>
    <w:semiHidden/>
    <w:unhideWhenUsed/>
    <w:rsid w:val="00626E4B"/>
    <w:pPr>
      <w:tabs>
        <w:tab w:val="center" w:pos="4680"/>
        <w:tab w:val="right" w:pos="9360"/>
      </w:tabs>
    </w:pPr>
  </w:style>
  <w:style w:type="character" w:customStyle="1" w:styleId="FooterChar">
    <w:name w:val="Footer Char"/>
    <w:basedOn w:val="DefaultParagraphFont"/>
    <w:link w:val="Footer"/>
    <w:uiPriority w:val="99"/>
    <w:semiHidden/>
    <w:rsid w:val="00626E4B"/>
    <w:rPr>
      <w:rFonts w:ascii="Times New Roman" w:eastAsia="Times New Roman" w:hAnsi="Times New Roman" w:cs="Times New Roman"/>
      <w:sz w:val="24"/>
      <w:szCs w:val="20"/>
      <w:lang w:val="es-PR"/>
    </w:rPr>
  </w:style>
  <w:style w:type="paragraph" w:styleId="Revision">
    <w:name w:val="Revision"/>
    <w:hidden/>
    <w:uiPriority w:val="99"/>
    <w:semiHidden/>
    <w:rsid w:val="00AF5E8C"/>
    <w:pPr>
      <w:spacing w:after="0" w:line="240" w:lineRule="auto"/>
    </w:pPr>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950">
      <w:bodyDiv w:val="1"/>
      <w:marLeft w:val="0"/>
      <w:marRight w:val="0"/>
      <w:marTop w:val="0"/>
      <w:marBottom w:val="0"/>
      <w:divBdr>
        <w:top w:val="none" w:sz="0" w:space="0" w:color="auto"/>
        <w:left w:val="none" w:sz="0" w:space="0" w:color="auto"/>
        <w:bottom w:val="none" w:sz="0" w:space="0" w:color="auto"/>
        <w:right w:val="none" w:sz="0" w:space="0" w:color="auto"/>
      </w:divBdr>
      <w:divsChild>
        <w:div w:id="940992143">
          <w:marLeft w:val="0"/>
          <w:marRight w:val="0"/>
          <w:marTop w:val="0"/>
          <w:marBottom w:val="0"/>
          <w:divBdr>
            <w:top w:val="none" w:sz="0" w:space="0" w:color="auto"/>
            <w:left w:val="none" w:sz="0" w:space="0" w:color="auto"/>
            <w:bottom w:val="none" w:sz="0" w:space="0" w:color="auto"/>
            <w:right w:val="none" w:sz="0" w:space="0" w:color="auto"/>
          </w:divBdr>
          <w:divsChild>
            <w:div w:id="1116102264">
              <w:marLeft w:val="0"/>
              <w:marRight w:val="0"/>
              <w:marTop w:val="0"/>
              <w:marBottom w:val="0"/>
              <w:divBdr>
                <w:top w:val="none" w:sz="0" w:space="0" w:color="auto"/>
                <w:left w:val="none" w:sz="0" w:space="0" w:color="auto"/>
                <w:bottom w:val="none" w:sz="0" w:space="0" w:color="auto"/>
                <w:right w:val="none" w:sz="0" w:space="0" w:color="auto"/>
              </w:divBdr>
              <w:divsChild>
                <w:div w:id="16974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62975">
          <w:marLeft w:val="0"/>
          <w:marRight w:val="0"/>
          <w:marTop w:val="0"/>
          <w:marBottom w:val="0"/>
          <w:divBdr>
            <w:top w:val="none" w:sz="0" w:space="0" w:color="auto"/>
            <w:left w:val="none" w:sz="0" w:space="0" w:color="auto"/>
            <w:bottom w:val="none" w:sz="0" w:space="0" w:color="auto"/>
            <w:right w:val="none" w:sz="0" w:space="0" w:color="auto"/>
          </w:divBdr>
          <w:divsChild>
            <w:div w:id="1342927318">
              <w:marLeft w:val="0"/>
              <w:marRight w:val="0"/>
              <w:marTop w:val="0"/>
              <w:marBottom w:val="0"/>
              <w:divBdr>
                <w:top w:val="none" w:sz="0" w:space="0" w:color="auto"/>
                <w:left w:val="none" w:sz="0" w:space="0" w:color="auto"/>
                <w:bottom w:val="none" w:sz="0" w:space="0" w:color="auto"/>
                <w:right w:val="none" w:sz="0" w:space="0" w:color="auto"/>
              </w:divBdr>
              <w:divsChild>
                <w:div w:id="222258592">
                  <w:marLeft w:val="0"/>
                  <w:marRight w:val="0"/>
                  <w:marTop w:val="0"/>
                  <w:marBottom w:val="0"/>
                  <w:divBdr>
                    <w:top w:val="none" w:sz="0" w:space="0" w:color="auto"/>
                    <w:left w:val="none" w:sz="0" w:space="0" w:color="auto"/>
                    <w:bottom w:val="none" w:sz="0" w:space="0" w:color="auto"/>
                    <w:right w:val="none" w:sz="0" w:space="0" w:color="auto"/>
                  </w:divBdr>
                  <w:divsChild>
                    <w:div w:id="599530478">
                      <w:marLeft w:val="0"/>
                      <w:marRight w:val="0"/>
                      <w:marTop w:val="0"/>
                      <w:marBottom w:val="0"/>
                      <w:divBdr>
                        <w:top w:val="none" w:sz="0" w:space="0" w:color="auto"/>
                        <w:left w:val="none" w:sz="0" w:space="0" w:color="auto"/>
                        <w:bottom w:val="none" w:sz="0" w:space="0" w:color="auto"/>
                        <w:right w:val="none" w:sz="0" w:space="0" w:color="auto"/>
                      </w:divBdr>
                      <w:divsChild>
                        <w:div w:id="977222838">
                          <w:marLeft w:val="0"/>
                          <w:marRight w:val="0"/>
                          <w:marTop w:val="0"/>
                          <w:marBottom w:val="0"/>
                          <w:divBdr>
                            <w:top w:val="none" w:sz="0" w:space="0" w:color="auto"/>
                            <w:left w:val="none" w:sz="0" w:space="0" w:color="auto"/>
                            <w:bottom w:val="none" w:sz="0" w:space="0" w:color="auto"/>
                            <w:right w:val="none" w:sz="0" w:space="0" w:color="auto"/>
                          </w:divBdr>
                          <w:divsChild>
                            <w:div w:id="4319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40181">
                  <w:marLeft w:val="0"/>
                  <w:marRight w:val="0"/>
                  <w:marTop w:val="0"/>
                  <w:marBottom w:val="0"/>
                  <w:divBdr>
                    <w:top w:val="none" w:sz="0" w:space="0" w:color="auto"/>
                    <w:left w:val="none" w:sz="0" w:space="0" w:color="auto"/>
                    <w:bottom w:val="none" w:sz="0" w:space="0" w:color="auto"/>
                    <w:right w:val="none" w:sz="0" w:space="0" w:color="auto"/>
                  </w:divBdr>
                  <w:divsChild>
                    <w:div w:id="14948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1844003404">
      <w:bodyDiv w:val="1"/>
      <w:marLeft w:val="0"/>
      <w:marRight w:val="0"/>
      <w:marTop w:val="0"/>
      <w:marBottom w:val="0"/>
      <w:divBdr>
        <w:top w:val="none" w:sz="0" w:space="0" w:color="auto"/>
        <w:left w:val="none" w:sz="0" w:space="0" w:color="auto"/>
        <w:bottom w:val="none" w:sz="0" w:space="0" w:color="auto"/>
        <w:right w:val="none" w:sz="0" w:space="0" w:color="auto"/>
      </w:divBdr>
      <w:divsChild>
        <w:div w:id="1769734833">
          <w:marLeft w:val="0"/>
          <w:marRight w:val="0"/>
          <w:marTop w:val="0"/>
          <w:marBottom w:val="0"/>
          <w:divBdr>
            <w:top w:val="none" w:sz="0" w:space="0" w:color="auto"/>
            <w:left w:val="none" w:sz="0" w:space="0" w:color="auto"/>
            <w:bottom w:val="none" w:sz="0" w:space="0" w:color="auto"/>
            <w:right w:val="none" w:sz="0" w:space="0" w:color="auto"/>
          </w:divBdr>
          <w:divsChild>
            <w:div w:id="1404833122">
              <w:marLeft w:val="0"/>
              <w:marRight w:val="0"/>
              <w:marTop w:val="0"/>
              <w:marBottom w:val="0"/>
              <w:divBdr>
                <w:top w:val="none" w:sz="0" w:space="0" w:color="auto"/>
                <w:left w:val="none" w:sz="0" w:space="0" w:color="auto"/>
                <w:bottom w:val="none" w:sz="0" w:space="0" w:color="auto"/>
                <w:right w:val="none" w:sz="0" w:space="0" w:color="auto"/>
              </w:divBdr>
              <w:divsChild>
                <w:div w:id="6891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87118">
          <w:marLeft w:val="0"/>
          <w:marRight w:val="0"/>
          <w:marTop w:val="0"/>
          <w:marBottom w:val="0"/>
          <w:divBdr>
            <w:top w:val="none" w:sz="0" w:space="0" w:color="auto"/>
            <w:left w:val="none" w:sz="0" w:space="0" w:color="auto"/>
            <w:bottom w:val="none" w:sz="0" w:space="0" w:color="auto"/>
            <w:right w:val="none" w:sz="0" w:space="0" w:color="auto"/>
          </w:divBdr>
          <w:divsChild>
            <w:div w:id="1272319901">
              <w:marLeft w:val="0"/>
              <w:marRight w:val="0"/>
              <w:marTop w:val="0"/>
              <w:marBottom w:val="0"/>
              <w:divBdr>
                <w:top w:val="none" w:sz="0" w:space="0" w:color="auto"/>
                <w:left w:val="none" w:sz="0" w:space="0" w:color="auto"/>
                <w:bottom w:val="none" w:sz="0" w:space="0" w:color="auto"/>
                <w:right w:val="none" w:sz="0" w:space="0" w:color="auto"/>
              </w:divBdr>
              <w:divsChild>
                <w:div w:id="788010281">
                  <w:marLeft w:val="0"/>
                  <w:marRight w:val="0"/>
                  <w:marTop w:val="0"/>
                  <w:marBottom w:val="0"/>
                  <w:divBdr>
                    <w:top w:val="none" w:sz="0" w:space="0" w:color="auto"/>
                    <w:left w:val="none" w:sz="0" w:space="0" w:color="auto"/>
                    <w:bottom w:val="none" w:sz="0" w:space="0" w:color="auto"/>
                    <w:right w:val="none" w:sz="0" w:space="0" w:color="auto"/>
                  </w:divBdr>
                  <w:divsChild>
                    <w:div w:id="1265380329">
                      <w:marLeft w:val="0"/>
                      <w:marRight w:val="0"/>
                      <w:marTop w:val="0"/>
                      <w:marBottom w:val="0"/>
                      <w:divBdr>
                        <w:top w:val="none" w:sz="0" w:space="0" w:color="auto"/>
                        <w:left w:val="none" w:sz="0" w:space="0" w:color="auto"/>
                        <w:bottom w:val="none" w:sz="0" w:space="0" w:color="auto"/>
                        <w:right w:val="none" w:sz="0" w:space="0" w:color="auto"/>
                      </w:divBdr>
                    </w:div>
                  </w:divsChild>
                </w:div>
                <w:div w:id="1004163323">
                  <w:marLeft w:val="0"/>
                  <w:marRight w:val="0"/>
                  <w:marTop w:val="0"/>
                  <w:marBottom w:val="0"/>
                  <w:divBdr>
                    <w:top w:val="none" w:sz="0" w:space="0" w:color="auto"/>
                    <w:left w:val="none" w:sz="0" w:space="0" w:color="auto"/>
                    <w:bottom w:val="none" w:sz="0" w:space="0" w:color="auto"/>
                    <w:right w:val="none" w:sz="0" w:space="0" w:color="auto"/>
                  </w:divBdr>
                  <w:divsChild>
                    <w:div w:id="197622941">
                      <w:marLeft w:val="0"/>
                      <w:marRight w:val="0"/>
                      <w:marTop w:val="0"/>
                      <w:marBottom w:val="0"/>
                      <w:divBdr>
                        <w:top w:val="none" w:sz="0" w:space="0" w:color="auto"/>
                        <w:left w:val="none" w:sz="0" w:space="0" w:color="auto"/>
                        <w:bottom w:val="none" w:sz="0" w:space="0" w:color="auto"/>
                        <w:right w:val="none" w:sz="0" w:space="0" w:color="auto"/>
                      </w:divBdr>
                      <w:divsChild>
                        <w:div w:id="747842633">
                          <w:marLeft w:val="0"/>
                          <w:marRight w:val="0"/>
                          <w:marTop w:val="0"/>
                          <w:marBottom w:val="0"/>
                          <w:divBdr>
                            <w:top w:val="none" w:sz="0" w:space="0" w:color="auto"/>
                            <w:left w:val="none" w:sz="0" w:space="0" w:color="auto"/>
                            <w:bottom w:val="none" w:sz="0" w:space="0" w:color="auto"/>
                            <w:right w:val="none" w:sz="0" w:space="0" w:color="auto"/>
                          </w:divBdr>
                          <w:divsChild>
                            <w:div w:id="121353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2389B-348A-46DE-925B-421313F57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2714</Words>
  <Characters>15474</Characters>
  <Application>Microsoft Office Word</Application>
  <DocSecurity>4</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2</cp:revision>
  <cp:lastPrinted>2026-02-18T19:46:00Z</cp:lastPrinted>
  <dcterms:created xsi:type="dcterms:W3CDTF">2026-02-20T20:28:00Z</dcterms:created>
  <dcterms:modified xsi:type="dcterms:W3CDTF">2026-02-20T20:28:00Z</dcterms:modified>
</cp:coreProperties>
</file>